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DAE9F7" w14:textId="0437FCB6" w:rsidR="00BA43B3" w:rsidRPr="00E5229C" w:rsidRDefault="00CF5859" w:rsidP="00A1119C">
      <w:pPr>
        <w:ind w:left="720" w:hanging="720"/>
        <w:jc w:val="center"/>
        <w:rPr>
          <w:rFonts w:hAnsi="TUOS Blake"/>
        </w:rPr>
      </w:pPr>
      <w:bookmarkStart w:id="0" w:name="_Toc246745613"/>
      <w:bookmarkStart w:id="1" w:name="_Toc4"/>
      <w:r>
        <w:rPr>
          <w:rFonts w:hAnsi="TUOS Blake"/>
        </w:rPr>
        <w:t>1</w:t>
      </w:r>
      <w:r w:rsidR="00172977">
        <w:rPr>
          <w:rFonts w:hAnsi="TUOS Blake"/>
        </w:rPr>
        <w:t xml:space="preserve">  </w:t>
      </w:r>
    </w:p>
    <w:p w14:paraId="2B4E62CD" w14:textId="3D8332E0" w:rsidR="00BA43B3" w:rsidRPr="00E5229C" w:rsidRDefault="00BA43B3" w:rsidP="00BA43B3">
      <w:pPr>
        <w:jc w:val="center"/>
        <w:rPr>
          <w:rFonts w:hAnsi="TUOS Blake"/>
        </w:rPr>
      </w:pPr>
      <w:r w:rsidRPr="00E5229C">
        <w:rPr>
          <w:rFonts w:asciiTheme="majorBidi" w:hAnsiTheme="majorBidi" w:cstheme="majorBidi"/>
          <w:noProof/>
          <w:lang w:val="en-US"/>
        </w:rPr>
        <w:drawing>
          <wp:anchor distT="0" distB="0" distL="114300" distR="114300" simplePos="0" relativeHeight="251659264" behindDoc="0" locked="0" layoutInCell="1" allowOverlap="1" wp14:anchorId="6D4385ED" wp14:editId="5275CB09">
            <wp:simplePos x="0" y="0"/>
            <wp:positionH relativeFrom="column">
              <wp:posOffset>784860</wp:posOffset>
            </wp:positionH>
            <wp:positionV relativeFrom="paragraph">
              <wp:posOffset>-548005</wp:posOffset>
            </wp:positionV>
            <wp:extent cx="3036570" cy="1104265"/>
            <wp:effectExtent l="0" t="0" r="0" b="0"/>
            <wp:wrapNone/>
            <wp:docPr id="5" name="Picture 5"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7931238B" w14:textId="77777777" w:rsidR="00BA43B3" w:rsidRPr="00E5229C" w:rsidRDefault="00BA43B3" w:rsidP="00BA43B3">
      <w:pPr>
        <w:jc w:val="center"/>
        <w:rPr>
          <w:rFonts w:hAnsi="TUOS Blake"/>
        </w:rPr>
      </w:pPr>
    </w:p>
    <w:p w14:paraId="6D2D79DD" w14:textId="77777777" w:rsidR="00BA43B3" w:rsidRPr="00E5229C" w:rsidRDefault="00BA43B3" w:rsidP="00BA43B3">
      <w:pPr>
        <w:jc w:val="center"/>
        <w:rPr>
          <w:rFonts w:hAnsi="TUOS Blake"/>
        </w:rPr>
      </w:pPr>
    </w:p>
    <w:p w14:paraId="04A9028F" w14:textId="77777777" w:rsidR="00BA43B3" w:rsidRPr="00E5229C" w:rsidRDefault="00BA43B3" w:rsidP="00BA43B3">
      <w:pPr>
        <w:jc w:val="center"/>
        <w:rPr>
          <w:rFonts w:hAnsi="TUOS Blake"/>
        </w:rPr>
      </w:pPr>
    </w:p>
    <w:p w14:paraId="62D3D162" w14:textId="77777777" w:rsidR="00BA43B3" w:rsidRPr="00E5229C" w:rsidRDefault="00BA43B3" w:rsidP="00BA43B3">
      <w:pPr>
        <w:jc w:val="center"/>
        <w:rPr>
          <w:rFonts w:hAnsi="TUOS Blake"/>
        </w:rPr>
      </w:pPr>
    </w:p>
    <w:p w14:paraId="04A2B1A3" w14:textId="77777777" w:rsidR="00BA43B3" w:rsidRPr="00E5229C" w:rsidRDefault="00BA43B3" w:rsidP="00BA43B3">
      <w:pPr>
        <w:rPr>
          <w:rFonts w:hAnsi="TUOS Blake"/>
          <w:sz w:val="40"/>
          <w:szCs w:val="40"/>
        </w:rPr>
      </w:pPr>
    </w:p>
    <w:p w14:paraId="7085722F" w14:textId="510F6F5D" w:rsidR="00BA43B3" w:rsidRPr="00E5229C" w:rsidRDefault="00BA43B3" w:rsidP="00B96DCD">
      <w:pPr>
        <w:pStyle w:val="Style2"/>
      </w:pPr>
      <w:bookmarkStart w:id="2" w:name="_Toc297817805"/>
      <w:bookmarkStart w:id="3" w:name="_Toc297818212"/>
      <w:bookmarkStart w:id="4" w:name="_Toc297818539"/>
      <w:bookmarkStart w:id="5" w:name="_Toc298592862"/>
      <w:r w:rsidRPr="00E5229C">
        <w:t xml:space="preserve">The </w:t>
      </w:r>
      <w:bookmarkEnd w:id="2"/>
      <w:bookmarkEnd w:id="3"/>
      <w:bookmarkEnd w:id="4"/>
      <w:bookmarkEnd w:id="5"/>
      <w:r w:rsidR="0000479F">
        <w:t xml:space="preserve">Diagnostic </w:t>
      </w:r>
      <w:r w:rsidR="006F4137">
        <w:t>Potential of miRNAs in Pulmonary Arterial Hypertension</w:t>
      </w:r>
    </w:p>
    <w:p w14:paraId="4A7A6936" w14:textId="77777777" w:rsidR="00BA43B3" w:rsidRPr="00E5229C" w:rsidRDefault="00BA43B3" w:rsidP="00BA43B3">
      <w:pPr>
        <w:jc w:val="center"/>
        <w:rPr>
          <w:rFonts w:hAnsi="TUOS Blake"/>
          <w:sz w:val="40"/>
          <w:szCs w:val="40"/>
        </w:rPr>
      </w:pPr>
    </w:p>
    <w:p w14:paraId="0B866489" w14:textId="77777777" w:rsidR="00BA43B3" w:rsidRPr="00E5229C" w:rsidRDefault="00BA43B3" w:rsidP="00BA43B3">
      <w:pPr>
        <w:autoSpaceDE w:val="0"/>
        <w:autoSpaceDN w:val="0"/>
        <w:adjustRightInd w:val="0"/>
        <w:rPr>
          <w:rFonts w:asciiTheme="majorBidi" w:hAnsiTheme="majorBidi" w:cstheme="majorBidi"/>
        </w:rPr>
      </w:pPr>
    </w:p>
    <w:p w14:paraId="3DCB832F" w14:textId="77777777" w:rsidR="00BA43B3" w:rsidRPr="00E5229C" w:rsidRDefault="00BA43B3" w:rsidP="00BA43B3">
      <w:pPr>
        <w:autoSpaceDE w:val="0"/>
        <w:autoSpaceDN w:val="0"/>
        <w:adjustRightInd w:val="0"/>
        <w:rPr>
          <w:rFonts w:asciiTheme="majorBidi" w:hAnsiTheme="majorBidi" w:cstheme="majorBidi"/>
        </w:rPr>
      </w:pPr>
    </w:p>
    <w:p w14:paraId="43746A61" w14:textId="3ED480AC" w:rsidR="00BA43B3" w:rsidRPr="00E5229C" w:rsidRDefault="00BA43B3" w:rsidP="00BA43B3">
      <w:pPr>
        <w:pStyle w:val="Body"/>
        <w:jc w:val="center"/>
      </w:pPr>
      <w:r w:rsidRPr="00E5229C">
        <w:t xml:space="preserve">A thesis submitted in partial </w:t>
      </w:r>
      <w:r w:rsidR="00CB59F1" w:rsidRPr="00E5229C">
        <w:t>fulfilment</w:t>
      </w:r>
      <w:r w:rsidRPr="00E5229C">
        <w:t xml:space="preserve"> of the requirements for the degree of</w:t>
      </w:r>
    </w:p>
    <w:p w14:paraId="6383C264" w14:textId="76742027" w:rsidR="00BA43B3" w:rsidRPr="00E5229C" w:rsidRDefault="006F4137" w:rsidP="00BA43B3">
      <w:pPr>
        <w:pStyle w:val="Body"/>
        <w:jc w:val="center"/>
      </w:pPr>
      <w:r>
        <w:t>Master</w:t>
      </w:r>
      <w:r w:rsidR="00BA43B3" w:rsidRPr="00E5229C">
        <w:t xml:space="preserve"> of Philosophy</w:t>
      </w:r>
    </w:p>
    <w:p w14:paraId="50C55C88" w14:textId="77777777" w:rsidR="00BA43B3" w:rsidRPr="00E5229C" w:rsidRDefault="00BA43B3" w:rsidP="00BA43B3">
      <w:pPr>
        <w:pStyle w:val="Body"/>
        <w:jc w:val="center"/>
      </w:pPr>
      <w:r w:rsidRPr="00E5229C">
        <w:t>The University of Sheffield</w:t>
      </w:r>
    </w:p>
    <w:p w14:paraId="3E7B9DF4" w14:textId="634A5B8F" w:rsidR="00BA43B3" w:rsidRPr="00E5229C" w:rsidRDefault="00BA43B3" w:rsidP="00BA43B3">
      <w:pPr>
        <w:pStyle w:val="Body"/>
        <w:jc w:val="center"/>
      </w:pPr>
      <w:r w:rsidRPr="00E5229C">
        <w:t>Faculty of Medicine</w:t>
      </w:r>
    </w:p>
    <w:p w14:paraId="27677D99" w14:textId="127C656A" w:rsidR="00BA43B3" w:rsidRPr="00E5229C" w:rsidRDefault="00BA43B3" w:rsidP="00BA43B3">
      <w:pPr>
        <w:pStyle w:val="Body"/>
        <w:jc w:val="center"/>
      </w:pPr>
      <w:r w:rsidRPr="00E5229C">
        <w:t xml:space="preserve">Department of </w:t>
      </w:r>
      <w:r w:rsidR="006F4137">
        <w:t>Infection Immunity and Cardiovascular Science</w:t>
      </w:r>
    </w:p>
    <w:p w14:paraId="414633F7" w14:textId="77777777" w:rsidR="00BA43B3" w:rsidRPr="00E5229C" w:rsidRDefault="00BA43B3" w:rsidP="00BA43B3">
      <w:pPr>
        <w:pStyle w:val="Body"/>
        <w:jc w:val="center"/>
      </w:pPr>
    </w:p>
    <w:p w14:paraId="3D446120" w14:textId="431899E8" w:rsidR="00BA43B3" w:rsidRPr="00E5229C" w:rsidRDefault="00DD519A" w:rsidP="00BA43B3">
      <w:pPr>
        <w:pStyle w:val="Body"/>
        <w:jc w:val="center"/>
      </w:pPr>
      <w:r>
        <w:t xml:space="preserve">Mr James </w:t>
      </w:r>
      <w:proofErr w:type="spellStart"/>
      <w:r>
        <w:t>Iremonger</w:t>
      </w:r>
      <w:proofErr w:type="spellEnd"/>
    </w:p>
    <w:p w14:paraId="034ECCAA" w14:textId="2C849C9B" w:rsidR="00BA43B3" w:rsidRPr="00E5229C" w:rsidRDefault="00BA43B3" w:rsidP="00BA43B3">
      <w:pPr>
        <w:pStyle w:val="Body"/>
        <w:jc w:val="center"/>
      </w:pPr>
      <w:r w:rsidRPr="00E5229C">
        <w:t xml:space="preserve">Registration number: </w:t>
      </w:r>
      <w:r w:rsidR="00646BF2" w:rsidRPr="00646BF2">
        <w:t>140226973</w:t>
      </w:r>
    </w:p>
    <w:p w14:paraId="010E468A" w14:textId="765C6227" w:rsidR="00BA43B3" w:rsidRPr="00E5229C" w:rsidRDefault="00BA43B3" w:rsidP="00BA43B3">
      <w:pPr>
        <w:pStyle w:val="Body"/>
        <w:jc w:val="center"/>
      </w:pPr>
      <w:r w:rsidRPr="00E5229C">
        <w:t xml:space="preserve">Supervisor: </w:t>
      </w:r>
      <w:r w:rsidR="00637FC7">
        <w:t>Professor</w:t>
      </w:r>
      <w:r w:rsidRPr="00E5229C">
        <w:t xml:space="preserve"> Allan Lawrie</w:t>
      </w:r>
    </w:p>
    <w:p w14:paraId="1BB4D921" w14:textId="61F40114" w:rsidR="00BA43B3" w:rsidRDefault="00BA43B3" w:rsidP="00BA43B3">
      <w:pPr>
        <w:pStyle w:val="Body"/>
        <w:jc w:val="center"/>
      </w:pPr>
      <w:r w:rsidRPr="00E5229C">
        <w:t>2</w:t>
      </w:r>
      <w:r w:rsidRPr="00E5229C">
        <w:rPr>
          <w:vertAlign w:val="superscript"/>
        </w:rPr>
        <w:t>nd</w:t>
      </w:r>
      <w:r w:rsidRPr="00E5229C">
        <w:t xml:space="preserve"> Supervisor: Professor </w:t>
      </w:r>
      <w:r w:rsidR="000C0E46">
        <w:t>Neil Lawrence</w:t>
      </w:r>
    </w:p>
    <w:p w14:paraId="6638CC0A" w14:textId="77777777" w:rsidR="00270B22" w:rsidRDefault="00270B22">
      <w:pPr>
        <w:rPr>
          <w:rFonts w:ascii="Helvetica" w:eastAsia="Helvetica" w:hAnsi="Helvetica" w:cs="Helvetica"/>
          <w:b/>
          <w:bCs/>
          <w:color w:val="000000"/>
          <w:sz w:val="36"/>
          <w:szCs w:val="36"/>
          <w:bdr w:val="nil"/>
        </w:rPr>
      </w:pPr>
      <w:bookmarkStart w:id="6" w:name="_Toc246067152"/>
      <w:bookmarkStart w:id="7" w:name="_Toc246067394"/>
      <w:bookmarkStart w:id="8" w:name="_Toc246081462"/>
      <w:bookmarkStart w:id="9" w:name="_TOCRange"/>
      <w:r>
        <w:br w:type="page"/>
      </w:r>
    </w:p>
    <w:p w14:paraId="3ED41F0D" w14:textId="43170C1F" w:rsidR="00604EEF" w:rsidRDefault="00604EEF" w:rsidP="004F465E">
      <w:pPr>
        <w:pStyle w:val="abstract"/>
        <w:numPr>
          <w:ilvl w:val="0"/>
          <w:numId w:val="0"/>
        </w:numPr>
      </w:pPr>
      <w:bookmarkStart w:id="10" w:name="_Toc60773838"/>
      <w:r w:rsidRPr="00E5229C">
        <w:lastRenderedPageBreak/>
        <w:t>Acknowledgments</w:t>
      </w:r>
      <w:bookmarkEnd w:id="10"/>
    </w:p>
    <w:p w14:paraId="486274B4" w14:textId="11831349" w:rsidR="009E0483" w:rsidRDefault="009E0483" w:rsidP="009E0483">
      <w:pPr>
        <w:pStyle w:val="Body"/>
        <w:rPr>
          <w:lang w:val="en-US"/>
        </w:rPr>
      </w:pPr>
      <w:r>
        <w:rPr>
          <w:lang w:val="en-US"/>
        </w:rPr>
        <w:t xml:space="preserve">This has been a long 6-year journey in which my family, friends and colleagues have all helped me through. </w:t>
      </w:r>
    </w:p>
    <w:p w14:paraId="042402FF" w14:textId="77777777" w:rsidR="009E0483" w:rsidRDefault="009E0483" w:rsidP="009E0483">
      <w:pPr>
        <w:pStyle w:val="Body"/>
        <w:rPr>
          <w:lang w:val="en-US"/>
        </w:rPr>
      </w:pPr>
    </w:p>
    <w:p w14:paraId="7493AFCC" w14:textId="77777777" w:rsidR="009E0483" w:rsidRDefault="009E0483" w:rsidP="009E0483">
      <w:pPr>
        <w:pStyle w:val="Body"/>
        <w:rPr>
          <w:lang w:val="en-US"/>
        </w:rPr>
      </w:pPr>
      <w:r>
        <w:rPr>
          <w:lang w:val="en-US"/>
        </w:rPr>
        <w:t>I will always remain indebted to Professor Allan Lawrie, his guidance, support and kindness throughout has made this possible, I could not have wished for a better supervisor. As a staff candidate Allan made this opportunity happen. In doing so he knowingly created more work and anguish for himself and I am forever grateful for this grand act of selflessness.</w:t>
      </w:r>
    </w:p>
    <w:p w14:paraId="60CC2A08" w14:textId="77777777" w:rsidR="009E0483" w:rsidRDefault="009E0483" w:rsidP="009E0483">
      <w:pPr>
        <w:pStyle w:val="Body"/>
        <w:rPr>
          <w:lang w:val="en-US"/>
        </w:rPr>
      </w:pPr>
    </w:p>
    <w:p w14:paraId="137557BD" w14:textId="77777777" w:rsidR="009E0483" w:rsidRPr="008C7BF9" w:rsidRDefault="009E0483" w:rsidP="009E0483">
      <w:pPr>
        <w:pStyle w:val="Body"/>
        <w:rPr>
          <w:i/>
          <w:lang w:val="en-US"/>
        </w:rPr>
      </w:pPr>
      <w:r>
        <w:rPr>
          <w:lang w:val="en-US"/>
        </w:rPr>
        <w:t xml:space="preserve">Every member of the PVRG lab has always been there to support me and I would like to specifically thank Dr Josephine </w:t>
      </w:r>
      <w:proofErr w:type="spellStart"/>
      <w:r>
        <w:rPr>
          <w:lang w:val="en-US"/>
        </w:rPr>
        <w:t>Pickworth</w:t>
      </w:r>
      <w:proofErr w:type="spellEnd"/>
      <w:r>
        <w:rPr>
          <w:lang w:val="en-US"/>
        </w:rPr>
        <w:t xml:space="preserve">, Dr Laura West, Dr Alex Rothman, Nadine Arnold, Kay Hopkinson and Helen </w:t>
      </w:r>
      <w:proofErr w:type="spellStart"/>
      <w:r>
        <w:rPr>
          <w:lang w:val="en-US"/>
        </w:rPr>
        <w:t>Casbolt</w:t>
      </w:r>
      <w:proofErr w:type="spellEnd"/>
      <w:r>
        <w:rPr>
          <w:lang w:val="en-US"/>
        </w:rPr>
        <w:t>. Your dear friendship and skilled knowledge in science and life was a source of never-ending help and support where even the most stupid of questions were met with answers. In particular, Josephine and Laura, without your patient reading and comments my completed thesis would never have been possible. And to Alex, who introduced me to microarray analysis with R, giving me the programming bug!</w:t>
      </w:r>
    </w:p>
    <w:p w14:paraId="17B3B78B" w14:textId="77777777" w:rsidR="009E0483" w:rsidRDefault="009E0483" w:rsidP="009E0483">
      <w:pPr>
        <w:pStyle w:val="Body"/>
        <w:rPr>
          <w:lang w:val="en-US"/>
        </w:rPr>
      </w:pPr>
    </w:p>
    <w:p w14:paraId="27496D61" w14:textId="77777777" w:rsidR="009E0483" w:rsidRDefault="009E0483" w:rsidP="009E0483">
      <w:pPr>
        <w:pStyle w:val="Body"/>
        <w:rPr>
          <w:lang w:val="en-US"/>
        </w:rPr>
      </w:pPr>
      <w:r>
        <w:rPr>
          <w:lang w:val="en-US"/>
        </w:rPr>
        <w:t>My time in Sheffield filled me with experiences and knowledge I never thought possible and will never forget. The head of department whilst I was there was Professor Sheila Francis and I thank her for crafting the most welcoming, friendly and academically stimulating atmosphere, of which I feel privileged to have been part. The whole of M-</w:t>
      </w:r>
      <w:r>
        <w:rPr>
          <w:lang w:val="en-US"/>
        </w:rPr>
        <w:lastRenderedPageBreak/>
        <w:t xml:space="preserve">floor deserves thanks, but that would take too long, however, an exception must be made Dr Mark </w:t>
      </w:r>
      <w:proofErr w:type="spellStart"/>
      <w:r>
        <w:rPr>
          <w:lang w:val="en-US"/>
        </w:rPr>
        <w:t>Ariaans</w:t>
      </w:r>
      <w:proofErr w:type="spellEnd"/>
      <w:r>
        <w:rPr>
          <w:lang w:val="en-US"/>
        </w:rPr>
        <w:t xml:space="preserve">. Without his technical expertise and unending willingness to help I doubt anything would have been achieved! </w:t>
      </w:r>
      <w:r>
        <w:rPr>
          <w:lang w:val="en-US"/>
        </w:rPr>
        <w:softHyphen/>
      </w:r>
    </w:p>
    <w:p w14:paraId="65478346" w14:textId="77777777" w:rsidR="009E0483" w:rsidRDefault="009E0483" w:rsidP="009E0483">
      <w:pPr>
        <w:pStyle w:val="Body"/>
        <w:rPr>
          <w:lang w:val="en-US"/>
        </w:rPr>
      </w:pPr>
    </w:p>
    <w:p w14:paraId="017B213E" w14:textId="46F5F868" w:rsidR="00270B22" w:rsidRPr="009E0483" w:rsidRDefault="009E0483" w:rsidP="009E0483">
      <w:pPr>
        <w:pStyle w:val="Body"/>
        <w:rPr>
          <w:lang w:val="en-US"/>
        </w:rPr>
      </w:pPr>
      <w:r>
        <w:rPr>
          <w:lang w:val="en-US"/>
        </w:rPr>
        <w:t>And finally, a huge thank you to my families for helping me along when I needed it. My loving wife, Kayleigh, for supporting me and my desire to undertake this MPhil despite the hindsight of knowing me during my undergraduate years. And my three wild children Harriet, Annabel and Oscar who provided grounding and a welcome distraction at the least opportune times. And to my parents for continually asking “how’s the thesis going?” for 6 years, this reminded me to keep pushing on.</w:t>
      </w:r>
      <w:r w:rsidR="00270B22">
        <w:rPr>
          <w:rFonts w:ascii="Helvetica" w:eastAsia="Helvetica" w:hAnsi="Helvetica" w:cs="Helvetica"/>
          <w:b/>
          <w:bCs/>
          <w:sz w:val="36"/>
          <w:szCs w:val="36"/>
        </w:rPr>
        <w:br w:type="page"/>
      </w:r>
    </w:p>
    <w:p w14:paraId="5D5B9B7E" w14:textId="77777777" w:rsidR="00270B22" w:rsidRDefault="00270B22">
      <w:pPr>
        <w:rPr>
          <w:rFonts w:ascii="Helvetica" w:eastAsia="Helvetica" w:hAnsi="Helvetica" w:cs="Helvetica"/>
          <w:b/>
          <w:bCs/>
          <w:color w:val="000000"/>
          <w:sz w:val="36"/>
          <w:szCs w:val="36"/>
          <w:bdr w:val="nil"/>
        </w:rPr>
      </w:pPr>
    </w:p>
    <w:p w14:paraId="6987CAC7" w14:textId="51E83B16" w:rsidR="000004CB" w:rsidRDefault="00024BBA" w:rsidP="000004CB">
      <w:pPr>
        <w:pStyle w:val="abstract"/>
        <w:numPr>
          <w:ilvl w:val="0"/>
          <w:numId w:val="0"/>
        </w:numPr>
        <w:rPr>
          <w:b w:val="0"/>
          <w:bCs w:val="0"/>
        </w:rPr>
      </w:pPr>
      <w:bookmarkStart w:id="11" w:name="_Toc60773839"/>
      <w:r>
        <w:t>Abstract</w:t>
      </w:r>
      <w:bookmarkEnd w:id="11"/>
      <w:r w:rsidR="00AD26C1" w:rsidRPr="00AD26C1">
        <w:t xml:space="preserve"> </w:t>
      </w:r>
    </w:p>
    <w:p w14:paraId="26C1FC00" w14:textId="77777777" w:rsidR="000004CB" w:rsidRDefault="000004CB" w:rsidP="00AD26C1">
      <w:pPr>
        <w:pStyle w:val="Body"/>
        <w:ind w:left="432"/>
        <w:rPr>
          <w:b/>
          <w:bCs/>
        </w:rPr>
      </w:pPr>
    </w:p>
    <w:p w14:paraId="08E9C17E" w14:textId="197B358C" w:rsidR="00AD26C1" w:rsidRPr="001B1BDF" w:rsidRDefault="00AD26C1" w:rsidP="00AD26C1">
      <w:pPr>
        <w:pStyle w:val="Body"/>
        <w:ind w:left="432"/>
        <w:rPr>
          <w:b/>
          <w:bCs/>
        </w:rPr>
      </w:pPr>
      <w:r w:rsidRPr="001B1BDF">
        <w:rPr>
          <w:b/>
          <w:bCs/>
        </w:rPr>
        <w:t>Rationale</w:t>
      </w:r>
    </w:p>
    <w:p w14:paraId="0AB0C13D" w14:textId="4362A57A" w:rsidR="00AD26C1" w:rsidRDefault="00AD26C1" w:rsidP="00AD26C1">
      <w:pPr>
        <w:pStyle w:val="Body"/>
        <w:ind w:left="432"/>
      </w:pPr>
      <w:r w:rsidRPr="00823314">
        <w:t xml:space="preserve">Pulmonary Arterial Hypertension (PAH) is </w:t>
      </w:r>
      <w:r>
        <w:t>a rare life limiting and difficult to diagnose orphan disease</w:t>
      </w:r>
      <w:r w:rsidR="002007E0">
        <w:t xml:space="preserve"> and a common complication of systemic sclerosis</w:t>
      </w:r>
      <w:r>
        <w:t>. Micro-RNAs (miRNAs) are post transcriptional regulators of gene expression detectable in circulating fractions and have been reported as potential biomarkers in multiple diseases.</w:t>
      </w:r>
      <w:r w:rsidR="008603E8">
        <w:t xml:space="preserve"> Circulating miRNA indicators of survival in PAH have been published, however, diagnostic </w:t>
      </w:r>
      <w:r w:rsidR="006330D2">
        <w:t>miRNA panels have yet to be explored.</w:t>
      </w:r>
    </w:p>
    <w:p w14:paraId="39F1F90F" w14:textId="77777777" w:rsidR="00AD26C1" w:rsidRDefault="00AD26C1" w:rsidP="00AD26C1">
      <w:pPr>
        <w:pStyle w:val="Body"/>
        <w:ind w:left="432"/>
      </w:pPr>
    </w:p>
    <w:p w14:paraId="12EC7B42" w14:textId="77777777" w:rsidR="00AD26C1" w:rsidRPr="006023E9" w:rsidRDefault="00AD26C1" w:rsidP="00AD26C1">
      <w:pPr>
        <w:pStyle w:val="Body"/>
        <w:ind w:left="432"/>
        <w:rPr>
          <w:b/>
          <w:bCs/>
        </w:rPr>
      </w:pPr>
      <w:r w:rsidRPr="006023E9">
        <w:rPr>
          <w:b/>
          <w:bCs/>
        </w:rPr>
        <w:t>Objective</w:t>
      </w:r>
    </w:p>
    <w:p w14:paraId="15415F68" w14:textId="77777777" w:rsidR="00AD26C1" w:rsidRDefault="00AD26C1" w:rsidP="00AD26C1">
      <w:pPr>
        <w:pStyle w:val="Body"/>
        <w:ind w:left="432"/>
      </w:pPr>
      <w:r>
        <w:t xml:space="preserve">To determine if circulating miRNAs can be used to identify the presence of PAH in patients </w:t>
      </w:r>
      <w:r w:rsidRPr="00823314">
        <w:t xml:space="preserve">with </w:t>
      </w:r>
      <w:r>
        <w:t>systemic sclerosis</w:t>
      </w:r>
      <w:r w:rsidRPr="00823314">
        <w:t xml:space="preserve"> who are at </w:t>
      </w:r>
      <w:r>
        <w:t xml:space="preserve">a known </w:t>
      </w:r>
      <w:r w:rsidRPr="00823314">
        <w:t xml:space="preserve">risk </w:t>
      </w:r>
      <w:r>
        <w:t>of</w:t>
      </w:r>
      <w:r w:rsidRPr="00823314">
        <w:t xml:space="preserve"> developing PAH</w:t>
      </w:r>
      <w:r>
        <w:t>.</w:t>
      </w:r>
    </w:p>
    <w:p w14:paraId="07F5D6C0" w14:textId="77777777" w:rsidR="00AD26C1" w:rsidRDefault="00AD26C1" w:rsidP="00AD26C1">
      <w:pPr>
        <w:pStyle w:val="Body"/>
        <w:ind w:left="432"/>
      </w:pPr>
    </w:p>
    <w:p w14:paraId="7D3C3F8A" w14:textId="77777777" w:rsidR="00AD26C1" w:rsidRPr="006023E9" w:rsidRDefault="00AD26C1" w:rsidP="00AD26C1">
      <w:pPr>
        <w:pStyle w:val="Body"/>
        <w:ind w:left="432"/>
        <w:rPr>
          <w:b/>
          <w:bCs/>
        </w:rPr>
      </w:pPr>
      <w:r w:rsidRPr="006023E9">
        <w:rPr>
          <w:b/>
          <w:bCs/>
        </w:rPr>
        <w:t>Methods</w:t>
      </w:r>
    </w:p>
    <w:p w14:paraId="0B5E8F64" w14:textId="3938EEB6" w:rsidR="00AD26C1" w:rsidRDefault="00AD26C1" w:rsidP="00AD26C1">
      <w:pPr>
        <w:pStyle w:val="Body"/>
        <w:ind w:left="432"/>
      </w:pPr>
      <w:r>
        <w:t>A miRNA microarray screen was used to determine if plasma or whole blood was more suitable for biomarker detection in a case/control cohort (n = 28/17) of healthy volunteers (HV) and PAH.</w:t>
      </w:r>
    </w:p>
    <w:p w14:paraId="45AFA55A" w14:textId="77777777" w:rsidR="00AD26C1" w:rsidRDefault="00AD26C1" w:rsidP="00AD26C1">
      <w:pPr>
        <w:pStyle w:val="Body"/>
        <w:ind w:left="432"/>
      </w:pPr>
    </w:p>
    <w:p w14:paraId="7E67461B" w14:textId="2ED2E2F4" w:rsidR="00AD26C1" w:rsidRDefault="00AD26C1" w:rsidP="00AD26C1">
      <w:pPr>
        <w:pStyle w:val="Body"/>
        <w:ind w:left="432"/>
      </w:pPr>
      <w:r>
        <w:t xml:space="preserve">A further microarray screen in HV/PAH (n = 33/47) was used to develop a </w:t>
      </w:r>
      <w:r w:rsidR="000A64EA">
        <w:t xml:space="preserve">multiple </w:t>
      </w:r>
      <w:r>
        <w:t xml:space="preserve">biomarker panel discovery process </w:t>
      </w:r>
      <w:r w:rsidR="000A64EA">
        <w:t>using</w:t>
      </w:r>
      <w:r>
        <w:t xml:space="preserve"> ROC </w:t>
      </w:r>
      <w:r w:rsidR="000A64EA">
        <w:t xml:space="preserve">determined </w:t>
      </w:r>
      <w:r>
        <w:t xml:space="preserve">cut-offs. </w:t>
      </w:r>
    </w:p>
    <w:p w14:paraId="5AF986E6" w14:textId="77777777" w:rsidR="00AD26C1" w:rsidRDefault="00AD26C1" w:rsidP="00AD26C1">
      <w:pPr>
        <w:pStyle w:val="Body"/>
        <w:ind w:left="432"/>
      </w:pPr>
    </w:p>
    <w:p w14:paraId="31B90098" w14:textId="77777777" w:rsidR="00AD26C1" w:rsidRDefault="00AD26C1" w:rsidP="00AD26C1">
      <w:pPr>
        <w:pStyle w:val="Body"/>
        <w:ind w:left="432"/>
      </w:pPr>
      <w:r>
        <w:t xml:space="preserve">Finally, potential miRNA biomarkers were identified in a microarray screen of </w:t>
      </w:r>
      <w:proofErr w:type="spellStart"/>
      <w:r>
        <w:t>SSc</w:t>
      </w:r>
      <w:proofErr w:type="spellEnd"/>
      <w:r>
        <w:t xml:space="preserve"> / </w:t>
      </w:r>
      <w:proofErr w:type="spellStart"/>
      <w:r>
        <w:t>SSc</w:t>
      </w:r>
      <w:proofErr w:type="spellEnd"/>
      <w:r>
        <w:t>-PAH (n = 10/18) and validated using a larger cohort (n = 14/29) by qPCR.</w:t>
      </w:r>
    </w:p>
    <w:p w14:paraId="2158954C" w14:textId="77777777" w:rsidR="00AD26C1" w:rsidRDefault="00AD26C1" w:rsidP="00AD26C1">
      <w:pPr>
        <w:pStyle w:val="Body"/>
        <w:ind w:left="432"/>
      </w:pPr>
    </w:p>
    <w:p w14:paraId="5E64426C" w14:textId="77777777" w:rsidR="00AD26C1" w:rsidRPr="006E453F" w:rsidRDefault="00AD26C1" w:rsidP="00AD26C1">
      <w:pPr>
        <w:pStyle w:val="Body"/>
        <w:ind w:left="432"/>
        <w:rPr>
          <w:b/>
          <w:bCs/>
        </w:rPr>
      </w:pPr>
      <w:r>
        <w:rPr>
          <w:b/>
          <w:bCs/>
        </w:rPr>
        <w:t>Results</w:t>
      </w:r>
    </w:p>
    <w:p w14:paraId="475523D1" w14:textId="5D9ECB1C" w:rsidR="00AD26C1" w:rsidRDefault="00AD26C1" w:rsidP="00AD26C1">
      <w:pPr>
        <w:pStyle w:val="Body"/>
        <w:ind w:left="432"/>
      </w:pPr>
      <w:r>
        <w:t xml:space="preserve">Plasma was selected as the source of miRNAs to </w:t>
      </w:r>
      <w:r w:rsidR="005B3237">
        <w:t>use</w:t>
      </w:r>
      <w:r w:rsidR="001F677D">
        <w:t xml:space="preserve"> in further </w:t>
      </w:r>
      <w:r>
        <w:t xml:space="preserve">investigations. Differential expression analysis identified 90 plasma miRNAs vs 1 whole blood miRNA as significantly differentially expressed </w:t>
      </w:r>
      <w:r w:rsidR="001F677D">
        <w:t>(</w:t>
      </w:r>
      <w:r>
        <w:t>p &lt; 0.05</w:t>
      </w:r>
      <w:r w:rsidR="001F677D">
        <w:t>)</w:t>
      </w:r>
      <w:r>
        <w:t>. Additionally, in a feature selection task 0 miRNAs from whole blood were identified by the Boruta algorithm compared to 56 miRNAs from plasma.</w:t>
      </w:r>
    </w:p>
    <w:p w14:paraId="284BE910" w14:textId="77777777" w:rsidR="00AD26C1" w:rsidRDefault="00AD26C1" w:rsidP="00AD26C1">
      <w:pPr>
        <w:pStyle w:val="Body"/>
        <w:ind w:left="432"/>
      </w:pPr>
    </w:p>
    <w:p w14:paraId="0338C004" w14:textId="1B2C6587" w:rsidR="00AD26C1" w:rsidRDefault="00AD26C1" w:rsidP="00AD26C1">
      <w:pPr>
        <w:pStyle w:val="Body"/>
        <w:ind w:left="432"/>
      </w:pPr>
      <w:r>
        <w:t xml:space="preserve">11 miRNAs were selected for </w:t>
      </w:r>
      <w:r w:rsidR="0050586D">
        <w:t xml:space="preserve">qPCR </w:t>
      </w:r>
      <w:r>
        <w:t xml:space="preserve">verification as constituents of potential biomarker panels. Mir-483-5p, miR-584-5p and miR-638 had acceptable amplification profiles and were tested in the larger </w:t>
      </w:r>
      <w:proofErr w:type="spellStart"/>
      <w:r>
        <w:t>SSc</w:t>
      </w:r>
      <w:proofErr w:type="spellEnd"/>
      <w:r>
        <w:t>/</w:t>
      </w:r>
      <w:proofErr w:type="spellStart"/>
      <w:r>
        <w:t>SSc</w:t>
      </w:r>
      <w:proofErr w:type="spellEnd"/>
      <w:r>
        <w:t xml:space="preserve">-PAH verification cohort.  </w:t>
      </w:r>
      <w:r w:rsidR="0050586D">
        <w:t>From those,</w:t>
      </w:r>
      <w:r>
        <w:t xml:space="preserve"> miR-483-5p correlated with the microarray findings, </w:t>
      </w:r>
      <w:r w:rsidR="0050586D">
        <w:t>r</w:t>
      </w:r>
      <w:r>
        <w:t xml:space="preserve"> = 0.55, p &lt; 0.01 and expression was increased in disease p = 0.02, adjusted p = 0.056. Furthermore, when all 3 miRNAs were used in a panel an increase in predictive power was seen from a maximum individual AUC of 0.69 to a panel AUC of 0.72.</w:t>
      </w:r>
    </w:p>
    <w:p w14:paraId="332B0B95" w14:textId="77777777" w:rsidR="00AD26C1" w:rsidRDefault="00AD26C1" w:rsidP="00AD26C1">
      <w:pPr>
        <w:pStyle w:val="Body"/>
      </w:pPr>
      <w:r>
        <w:t xml:space="preserve"> </w:t>
      </w:r>
    </w:p>
    <w:p w14:paraId="15681A77" w14:textId="77777777" w:rsidR="00AD26C1" w:rsidRPr="003B536E" w:rsidRDefault="00AD26C1" w:rsidP="00AD26C1">
      <w:pPr>
        <w:pStyle w:val="Body"/>
        <w:ind w:left="432"/>
        <w:rPr>
          <w:b/>
          <w:bCs/>
        </w:rPr>
      </w:pPr>
      <w:r>
        <w:rPr>
          <w:b/>
          <w:bCs/>
        </w:rPr>
        <w:t>Conclusion</w:t>
      </w:r>
    </w:p>
    <w:p w14:paraId="65D36ED9" w14:textId="7AEDBA9B" w:rsidR="00024BBA" w:rsidRDefault="00AD26C1" w:rsidP="00AD26C1">
      <w:pPr>
        <w:pStyle w:val="Body"/>
        <w:ind w:left="432"/>
      </w:pPr>
      <w:r w:rsidRPr="00823314">
        <w:t>This work hi</w:t>
      </w:r>
      <w:r>
        <w:t xml:space="preserve">ghlights the potential utility of </w:t>
      </w:r>
      <w:proofErr w:type="spellStart"/>
      <w:r>
        <w:t>miR</w:t>
      </w:r>
      <w:proofErr w:type="spellEnd"/>
      <w:r>
        <w:t xml:space="preserve"> signatures as a diagnostic </w:t>
      </w:r>
      <w:r w:rsidRPr="00823314">
        <w:t xml:space="preserve">tool in PAH. </w:t>
      </w:r>
      <w:r>
        <w:t xml:space="preserve">MiRNA-483-5p was identified as a miRNA with relevance to PAH in patients </w:t>
      </w:r>
      <w:r>
        <w:lastRenderedPageBreak/>
        <w:t xml:space="preserve">with </w:t>
      </w:r>
      <w:proofErr w:type="spellStart"/>
      <w:r>
        <w:t>SSc</w:t>
      </w:r>
      <w:proofErr w:type="spellEnd"/>
      <w:r>
        <w:t>, this</w:t>
      </w:r>
      <w:r w:rsidR="000F7F41">
        <w:t xml:space="preserve"> miRNA</w:t>
      </w:r>
      <w:r>
        <w:t xml:space="preserve"> has not previously</w:t>
      </w:r>
      <w:r w:rsidR="000F7F41">
        <w:t xml:space="preserve"> been</w:t>
      </w:r>
      <w:r>
        <w:t xml:space="preserve"> reported in PAH literature but has links to lung cancer and warrants further investigation.</w:t>
      </w:r>
    </w:p>
    <w:p w14:paraId="6DF0F45D" w14:textId="3000679E" w:rsidR="006F4137" w:rsidRDefault="006F4137">
      <w:pPr>
        <w:rPr>
          <w:rFonts w:eastAsia="TUOS Blake" w:hAnsi="TUOS Blake" w:cs="TUOS Blake"/>
        </w:rPr>
      </w:pPr>
      <w:r>
        <w:br w:type="page"/>
      </w:r>
    </w:p>
    <w:p w14:paraId="18334C3D" w14:textId="723A935A" w:rsidR="00577D85" w:rsidRPr="00E5229C" w:rsidRDefault="00BA43B3" w:rsidP="006F4137">
      <w:pPr>
        <w:pStyle w:val="abstract"/>
        <w:numPr>
          <w:ilvl w:val="0"/>
          <w:numId w:val="0"/>
        </w:numPr>
      </w:pPr>
      <w:bookmarkStart w:id="12" w:name="_Toc297817807"/>
      <w:bookmarkStart w:id="13" w:name="_Toc297818214"/>
      <w:bookmarkStart w:id="14" w:name="_Toc297818541"/>
      <w:bookmarkStart w:id="15" w:name="_Toc60773840"/>
      <w:r w:rsidRPr="00E5229C">
        <w:lastRenderedPageBreak/>
        <w:t>Table of Contents</w:t>
      </w:r>
      <w:bookmarkEnd w:id="6"/>
      <w:bookmarkEnd w:id="7"/>
      <w:bookmarkEnd w:id="8"/>
      <w:bookmarkEnd w:id="12"/>
      <w:bookmarkEnd w:id="13"/>
      <w:bookmarkEnd w:id="14"/>
      <w:bookmarkEnd w:id="15"/>
    </w:p>
    <w:p w14:paraId="79279ABD" w14:textId="6C340FF1" w:rsidR="00885DE4" w:rsidRDefault="0085109A">
      <w:pPr>
        <w:pStyle w:val="TOC1"/>
        <w:tabs>
          <w:tab w:val="right" w:leader="dot" w:pos="9068"/>
        </w:tabs>
        <w:rPr>
          <w:rFonts w:asciiTheme="minorHAnsi" w:eastAsiaTheme="minorEastAsia" w:hAnsiTheme="minorHAnsi" w:cstheme="minorBidi"/>
          <w:b w:val="0"/>
          <w:bCs w:val="0"/>
          <w:noProof/>
          <w:color w:val="auto"/>
          <w:szCs w:val="24"/>
          <w:bdr w:val="none" w:sz="0" w:space="0" w:color="auto"/>
          <w:lang w:eastAsia="en-GB"/>
        </w:rPr>
      </w:pPr>
      <w:r>
        <w:fldChar w:fldCharType="begin"/>
      </w:r>
      <w:r>
        <w:instrText xml:space="preserve"> TOC \o "2-3" \t "Heading 1,1,abstract,1" </w:instrText>
      </w:r>
      <w:r>
        <w:fldChar w:fldCharType="separate"/>
      </w:r>
      <w:r w:rsidR="00885DE4">
        <w:rPr>
          <w:noProof/>
        </w:rPr>
        <w:t>Acknowledgments</w:t>
      </w:r>
      <w:r w:rsidR="00885DE4">
        <w:rPr>
          <w:noProof/>
        </w:rPr>
        <w:tab/>
      </w:r>
      <w:r w:rsidR="00885DE4">
        <w:rPr>
          <w:noProof/>
        </w:rPr>
        <w:fldChar w:fldCharType="begin"/>
      </w:r>
      <w:r w:rsidR="00885DE4">
        <w:rPr>
          <w:noProof/>
        </w:rPr>
        <w:instrText xml:space="preserve"> PAGEREF _Toc60773838 \h </w:instrText>
      </w:r>
      <w:r w:rsidR="00885DE4">
        <w:rPr>
          <w:noProof/>
        </w:rPr>
      </w:r>
      <w:r w:rsidR="00885DE4">
        <w:rPr>
          <w:noProof/>
        </w:rPr>
        <w:fldChar w:fldCharType="separate"/>
      </w:r>
      <w:r w:rsidR="00885DE4">
        <w:rPr>
          <w:noProof/>
        </w:rPr>
        <w:t>ii</w:t>
      </w:r>
      <w:r w:rsidR="00885DE4">
        <w:rPr>
          <w:noProof/>
        </w:rPr>
        <w:fldChar w:fldCharType="end"/>
      </w:r>
    </w:p>
    <w:p w14:paraId="7F6839FF" w14:textId="1FCE2638" w:rsidR="00885DE4" w:rsidRDefault="00885DE4">
      <w:pPr>
        <w:pStyle w:val="TOC1"/>
        <w:tabs>
          <w:tab w:val="right" w:leader="dot" w:pos="9068"/>
        </w:tabs>
        <w:rPr>
          <w:rFonts w:asciiTheme="minorHAnsi" w:eastAsiaTheme="minorEastAsia" w:hAnsiTheme="minorHAnsi" w:cstheme="minorBidi"/>
          <w:b w:val="0"/>
          <w:bCs w:val="0"/>
          <w:noProof/>
          <w:color w:val="auto"/>
          <w:szCs w:val="24"/>
          <w:bdr w:val="none" w:sz="0" w:space="0" w:color="auto"/>
          <w:lang w:eastAsia="en-GB"/>
        </w:rPr>
      </w:pPr>
      <w:r>
        <w:rPr>
          <w:noProof/>
        </w:rPr>
        <w:t>Abstract</w:t>
      </w:r>
      <w:r>
        <w:rPr>
          <w:noProof/>
        </w:rPr>
        <w:tab/>
      </w:r>
      <w:r>
        <w:rPr>
          <w:noProof/>
        </w:rPr>
        <w:fldChar w:fldCharType="begin"/>
      </w:r>
      <w:r>
        <w:rPr>
          <w:noProof/>
        </w:rPr>
        <w:instrText xml:space="preserve"> PAGEREF _Toc60773839 \h </w:instrText>
      </w:r>
      <w:r>
        <w:rPr>
          <w:noProof/>
        </w:rPr>
      </w:r>
      <w:r>
        <w:rPr>
          <w:noProof/>
        </w:rPr>
        <w:fldChar w:fldCharType="separate"/>
      </w:r>
      <w:r>
        <w:rPr>
          <w:noProof/>
        </w:rPr>
        <w:t>iv</w:t>
      </w:r>
      <w:r>
        <w:rPr>
          <w:noProof/>
        </w:rPr>
        <w:fldChar w:fldCharType="end"/>
      </w:r>
    </w:p>
    <w:p w14:paraId="5C85D6DC" w14:textId="6FF1DC6D" w:rsidR="00885DE4" w:rsidRDefault="00885DE4">
      <w:pPr>
        <w:pStyle w:val="TOC1"/>
        <w:tabs>
          <w:tab w:val="right" w:leader="dot" w:pos="9068"/>
        </w:tabs>
        <w:rPr>
          <w:rFonts w:asciiTheme="minorHAnsi" w:eastAsiaTheme="minorEastAsia" w:hAnsiTheme="minorHAnsi" w:cstheme="minorBidi"/>
          <w:b w:val="0"/>
          <w:bCs w:val="0"/>
          <w:noProof/>
          <w:color w:val="auto"/>
          <w:szCs w:val="24"/>
          <w:bdr w:val="none" w:sz="0" w:space="0" w:color="auto"/>
          <w:lang w:eastAsia="en-GB"/>
        </w:rPr>
      </w:pPr>
      <w:r>
        <w:rPr>
          <w:noProof/>
        </w:rPr>
        <w:t>Table of Contents</w:t>
      </w:r>
      <w:r>
        <w:rPr>
          <w:noProof/>
        </w:rPr>
        <w:tab/>
      </w:r>
      <w:r>
        <w:rPr>
          <w:noProof/>
        </w:rPr>
        <w:fldChar w:fldCharType="begin"/>
      </w:r>
      <w:r>
        <w:rPr>
          <w:noProof/>
        </w:rPr>
        <w:instrText xml:space="preserve"> PAGEREF _Toc60773840 \h </w:instrText>
      </w:r>
      <w:r>
        <w:rPr>
          <w:noProof/>
        </w:rPr>
      </w:r>
      <w:r>
        <w:rPr>
          <w:noProof/>
        </w:rPr>
        <w:fldChar w:fldCharType="separate"/>
      </w:r>
      <w:r>
        <w:rPr>
          <w:noProof/>
        </w:rPr>
        <w:t>vii</w:t>
      </w:r>
      <w:r>
        <w:rPr>
          <w:noProof/>
        </w:rPr>
        <w:fldChar w:fldCharType="end"/>
      </w:r>
    </w:p>
    <w:p w14:paraId="15908D11" w14:textId="48B434CF" w:rsidR="00885DE4" w:rsidRDefault="00885DE4">
      <w:pPr>
        <w:pStyle w:val="TOC1"/>
        <w:tabs>
          <w:tab w:val="right" w:leader="dot" w:pos="9068"/>
        </w:tabs>
        <w:rPr>
          <w:rFonts w:asciiTheme="minorHAnsi" w:eastAsiaTheme="minorEastAsia" w:hAnsiTheme="minorHAnsi" w:cstheme="minorBidi"/>
          <w:b w:val="0"/>
          <w:bCs w:val="0"/>
          <w:noProof/>
          <w:color w:val="auto"/>
          <w:szCs w:val="24"/>
          <w:bdr w:val="none" w:sz="0" w:space="0" w:color="auto"/>
          <w:lang w:eastAsia="en-GB"/>
        </w:rPr>
      </w:pPr>
      <w:r>
        <w:rPr>
          <w:noProof/>
        </w:rPr>
        <w:t>List of Tables</w:t>
      </w:r>
      <w:r>
        <w:rPr>
          <w:noProof/>
        </w:rPr>
        <w:tab/>
      </w:r>
      <w:r>
        <w:rPr>
          <w:noProof/>
        </w:rPr>
        <w:fldChar w:fldCharType="begin"/>
      </w:r>
      <w:r>
        <w:rPr>
          <w:noProof/>
        </w:rPr>
        <w:instrText xml:space="preserve"> PAGEREF _Toc60773841 \h </w:instrText>
      </w:r>
      <w:r>
        <w:rPr>
          <w:noProof/>
        </w:rPr>
      </w:r>
      <w:r>
        <w:rPr>
          <w:noProof/>
        </w:rPr>
        <w:fldChar w:fldCharType="separate"/>
      </w:r>
      <w:r>
        <w:rPr>
          <w:noProof/>
        </w:rPr>
        <w:t>xiii</w:t>
      </w:r>
      <w:r>
        <w:rPr>
          <w:noProof/>
        </w:rPr>
        <w:fldChar w:fldCharType="end"/>
      </w:r>
    </w:p>
    <w:p w14:paraId="6580822A" w14:textId="2648EEE0" w:rsidR="00885DE4" w:rsidRDefault="00885DE4">
      <w:pPr>
        <w:pStyle w:val="TOC1"/>
        <w:tabs>
          <w:tab w:val="right" w:leader="dot" w:pos="9068"/>
        </w:tabs>
        <w:rPr>
          <w:rFonts w:asciiTheme="minorHAnsi" w:eastAsiaTheme="minorEastAsia" w:hAnsiTheme="minorHAnsi" w:cstheme="minorBidi"/>
          <w:b w:val="0"/>
          <w:bCs w:val="0"/>
          <w:noProof/>
          <w:color w:val="auto"/>
          <w:szCs w:val="24"/>
          <w:bdr w:val="none" w:sz="0" w:space="0" w:color="auto"/>
          <w:lang w:eastAsia="en-GB"/>
        </w:rPr>
      </w:pPr>
      <w:r>
        <w:rPr>
          <w:noProof/>
        </w:rPr>
        <w:t>List of Figures</w:t>
      </w:r>
      <w:r>
        <w:rPr>
          <w:noProof/>
        </w:rPr>
        <w:tab/>
      </w:r>
      <w:r>
        <w:rPr>
          <w:noProof/>
        </w:rPr>
        <w:fldChar w:fldCharType="begin"/>
      </w:r>
      <w:r>
        <w:rPr>
          <w:noProof/>
        </w:rPr>
        <w:instrText xml:space="preserve"> PAGEREF _Toc60773842 \h </w:instrText>
      </w:r>
      <w:r>
        <w:rPr>
          <w:noProof/>
        </w:rPr>
      </w:r>
      <w:r>
        <w:rPr>
          <w:noProof/>
        </w:rPr>
        <w:fldChar w:fldCharType="separate"/>
      </w:r>
      <w:r>
        <w:rPr>
          <w:noProof/>
        </w:rPr>
        <w:t>xv</w:t>
      </w:r>
      <w:r>
        <w:rPr>
          <w:noProof/>
        </w:rPr>
        <w:fldChar w:fldCharType="end"/>
      </w:r>
    </w:p>
    <w:p w14:paraId="0E0E7FEB" w14:textId="5B89C0C8" w:rsidR="00885DE4" w:rsidRDefault="00885DE4">
      <w:pPr>
        <w:pStyle w:val="TOC1"/>
        <w:tabs>
          <w:tab w:val="right" w:leader="dot" w:pos="9068"/>
        </w:tabs>
        <w:rPr>
          <w:rFonts w:asciiTheme="minorHAnsi" w:eastAsiaTheme="minorEastAsia" w:hAnsiTheme="minorHAnsi" w:cstheme="minorBidi"/>
          <w:b w:val="0"/>
          <w:bCs w:val="0"/>
          <w:noProof/>
          <w:color w:val="auto"/>
          <w:szCs w:val="24"/>
          <w:bdr w:val="none" w:sz="0" w:space="0" w:color="auto"/>
          <w:lang w:eastAsia="en-GB"/>
        </w:rPr>
      </w:pPr>
      <w:r>
        <w:rPr>
          <w:noProof/>
        </w:rPr>
        <w:t>Abbreviations</w:t>
      </w:r>
      <w:r>
        <w:rPr>
          <w:noProof/>
        </w:rPr>
        <w:tab/>
      </w:r>
      <w:r>
        <w:rPr>
          <w:noProof/>
        </w:rPr>
        <w:fldChar w:fldCharType="begin"/>
      </w:r>
      <w:r>
        <w:rPr>
          <w:noProof/>
        </w:rPr>
        <w:instrText xml:space="preserve"> PAGEREF _Toc60773843 \h </w:instrText>
      </w:r>
      <w:r>
        <w:rPr>
          <w:noProof/>
        </w:rPr>
      </w:r>
      <w:r>
        <w:rPr>
          <w:noProof/>
        </w:rPr>
        <w:fldChar w:fldCharType="separate"/>
      </w:r>
      <w:r>
        <w:rPr>
          <w:noProof/>
        </w:rPr>
        <w:t>xvii</w:t>
      </w:r>
      <w:r>
        <w:rPr>
          <w:noProof/>
        </w:rPr>
        <w:fldChar w:fldCharType="end"/>
      </w:r>
    </w:p>
    <w:p w14:paraId="5D4E1B1C" w14:textId="20B36837" w:rsidR="00885DE4" w:rsidRDefault="00885DE4">
      <w:pPr>
        <w:pStyle w:val="TOC1"/>
        <w:tabs>
          <w:tab w:val="left" w:pos="828"/>
          <w:tab w:val="right" w:leader="dot" w:pos="9068"/>
        </w:tabs>
        <w:rPr>
          <w:rFonts w:asciiTheme="minorHAnsi" w:eastAsiaTheme="minorEastAsia" w:hAnsiTheme="minorHAnsi" w:cstheme="minorBidi"/>
          <w:b w:val="0"/>
          <w:bCs w:val="0"/>
          <w:noProof/>
          <w:color w:val="auto"/>
          <w:szCs w:val="24"/>
          <w:bdr w:val="none" w:sz="0" w:space="0" w:color="auto"/>
          <w:lang w:eastAsia="en-GB"/>
        </w:rPr>
      </w:pPr>
      <w:r>
        <w:rPr>
          <w:noProof/>
        </w:rPr>
        <w:t>1</w:t>
      </w:r>
      <w:r>
        <w:rPr>
          <w:rFonts w:asciiTheme="minorHAnsi" w:eastAsiaTheme="minorEastAsia" w:hAnsiTheme="minorHAnsi" w:cstheme="minorBidi"/>
          <w:b w:val="0"/>
          <w:bCs w:val="0"/>
          <w:noProof/>
          <w:color w:val="auto"/>
          <w:szCs w:val="24"/>
          <w:bdr w:val="none" w:sz="0" w:space="0" w:color="auto"/>
          <w:lang w:eastAsia="en-GB"/>
        </w:rPr>
        <w:tab/>
      </w:r>
      <w:r>
        <w:rPr>
          <w:noProof/>
        </w:rPr>
        <w:t>Introduction</w:t>
      </w:r>
      <w:r>
        <w:rPr>
          <w:noProof/>
        </w:rPr>
        <w:tab/>
      </w:r>
      <w:r>
        <w:rPr>
          <w:noProof/>
        </w:rPr>
        <w:fldChar w:fldCharType="begin"/>
      </w:r>
      <w:r>
        <w:rPr>
          <w:noProof/>
        </w:rPr>
        <w:instrText xml:space="preserve"> PAGEREF _Toc60773844 \h </w:instrText>
      </w:r>
      <w:r>
        <w:rPr>
          <w:noProof/>
        </w:rPr>
      </w:r>
      <w:r>
        <w:rPr>
          <w:noProof/>
        </w:rPr>
        <w:fldChar w:fldCharType="separate"/>
      </w:r>
      <w:r>
        <w:rPr>
          <w:noProof/>
        </w:rPr>
        <w:t>21</w:t>
      </w:r>
      <w:r>
        <w:rPr>
          <w:noProof/>
        </w:rPr>
        <w:fldChar w:fldCharType="end"/>
      </w:r>
    </w:p>
    <w:p w14:paraId="1872D89E" w14:textId="1AC592D4"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1.1</w:t>
      </w:r>
      <w:r>
        <w:rPr>
          <w:rFonts w:asciiTheme="minorHAnsi" w:eastAsiaTheme="minorEastAsia" w:hAnsiTheme="minorHAnsi" w:cstheme="minorBidi"/>
          <w:noProof/>
          <w:color w:val="auto"/>
          <w:sz w:val="24"/>
          <w:szCs w:val="24"/>
          <w:bdr w:val="none" w:sz="0" w:space="0" w:color="auto"/>
          <w:lang w:eastAsia="en-GB"/>
        </w:rPr>
        <w:tab/>
      </w:r>
      <w:r>
        <w:rPr>
          <w:noProof/>
        </w:rPr>
        <w:t>Pulmonary Hypertension</w:t>
      </w:r>
      <w:r>
        <w:rPr>
          <w:noProof/>
        </w:rPr>
        <w:tab/>
      </w:r>
      <w:r>
        <w:rPr>
          <w:noProof/>
        </w:rPr>
        <w:fldChar w:fldCharType="begin"/>
      </w:r>
      <w:r>
        <w:rPr>
          <w:noProof/>
        </w:rPr>
        <w:instrText xml:space="preserve"> PAGEREF _Toc60773845 \h </w:instrText>
      </w:r>
      <w:r>
        <w:rPr>
          <w:noProof/>
        </w:rPr>
      </w:r>
      <w:r>
        <w:rPr>
          <w:noProof/>
        </w:rPr>
        <w:fldChar w:fldCharType="separate"/>
      </w:r>
      <w:r>
        <w:rPr>
          <w:noProof/>
        </w:rPr>
        <w:t>21</w:t>
      </w:r>
      <w:r>
        <w:rPr>
          <w:noProof/>
        </w:rPr>
        <w:fldChar w:fldCharType="end"/>
      </w:r>
    </w:p>
    <w:p w14:paraId="08ECD7E7" w14:textId="28488326"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1.2</w:t>
      </w:r>
      <w:r>
        <w:rPr>
          <w:rFonts w:asciiTheme="minorHAnsi" w:eastAsiaTheme="minorEastAsia" w:hAnsiTheme="minorHAnsi" w:cstheme="minorBidi"/>
          <w:noProof/>
          <w:color w:val="auto"/>
          <w:sz w:val="24"/>
          <w:szCs w:val="24"/>
          <w:bdr w:val="none" w:sz="0" w:space="0" w:color="auto"/>
          <w:lang w:eastAsia="en-GB"/>
        </w:rPr>
        <w:tab/>
      </w:r>
      <w:r>
        <w:rPr>
          <w:noProof/>
        </w:rPr>
        <w:t>Pulmonary Arterial Hypertension</w:t>
      </w:r>
      <w:r>
        <w:rPr>
          <w:noProof/>
        </w:rPr>
        <w:tab/>
      </w:r>
      <w:r>
        <w:rPr>
          <w:noProof/>
        </w:rPr>
        <w:fldChar w:fldCharType="begin"/>
      </w:r>
      <w:r>
        <w:rPr>
          <w:noProof/>
        </w:rPr>
        <w:instrText xml:space="preserve"> PAGEREF _Toc60773846 \h </w:instrText>
      </w:r>
      <w:r>
        <w:rPr>
          <w:noProof/>
        </w:rPr>
      </w:r>
      <w:r>
        <w:rPr>
          <w:noProof/>
        </w:rPr>
        <w:fldChar w:fldCharType="separate"/>
      </w:r>
      <w:r>
        <w:rPr>
          <w:noProof/>
        </w:rPr>
        <w:t>21</w:t>
      </w:r>
      <w:r>
        <w:rPr>
          <w:noProof/>
        </w:rPr>
        <w:fldChar w:fldCharType="end"/>
      </w:r>
    </w:p>
    <w:p w14:paraId="01237CBB" w14:textId="41F8DD18"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1.3</w:t>
      </w:r>
      <w:r>
        <w:rPr>
          <w:rFonts w:asciiTheme="minorHAnsi" w:eastAsiaTheme="minorEastAsia" w:hAnsiTheme="minorHAnsi" w:cstheme="minorBidi"/>
          <w:noProof/>
          <w:color w:val="auto"/>
          <w:sz w:val="24"/>
          <w:szCs w:val="24"/>
          <w:bdr w:val="none" w:sz="0" w:space="0" w:color="auto"/>
          <w:lang w:eastAsia="en-GB"/>
        </w:rPr>
        <w:tab/>
      </w:r>
      <w:r>
        <w:rPr>
          <w:noProof/>
        </w:rPr>
        <w:t>Systemic Sclerosis Associated Pulmonary Arterial Hypertension</w:t>
      </w:r>
      <w:r>
        <w:rPr>
          <w:noProof/>
        </w:rPr>
        <w:tab/>
      </w:r>
      <w:r>
        <w:rPr>
          <w:noProof/>
        </w:rPr>
        <w:fldChar w:fldCharType="begin"/>
      </w:r>
      <w:r>
        <w:rPr>
          <w:noProof/>
        </w:rPr>
        <w:instrText xml:space="preserve"> PAGEREF _Toc60773847 \h </w:instrText>
      </w:r>
      <w:r>
        <w:rPr>
          <w:noProof/>
        </w:rPr>
      </w:r>
      <w:r>
        <w:rPr>
          <w:noProof/>
        </w:rPr>
        <w:fldChar w:fldCharType="separate"/>
      </w:r>
      <w:r>
        <w:rPr>
          <w:noProof/>
        </w:rPr>
        <w:t>23</w:t>
      </w:r>
      <w:r>
        <w:rPr>
          <w:noProof/>
        </w:rPr>
        <w:fldChar w:fldCharType="end"/>
      </w:r>
    </w:p>
    <w:p w14:paraId="4974D42C" w14:textId="090A769D"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1.4</w:t>
      </w:r>
      <w:r>
        <w:rPr>
          <w:rFonts w:asciiTheme="minorHAnsi" w:eastAsiaTheme="minorEastAsia" w:hAnsiTheme="minorHAnsi" w:cstheme="minorBidi"/>
          <w:noProof/>
          <w:color w:val="auto"/>
          <w:sz w:val="24"/>
          <w:szCs w:val="24"/>
          <w:bdr w:val="none" w:sz="0" w:space="0" w:color="auto"/>
          <w:lang w:eastAsia="en-GB"/>
        </w:rPr>
        <w:tab/>
      </w:r>
      <w:r>
        <w:rPr>
          <w:noProof/>
        </w:rPr>
        <w:t>Non-invasive testing in PAH</w:t>
      </w:r>
      <w:r>
        <w:rPr>
          <w:noProof/>
        </w:rPr>
        <w:tab/>
      </w:r>
      <w:r>
        <w:rPr>
          <w:noProof/>
        </w:rPr>
        <w:fldChar w:fldCharType="begin"/>
      </w:r>
      <w:r>
        <w:rPr>
          <w:noProof/>
        </w:rPr>
        <w:instrText xml:space="preserve"> PAGEREF _Toc60773848 \h </w:instrText>
      </w:r>
      <w:r>
        <w:rPr>
          <w:noProof/>
        </w:rPr>
      </w:r>
      <w:r>
        <w:rPr>
          <w:noProof/>
        </w:rPr>
        <w:fldChar w:fldCharType="separate"/>
      </w:r>
      <w:r>
        <w:rPr>
          <w:noProof/>
        </w:rPr>
        <w:t>24</w:t>
      </w:r>
      <w:r>
        <w:rPr>
          <w:noProof/>
        </w:rPr>
        <w:fldChar w:fldCharType="end"/>
      </w:r>
    </w:p>
    <w:p w14:paraId="21FC6558" w14:textId="01CB17E0"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1.4.1</w:t>
      </w:r>
      <w:r>
        <w:rPr>
          <w:rFonts w:asciiTheme="minorHAnsi" w:eastAsiaTheme="minorEastAsia" w:hAnsiTheme="minorHAnsi" w:cstheme="minorBidi"/>
          <w:noProof/>
          <w:color w:val="auto"/>
          <w:sz w:val="24"/>
          <w:szCs w:val="24"/>
          <w:bdr w:val="none" w:sz="0" w:space="0" w:color="auto"/>
          <w:lang w:eastAsia="en-GB"/>
        </w:rPr>
        <w:tab/>
      </w:r>
      <w:r>
        <w:rPr>
          <w:noProof/>
        </w:rPr>
        <w:t>Echocardiography</w:t>
      </w:r>
      <w:r>
        <w:rPr>
          <w:noProof/>
        </w:rPr>
        <w:tab/>
      </w:r>
      <w:r>
        <w:rPr>
          <w:noProof/>
        </w:rPr>
        <w:fldChar w:fldCharType="begin"/>
      </w:r>
      <w:r>
        <w:rPr>
          <w:noProof/>
        </w:rPr>
        <w:instrText xml:space="preserve"> PAGEREF _Toc60773849 \h </w:instrText>
      </w:r>
      <w:r>
        <w:rPr>
          <w:noProof/>
        </w:rPr>
      </w:r>
      <w:r>
        <w:rPr>
          <w:noProof/>
        </w:rPr>
        <w:fldChar w:fldCharType="separate"/>
      </w:r>
      <w:r>
        <w:rPr>
          <w:noProof/>
        </w:rPr>
        <w:t>24</w:t>
      </w:r>
      <w:r>
        <w:rPr>
          <w:noProof/>
        </w:rPr>
        <w:fldChar w:fldCharType="end"/>
      </w:r>
    </w:p>
    <w:p w14:paraId="6AC8993D" w14:textId="0AB463A8"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1.4.2</w:t>
      </w:r>
      <w:r>
        <w:rPr>
          <w:rFonts w:asciiTheme="minorHAnsi" w:eastAsiaTheme="minorEastAsia" w:hAnsiTheme="minorHAnsi" w:cstheme="minorBidi"/>
          <w:noProof/>
          <w:color w:val="auto"/>
          <w:sz w:val="24"/>
          <w:szCs w:val="24"/>
          <w:bdr w:val="none" w:sz="0" w:space="0" w:color="auto"/>
          <w:lang w:eastAsia="en-GB"/>
        </w:rPr>
        <w:tab/>
      </w:r>
      <w:r>
        <w:rPr>
          <w:noProof/>
        </w:rPr>
        <w:t>Pulmonary Function Tests</w:t>
      </w:r>
      <w:r>
        <w:rPr>
          <w:noProof/>
        </w:rPr>
        <w:tab/>
      </w:r>
      <w:r>
        <w:rPr>
          <w:noProof/>
        </w:rPr>
        <w:fldChar w:fldCharType="begin"/>
      </w:r>
      <w:r>
        <w:rPr>
          <w:noProof/>
        </w:rPr>
        <w:instrText xml:space="preserve"> PAGEREF _Toc60773850 \h </w:instrText>
      </w:r>
      <w:r>
        <w:rPr>
          <w:noProof/>
        </w:rPr>
      </w:r>
      <w:r>
        <w:rPr>
          <w:noProof/>
        </w:rPr>
        <w:fldChar w:fldCharType="separate"/>
      </w:r>
      <w:r>
        <w:rPr>
          <w:noProof/>
        </w:rPr>
        <w:t>25</w:t>
      </w:r>
      <w:r>
        <w:rPr>
          <w:noProof/>
        </w:rPr>
        <w:fldChar w:fldCharType="end"/>
      </w:r>
    </w:p>
    <w:p w14:paraId="2CABA2D0" w14:textId="1CEA0C30"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1.4.3</w:t>
      </w:r>
      <w:r>
        <w:rPr>
          <w:rFonts w:asciiTheme="minorHAnsi" w:eastAsiaTheme="minorEastAsia" w:hAnsiTheme="minorHAnsi" w:cstheme="minorBidi"/>
          <w:noProof/>
          <w:color w:val="auto"/>
          <w:sz w:val="24"/>
          <w:szCs w:val="24"/>
          <w:bdr w:val="none" w:sz="0" w:space="0" w:color="auto"/>
          <w:lang w:eastAsia="en-GB"/>
        </w:rPr>
        <w:tab/>
      </w:r>
      <w:r>
        <w:rPr>
          <w:noProof/>
        </w:rPr>
        <w:t>NT-proBNP</w:t>
      </w:r>
      <w:r>
        <w:rPr>
          <w:noProof/>
        </w:rPr>
        <w:tab/>
      </w:r>
      <w:r>
        <w:rPr>
          <w:noProof/>
        </w:rPr>
        <w:fldChar w:fldCharType="begin"/>
      </w:r>
      <w:r>
        <w:rPr>
          <w:noProof/>
        </w:rPr>
        <w:instrText xml:space="preserve"> PAGEREF _Toc60773851 \h </w:instrText>
      </w:r>
      <w:r>
        <w:rPr>
          <w:noProof/>
        </w:rPr>
      </w:r>
      <w:r>
        <w:rPr>
          <w:noProof/>
        </w:rPr>
        <w:fldChar w:fldCharType="separate"/>
      </w:r>
      <w:r>
        <w:rPr>
          <w:noProof/>
        </w:rPr>
        <w:t>25</w:t>
      </w:r>
      <w:r>
        <w:rPr>
          <w:noProof/>
        </w:rPr>
        <w:fldChar w:fldCharType="end"/>
      </w:r>
    </w:p>
    <w:p w14:paraId="4F91BD89" w14:textId="3D33F2BD"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1.4.4</w:t>
      </w:r>
      <w:r>
        <w:rPr>
          <w:rFonts w:asciiTheme="minorHAnsi" w:eastAsiaTheme="minorEastAsia" w:hAnsiTheme="minorHAnsi" w:cstheme="minorBidi"/>
          <w:noProof/>
          <w:color w:val="auto"/>
          <w:sz w:val="24"/>
          <w:szCs w:val="24"/>
          <w:bdr w:val="none" w:sz="0" w:space="0" w:color="auto"/>
          <w:lang w:eastAsia="en-GB"/>
        </w:rPr>
        <w:tab/>
      </w:r>
      <w:r>
        <w:rPr>
          <w:noProof/>
        </w:rPr>
        <w:t>Measured Walk Distance Measures</w:t>
      </w:r>
      <w:r>
        <w:rPr>
          <w:noProof/>
        </w:rPr>
        <w:tab/>
      </w:r>
      <w:r>
        <w:rPr>
          <w:noProof/>
        </w:rPr>
        <w:fldChar w:fldCharType="begin"/>
      </w:r>
      <w:r>
        <w:rPr>
          <w:noProof/>
        </w:rPr>
        <w:instrText xml:space="preserve"> PAGEREF _Toc60773852 \h </w:instrText>
      </w:r>
      <w:r>
        <w:rPr>
          <w:noProof/>
        </w:rPr>
      </w:r>
      <w:r>
        <w:rPr>
          <w:noProof/>
        </w:rPr>
        <w:fldChar w:fldCharType="separate"/>
      </w:r>
      <w:r>
        <w:rPr>
          <w:noProof/>
        </w:rPr>
        <w:t>26</w:t>
      </w:r>
      <w:r>
        <w:rPr>
          <w:noProof/>
        </w:rPr>
        <w:fldChar w:fldCharType="end"/>
      </w:r>
    </w:p>
    <w:p w14:paraId="2520FE8C" w14:textId="078F9EF4"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1.5</w:t>
      </w:r>
      <w:r>
        <w:rPr>
          <w:rFonts w:asciiTheme="minorHAnsi" w:eastAsiaTheme="minorEastAsia" w:hAnsiTheme="minorHAnsi" w:cstheme="minorBidi"/>
          <w:noProof/>
          <w:color w:val="auto"/>
          <w:sz w:val="24"/>
          <w:szCs w:val="24"/>
          <w:bdr w:val="none" w:sz="0" w:space="0" w:color="auto"/>
          <w:lang w:eastAsia="en-GB"/>
        </w:rPr>
        <w:tab/>
      </w:r>
      <w:r>
        <w:rPr>
          <w:noProof/>
        </w:rPr>
        <w:t>MicroRNAs</w:t>
      </w:r>
      <w:r>
        <w:rPr>
          <w:noProof/>
        </w:rPr>
        <w:tab/>
      </w:r>
      <w:r>
        <w:rPr>
          <w:noProof/>
        </w:rPr>
        <w:fldChar w:fldCharType="begin"/>
      </w:r>
      <w:r>
        <w:rPr>
          <w:noProof/>
        </w:rPr>
        <w:instrText xml:space="preserve"> PAGEREF _Toc60773853 \h </w:instrText>
      </w:r>
      <w:r>
        <w:rPr>
          <w:noProof/>
        </w:rPr>
      </w:r>
      <w:r>
        <w:rPr>
          <w:noProof/>
        </w:rPr>
        <w:fldChar w:fldCharType="separate"/>
      </w:r>
      <w:r>
        <w:rPr>
          <w:noProof/>
        </w:rPr>
        <w:t>27</w:t>
      </w:r>
      <w:r>
        <w:rPr>
          <w:noProof/>
        </w:rPr>
        <w:fldChar w:fldCharType="end"/>
      </w:r>
    </w:p>
    <w:p w14:paraId="7DD20929" w14:textId="7A7B7546"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1.5.1</w:t>
      </w:r>
      <w:r>
        <w:rPr>
          <w:rFonts w:asciiTheme="minorHAnsi" w:eastAsiaTheme="minorEastAsia" w:hAnsiTheme="minorHAnsi" w:cstheme="minorBidi"/>
          <w:noProof/>
          <w:color w:val="auto"/>
          <w:sz w:val="24"/>
          <w:szCs w:val="24"/>
          <w:bdr w:val="none" w:sz="0" w:space="0" w:color="auto"/>
          <w:lang w:eastAsia="en-GB"/>
        </w:rPr>
        <w:tab/>
      </w:r>
      <w:r>
        <w:rPr>
          <w:noProof/>
        </w:rPr>
        <w:t>Changes in MiRNAs - cause or effect</w:t>
      </w:r>
      <w:r>
        <w:rPr>
          <w:noProof/>
        </w:rPr>
        <w:tab/>
      </w:r>
      <w:r>
        <w:rPr>
          <w:noProof/>
        </w:rPr>
        <w:fldChar w:fldCharType="begin"/>
      </w:r>
      <w:r>
        <w:rPr>
          <w:noProof/>
        </w:rPr>
        <w:instrText xml:space="preserve"> PAGEREF _Toc60773854 \h </w:instrText>
      </w:r>
      <w:r>
        <w:rPr>
          <w:noProof/>
        </w:rPr>
      </w:r>
      <w:r>
        <w:rPr>
          <w:noProof/>
        </w:rPr>
        <w:fldChar w:fldCharType="separate"/>
      </w:r>
      <w:r>
        <w:rPr>
          <w:noProof/>
        </w:rPr>
        <w:t>28</w:t>
      </w:r>
      <w:r>
        <w:rPr>
          <w:noProof/>
        </w:rPr>
        <w:fldChar w:fldCharType="end"/>
      </w:r>
    </w:p>
    <w:p w14:paraId="7DB674F5" w14:textId="7E8CE30C"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1.5.2</w:t>
      </w:r>
      <w:r>
        <w:rPr>
          <w:rFonts w:asciiTheme="minorHAnsi" w:eastAsiaTheme="minorEastAsia" w:hAnsiTheme="minorHAnsi" w:cstheme="minorBidi"/>
          <w:noProof/>
          <w:color w:val="auto"/>
          <w:sz w:val="24"/>
          <w:szCs w:val="24"/>
          <w:bdr w:val="none" w:sz="0" w:space="0" w:color="auto"/>
          <w:lang w:eastAsia="en-GB"/>
        </w:rPr>
        <w:tab/>
      </w:r>
      <w:r>
        <w:rPr>
          <w:noProof/>
        </w:rPr>
        <w:t>MicroRNAs in PAH</w:t>
      </w:r>
      <w:r>
        <w:rPr>
          <w:noProof/>
        </w:rPr>
        <w:tab/>
      </w:r>
      <w:r>
        <w:rPr>
          <w:noProof/>
        </w:rPr>
        <w:fldChar w:fldCharType="begin"/>
      </w:r>
      <w:r>
        <w:rPr>
          <w:noProof/>
        </w:rPr>
        <w:instrText xml:space="preserve"> PAGEREF _Toc60773855 \h </w:instrText>
      </w:r>
      <w:r>
        <w:rPr>
          <w:noProof/>
        </w:rPr>
      </w:r>
      <w:r>
        <w:rPr>
          <w:noProof/>
        </w:rPr>
        <w:fldChar w:fldCharType="separate"/>
      </w:r>
      <w:r>
        <w:rPr>
          <w:noProof/>
        </w:rPr>
        <w:t>29</w:t>
      </w:r>
      <w:r>
        <w:rPr>
          <w:noProof/>
        </w:rPr>
        <w:fldChar w:fldCharType="end"/>
      </w:r>
    </w:p>
    <w:p w14:paraId="5BB1E000" w14:textId="70755F6D"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1.5.3</w:t>
      </w:r>
      <w:r>
        <w:rPr>
          <w:rFonts w:asciiTheme="minorHAnsi" w:eastAsiaTheme="minorEastAsia" w:hAnsiTheme="minorHAnsi" w:cstheme="minorBidi"/>
          <w:noProof/>
          <w:color w:val="auto"/>
          <w:sz w:val="24"/>
          <w:szCs w:val="24"/>
          <w:bdr w:val="none" w:sz="0" w:space="0" w:color="auto"/>
          <w:lang w:eastAsia="en-GB"/>
        </w:rPr>
        <w:tab/>
      </w:r>
      <w:r>
        <w:rPr>
          <w:noProof/>
        </w:rPr>
        <w:t>Circulating MicroRNA biomarkers</w:t>
      </w:r>
      <w:r>
        <w:rPr>
          <w:noProof/>
        </w:rPr>
        <w:tab/>
      </w:r>
      <w:r>
        <w:rPr>
          <w:noProof/>
        </w:rPr>
        <w:fldChar w:fldCharType="begin"/>
      </w:r>
      <w:r>
        <w:rPr>
          <w:noProof/>
        </w:rPr>
        <w:instrText xml:space="preserve"> PAGEREF _Toc60773856 \h </w:instrText>
      </w:r>
      <w:r>
        <w:rPr>
          <w:noProof/>
        </w:rPr>
      </w:r>
      <w:r>
        <w:rPr>
          <w:noProof/>
        </w:rPr>
        <w:fldChar w:fldCharType="separate"/>
      </w:r>
      <w:r>
        <w:rPr>
          <w:noProof/>
        </w:rPr>
        <w:t>31</w:t>
      </w:r>
      <w:r>
        <w:rPr>
          <w:noProof/>
        </w:rPr>
        <w:fldChar w:fldCharType="end"/>
      </w:r>
    </w:p>
    <w:p w14:paraId="51EB49B9" w14:textId="28B282BC"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1.5.3.1</w:t>
      </w:r>
      <w:r>
        <w:rPr>
          <w:rFonts w:asciiTheme="minorHAnsi" w:eastAsiaTheme="minorEastAsia" w:hAnsiTheme="minorHAnsi" w:cstheme="minorBidi"/>
          <w:noProof/>
          <w:color w:val="auto"/>
          <w:sz w:val="24"/>
          <w:szCs w:val="24"/>
          <w:bdr w:val="none" w:sz="0" w:space="0" w:color="auto"/>
          <w:lang w:eastAsia="en-GB"/>
        </w:rPr>
        <w:tab/>
      </w:r>
      <w:r>
        <w:rPr>
          <w:noProof/>
        </w:rPr>
        <w:t>Prostate cancer</w:t>
      </w:r>
      <w:r>
        <w:rPr>
          <w:noProof/>
        </w:rPr>
        <w:tab/>
      </w:r>
      <w:r>
        <w:rPr>
          <w:noProof/>
        </w:rPr>
        <w:fldChar w:fldCharType="begin"/>
      </w:r>
      <w:r>
        <w:rPr>
          <w:noProof/>
        </w:rPr>
        <w:instrText xml:space="preserve"> PAGEREF _Toc60773857 \h </w:instrText>
      </w:r>
      <w:r>
        <w:rPr>
          <w:noProof/>
        </w:rPr>
      </w:r>
      <w:r>
        <w:rPr>
          <w:noProof/>
        </w:rPr>
        <w:fldChar w:fldCharType="separate"/>
      </w:r>
      <w:r>
        <w:rPr>
          <w:noProof/>
        </w:rPr>
        <w:t>31</w:t>
      </w:r>
      <w:r>
        <w:rPr>
          <w:noProof/>
        </w:rPr>
        <w:fldChar w:fldCharType="end"/>
      </w:r>
    </w:p>
    <w:p w14:paraId="4A78235C" w14:textId="6E5BAF2D"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1.5.3.2</w:t>
      </w:r>
      <w:r>
        <w:rPr>
          <w:rFonts w:asciiTheme="minorHAnsi" w:eastAsiaTheme="minorEastAsia" w:hAnsiTheme="minorHAnsi" w:cstheme="minorBidi"/>
          <w:noProof/>
          <w:color w:val="auto"/>
          <w:sz w:val="24"/>
          <w:szCs w:val="24"/>
          <w:bdr w:val="none" w:sz="0" w:space="0" w:color="auto"/>
          <w:lang w:eastAsia="en-GB"/>
        </w:rPr>
        <w:tab/>
      </w:r>
      <w:r>
        <w:rPr>
          <w:noProof/>
        </w:rPr>
        <w:t>Acute myocardial infarction</w:t>
      </w:r>
      <w:r>
        <w:rPr>
          <w:noProof/>
        </w:rPr>
        <w:tab/>
      </w:r>
      <w:r>
        <w:rPr>
          <w:noProof/>
        </w:rPr>
        <w:fldChar w:fldCharType="begin"/>
      </w:r>
      <w:r>
        <w:rPr>
          <w:noProof/>
        </w:rPr>
        <w:instrText xml:space="preserve"> PAGEREF _Toc60773858 \h </w:instrText>
      </w:r>
      <w:r>
        <w:rPr>
          <w:noProof/>
        </w:rPr>
      </w:r>
      <w:r>
        <w:rPr>
          <w:noProof/>
        </w:rPr>
        <w:fldChar w:fldCharType="separate"/>
      </w:r>
      <w:r>
        <w:rPr>
          <w:noProof/>
        </w:rPr>
        <w:t>32</w:t>
      </w:r>
      <w:r>
        <w:rPr>
          <w:noProof/>
        </w:rPr>
        <w:fldChar w:fldCharType="end"/>
      </w:r>
    </w:p>
    <w:p w14:paraId="7DF16280" w14:textId="315EE77F"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1.5.3.3</w:t>
      </w:r>
      <w:r>
        <w:rPr>
          <w:rFonts w:asciiTheme="minorHAnsi" w:eastAsiaTheme="minorEastAsia" w:hAnsiTheme="minorHAnsi" w:cstheme="minorBidi"/>
          <w:noProof/>
          <w:color w:val="auto"/>
          <w:sz w:val="24"/>
          <w:szCs w:val="24"/>
          <w:bdr w:val="none" w:sz="0" w:space="0" w:color="auto"/>
          <w:lang w:eastAsia="en-GB"/>
        </w:rPr>
        <w:tab/>
      </w:r>
      <w:r>
        <w:rPr>
          <w:noProof/>
        </w:rPr>
        <w:t>Sepsis</w:t>
      </w:r>
      <w:r>
        <w:rPr>
          <w:noProof/>
        </w:rPr>
        <w:tab/>
      </w:r>
      <w:r>
        <w:rPr>
          <w:noProof/>
        </w:rPr>
        <w:fldChar w:fldCharType="begin"/>
      </w:r>
      <w:r>
        <w:rPr>
          <w:noProof/>
        </w:rPr>
        <w:instrText xml:space="preserve"> PAGEREF _Toc60773859 \h </w:instrText>
      </w:r>
      <w:r>
        <w:rPr>
          <w:noProof/>
        </w:rPr>
      </w:r>
      <w:r>
        <w:rPr>
          <w:noProof/>
        </w:rPr>
        <w:fldChar w:fldCharType="separate"/>
      </w:r>
      <w:r>
        <w:rPr>
          <w:noProof/>
        </w:rPr>
        <w:t>33</w:t>
      </w:r>
      <w:r>
        <w:rPr>
          <w:noProof/>
        </w:rPr>
        <w:fldChar w:fldCharType="end"/>
      </w:r>
    </w:p>
    <w:p w14:paraId="305CBFCA" w14:textId="62C9D500"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1.5.3.4</w:t>
      </w:r>
      <w:r>
        <w:rPr>
          <w:rFonts w:asciiTheme="minorHAnsi" w:eastAsiaTheme="minorEastAsia" w:hAnsiTheme="minorHAnsi" w:cstheme="minorBidi"/>
          <w:noProof/>
          <w:color w:val="auto"/>
          <w:sz w:val="24"/>
          <w:szCs w:val="24"/>
          <w:bdr w:val="none" w:sz="0" w:space="0" w:color="auto"/>
          <w:lang w:eastAsia="en-GB"/>
        </w:rPr>
        <w:tab/>
      </w:r>
      <w:r>
        <w:rPr>
          <w:noProof/>
        </w:rPr>
        <w:t>Frontotemporal dementia</w:t>
      </w:r>
      <w:r>
        <w:rPr>
          <w:noProof/>
        </w:rPr>
        <w:tab/>
      </w:r>
      <w:r>
        <w:rPr>
          <w:noProof/>
        </w:rPr>
        <w:fldChar w:fldCharType="begin"/>
      </w:r>
      <w:r>
        <w:rPr>
          <w:noProof/>
        </w:rPr>
        <w:instrText xml:space="preserve"> PAGEREF _Toc60773860 \h </w:instrText>
      </w:r>
      <w:r>
        <w:rPr>
          <w:noProof/>
        </w:rPr>
      </w:r>
      <w:r>
        <w:rPr>
          <w:noProof/>
        </w:rPr>
        <w:fldChar w:fldCharType="separate"/>
      </w:r>
      <w:r>
        <w:rPr>
          <w:noProof/>
        </w:rPr>
        <w:t>34</w:t>
      </w:r>
      <w:r>
        <w:rPr>
          <w:noProof/>
        </w:rPr>
        <w:fldChar w:fldCharType="end"/>
      </w:r>
    </w:p>
    <w:p w14:paraId="71366273" w14:textId="72C0CAF1"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lastRenderedPageBreak/>
        <w:t>1.5.3.5</w:t>
      </w:r>
      <w:r>
        <w:rPr>
          <w:rFonts w:asciiTheme="minorHAnsi" w:eastAsiaTheme="minorEastAsia" w:hAnsiTheme="minorHAnsi" w:cstheme="minorBidi"/>
          <w:noProof/>
          <w:color w:val="auto"/>
          <w:sz w:val="24"/>
          <w:szCs w:val="24"/>
          <w:bdr w:val="none" w:sz="0" w:space="0" w:color="auto"/>
          <w:lang w:eastAsia="en-GB"/>
        </w:rPr>
        <w:tab/>
      </w:r>
      <w:r>
        <w:rPr>
          <w:noProof/>
        </w:rPr>
        <w:t>Non-Alcoholic Fatty Liver Disease</w:t>
      </w:r>
      <w:r>
        <w:rPr>
          <w:noProof/>
        </w:rPr>
        <w:tab/>
      </w:r>
      <w:r>
        <w:rPr>
          <w:noProof/>
        </w:rPr>
        <w:fldChar w:fldCharType="begin"/>
      </w:r>
      <w:r>
        <w:rPr>
          <w:noProof/>
        </w:rPr>
        <w:instrText xml:space="preserve"> PAGEREF _Toc60773861 \h </w:instrText>
      </w:r>
      <w:r>
        <w:rPr>
          <w:noProof/>
        </w:rPr>
      </w:r>
      <w:r>
        <w:rPr>
          <w:noProof/>
        </w:rPr>
        <w:fldChar w:fldCharType="separate"/>
      </w:r>
      <w:r>
        <w:rPr>
          <w:noProof/>
        </w:rPr>
        <w:t>35</w:t>
      </w:r>
      <w:r>
        <w:rPr>
          <w:noProof/>
        </w:rPr>
        <w:fldChar w:fldCharType="end"/>
      </w:r>
    </w:p>
    <w:p w14:paraId="4E6BCD36" w14:textId="4DCF240C"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1.5.4</w:t>
      </w:r>
      <w:r>
        <w:rPr>
          <w:rFonts w:asciiTheme="minorHAnsi" w:eastAsiaTheme="minorEastAsia" w:hAnsiTheme="minorHAnsi" w:cstheme="minorBidi"/>
          <w:noProof/>
          <w:color w:val="auto"/>
          <w:sz w:val="24"/>
          <w:szCs w:val="24"/>
          <w:bdr w:val="none" w:sz="0" w:space="0" w:color="auto"/>
          <w:lang w:eastAsia="en-GB"/>
        </w:rPr>
        <w:tab/>
      </w:r>
      <w:r>
        <w:rPr>
          <w:noProof/>
        </w:rPr>
        <w:t>MicroRNA biomarkers in PAH</w:t>
      </w:r>
      <w:r>
        <w:rPr>
          <w:noProof/>
        </w:rPr>
        <w:tab/>
      </w:r>
      <w:r>
        <w:rPr>
          <w:noProof/>
        </w:rPr>
        <w:fldChar w:fldCharType="begin"/>
      </w:r>
      <w:r>
        <w:rPr>
          <w:noProof/>
        </w:rPr>
        <w:instrText xml:space="preserve"> PAGEREF _Toc60773862 \h </w:instrText>
      </w:r>
      <w:r>
        <w:rPr>
          <w:noProof/>
        </w:rPr>
      </w:r>
      <w:r>
        <w:rPr>
          <w:noProof/>
        </w:rPr>
        <w:fldChar w:fldCharType="separate"/>
      </w:r>
      <w:r>
        <w:rPr>
          <w:noProof/>
        </w:rPr>
        <w:t>36</w:t>
      </w:r>
      <w:r>
        <w:rPr>
          <w:noProof/>
        </w:rPr>
        <w:fldChar w:fldCharType="end"/>
      </w:r>
    </w:p>
    <w:p w14:paraId="18AC7F24" w14:textId="62D20B15"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1.5.4.1</w:t>
      </w:r>
      <w:r>
        <w:rPr>
          <w:rFonts w:asciiTheme="minorHAnsi" w:eastAsiaTheme="minorEastAsia" w:hAnsiTheme="minorHAnsi" w:cstheme="minorBidi"/>
          <w:noProof/>
          <w:color w:val="auto"/>
          <w:sz w:val="24"/>
          <w:szCs w:val="24"/>
          <w:bdr w:val="none" w:sz="0" w:space="0" w:color="auto"/>
          <w:lang w:eastAsia="en-GB"/>
        </w:rPr>
        <w:tab/>
      </w:r>
      <w:r>
        <w:rPr>
          <w:noProof/>
        </w:rPr>
        <w:t>microRNA-204</w:t>
      </w:r>
      <w:r>
        <w:rPr>
          <w:noProof/>
        </w:rPr>
        <w:tab/>
      </w:r>
      <w:r>
        <w:rPr>
          <w:noProof/>
        </w:rPr>
        <w:fldChar w:fldCharType="begin"/>
      </w:r>
      <w:r>
        <w:rPr>
          <w:noProof/>
        </w:rPr>
        <w:instrText xml:space="preserve"> PAGEREF _Toc60773863 \h </w:instrText>
      </w:r>
      <w:r>
        <w:rPr>
          <w:noProof/>
        </w:rPr>
      </w:r>
      <w:r>
        <w:rPr>
          <w:noProof/>
        </w:rPr>
        <w:fldChar w:fldCharType="separate"/>
      </w:r>
      <w:r>
        <w:rPr>
          <w:noProof/>
        </w:rPr>
        <w:t>36</w:t>
      </w:r>
      <w:r>
        <w:rPr>
          <w:noProof/>
        </w:rPr>
        <w:fldChar w:fldCharType="end"/>
      </w:r>
    </w:p>
    <w:p w14:paraId="2C96387C" w14:textId="727B4A0C"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1.5.4.2</w:t>
      </w:r>
      <w:r>
        <w:rPr>
          <w:rFonts w:asciiTheme="minorHAnsi" w:eastAsiaTheme="minorEastAsia" w:hAnsiTheme="minorHAnsi" w:cstheme="minorBidi"/>
          <w:noProof/>
          <w:color w:val="auto"/>
          <w:sz w:val="24"/>
          <w:szCs w:val="24"/>
          <w:bdr w:val="none" w:sz="0" w:space="0" w:color="auto"/>
          <w:lang w:eastAsia="en-GB"/>
        </w:rPr>
        <w:tab/>
      </w:r>
      <w:r>
        <w:rPr>
          <w:noProof/>
        </w:rPr>
        <w:t>microRNA-150</w:t>
      </w:r>
      <w:r>
        <w:rPr>
          <w:noProof/>
        </w:rPr>
        <w:tab/>
      </w:r>
      <w:r>
        <w:rPr>
          <w:noProof/>
        </w:rPr>
        <w:fldChar w:fldCharType="begin"/>
      </w:r>
      <w:r>
        <w:rPr>
          <w:noProof/>
        </w:rPr>
        <w:instrText xml:space="preserve"> PAGEREF _Toc60773864 \h </w:instrText>
      </w:r>
      <w:r>
        <w:rPr>
          <w:noProof/>
        </w:rPr>
      </w:r>
      <w:r>
        <w:rPr>
          <w:noProof/>
        </w:rPr>
        <w:fldChar w:fldCharType="separate"/>
      </w:r>
      <w:r>
        <w:rPr>
          <w:noProof/>
        </w:rPr>
        <w:t>37</w:t>
      </w:r>
      <w:r>
        <w:rPr>
          <w:noProof/>
        </w:rPr>
        <w:fldChar w:fldCharType="end"/>
      </w:r>
    </w:p>
    <w:p w14:paraId="1A01AD90" w14:textId="1731C105"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1.5.4.3</w:t>
      </w:r>
      <w:r>
        <w:rPr>
          <w:rFonts w:asciiTheme="minorHAnsi" w:eastAsiaTheme="minorEastAsia" w:hAnsiTheme="minorHAnsi" w:cstheme="minorBidi"/>
          <w:noProof/>
          <w:color w:val="auto"/>
          <w:sz w:val="24"/>
          <w:szCs w:val="24"/>
          <w:bdr w:val="none" w:sz="0" w:space="0" w:color="auto"/>
          <w:lang w:eastAsia="en-GB"/>
        </w:rPr>
        <w:tab/>
      </w:r>
      <w:r>
        <w:rPr>
          <w:noProof/>
        </w:rPr>
        <w:t>microRNA-23a</w:t>
      </w:r>
      <w:r>
        <w:rPr>
          <w:noProof/>
        </w:rPr>
        <w:tab/>
      </w:r>
      <w:r>
        <w:rPr>
          <w:noProof/>
        </w:rPr>
        <w:fldChar w:fldCharType="begin"/>
      </w:r>
      <w:r>
        <w:rPr>
          <w:noProof/>
        </w:rPr>
        <w:instrText xml:space="preserve"> PAGEREF _Toc60773865 \h </w:instrText>
      </w:r>
      <w:r>
        <w:rPr>
          <w:noProof/>
        </w:rPr>
      </w:r>
      <w:r>
        <w:rPr>
          <w:noProof/>
        </w:rPr>
        <w:fldChar w:fldCharType="separate"/>
      </w:r>
      <w:r>
        <w:rPr>
          <w:noProof/>
        </w:rPr>
        <w:t>37</w:t>
      </w:r>
      <w:r>
        <w:rPr>
          <w:noProof/>
        </w:rPr>
        <w:fldChar w:fldCharType="end"/>
      </w:r>
    </w:p>
    <w:p w14:paraId="4D6C2FD9" w14:textId="56F512B4"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1.5.4.4</w:t>
      </w:r>
      <w:r>
        <w:rPr>
          <w:rFonts w:asciiTheme="minorHAnsi" w:eastAsiaTheme="minorEastAsia" w:hAnsiTheme="minorHAnsi" w:cstheme="minorBidi"/>
          <w:noProof/>
          <w:color w:val="auto"/>
          <w:sz w:val="24"/>
          <w:szCs w:val="24"/>
          <w:bdr w:val="none" w:sz="0" w:space="0" w:color="auto"/>
          <w:lang w:eastAsia="en-GB"/>
        </w:rPr>
        <w:tab/>
      </w:r>
      <w:r>
        <w:rPr>
          <w:noProof/>
        </w:rPr>
        <w:t>Let-7 family in SSc-PAH</w:t>
      </w:r>
      <w:r>
        <w:rPr>
          <w:noProof/>
        </w:rPr>
        <w:tab/>
      </w:r>
      <w:r>
        <w:rPr>
          <w:noProof/>
        </w:rPr>
        <w:fldChar w:fldCharType="begin"/>
      </w:r>
      <w:r>
        <w:rPr>
          <w:noProof/>
        </w:rPr>
        <w:instrText xml:space="preserve"> PAGEREF _Toc60773866 \h </w:instrText>
      </w:r>
      <w:r>
        <w:rPr>
          <w:noProof/>
        </w:rPr>
      </w:r>
      <w:r>
        <w:rPr>
          <w:noProof/>
        </w:rPr>
        <w:fldChar w:fldCharType="separate"/>
      </w:r>
      <w:r>
        <w:rPr>
          <w:noProof/>
        </w:rPr>
        <w:t>38</w:t>
      </w:r>
      <w:r>
        <w:rPr>
          <w:noProof/>
        </w:rPr>
        <w:fldChar w:fldCharType="end"/>
      </w:r>
    </w:p>
    <w:p w14:paraId="4A747D0F" w14:textId="41E56548"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1.5.4.5</w:t>
      </w:r>
      <w:r>
        <w:rPr>
          <w:rFonts w:asciiTheme="minorHAnsi" w:eastAsiaTheme="minorEastAsia" w:hAnsiTheme="minorHAnsi" w:cstheme="minorBidi"/>
          <w:noProof/>
          <w:color w:val="auto"/>
          <w:sz w:val="24"/>
          <w:szCs w:val="24"/>
          <w:bdr w:val="none" w:sz="0" w:space="0" w:color="auto"/>
          <w:lang w:eastAsia="en-GB"/>
        </w:rPr>
        <w:tab/>
      </w:r>
      <w:r>
        <w:rPr>
          <w:noProof/>
        </w:rPr>
        <w:t>microRNAs in the WNT/</w:t>
      </w:r>
      <w:r>
        <w:rPr>
          <w:noProof/>
        </w:rPr>
        <w:t>β</w:t>
      </w:r>
      <w:r>
        <w:rPr>
          <w:noProof/>
        </w:rPr>
        <w:t>-catenin pathway</w:t>
      </w:r>
      <w:r>
        <w:rPr>
          <w:noProof/>
        </w:rPr>
        <w:tab/>
      </w:r>
      <w:r>
        <w:rPr>
          <w:noProof/>
        </w:rPr>
        <w:fldChar w:fldCharType="begin"/>
      </w:r>
      <w:r>
        <w:rPr>
          <w:noProof/>
        </w:rPr>
        <w:instrText xml:space="preserve"> PAGEREF _Toc60773867 \h </w:instrText>
      </w:r>
      <w:r>
        <w:rPr>
          <w:noProof/>
        </w:rPr>
      </w:r>
      <w:r>
        <w:rPr>
          <w:noProof/>
        </w:rPr>
        <w:fldChar w:fldCharType="separate"/>
      </w:r>
      <w:r>
        <w:rPr>
          <w:noProof/>
        </w:rPr>
        <w:t>38</w:t>
      </w:r>
      <w:r>
        <w:rPr>
          <w:noProof/>
        </w:rPr>
        <w:fldChar w:fldCharType="end"/>
      </w:r>
    </w:p>
    <w:p w14:paraId="71EE917F" w14:textId="178D156E"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1.5.4.6</w:t>
      </w:r>
      <w:r>
        <w:rPr>
          <w:rFonts w:asciiTheme="minorHAnsi" w:eastAsiaTheme="minorEastAsia" w:hAnsiTheme="minorHAnsi" w:cstheme="minorBidi"/>
          <w:noProof/>
          <w:color w:val="auto"/>
          <w:sz w:val="24"/>
          <w:szCs w:val="24"/>
          <w:bdr w:val="none" w:sz="0" w:space="0" w:color="auto"/>
          <w:lang w:eastAsia="en-GB"/>
        </w:rPr>
        <w:tab/>
      </w:r>
      <w:r>
        <w:rPr>
          <w:noProof/>
        </w:rPr>
        <w:t>microRNA 140-5p</w:t>
      </w:r>
      <w:r>
        <w:rPr>
          <w:noProof/>
        </w:rPr>
        <w:tab/>
      </w:r>
      <w:r>
        <w:rPr>
          <w:noProof/>
        </w:rPr>
        <w:fldChar w:fldCharType="begin"/>
      </w:r>
      <w:r>
        <w:rPr>
          <w:noProof/>
        </w:rPr>
        <w:instrText xml:space="preserve"> PAGEREF _Toc60773868 \h </w:instrText>
      </w:r>
      <w:r>
        <w:rPr>
          <w:noProof/>
        </w:rPr>
      </w:r>
      <w:r>
        <w:rPr>
          <w:noProof/>
        </w:rPr>
        <w:fldChar w:fldCharType="separate"/>
      </w:r>
      <w:r>
        <w:rPr>
          <w:noProof/>
        </w:rPr>
        <w:t>39</w:t>
      </w:r>
      <w:r>
        <w:rPr>
          <w:noProof/>
        </w:rPr>
        <w:fldChar w:fldCharType="end"/>
      </w:r>
    </w:p>
    <w:p w14:paraId="6850A84D" w14:textId="4EBB067E"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1.6</w:t>
      </w:r>
      <w:r>
        <w:rPr>
          <w:rFonts w:asciiTheme="minorHAnsi" w:eastAsiaTheme="minorEastAsia" w:hAnsiTheme="minorHAnsi" w:cstheme="minorBidi"/>
          <w:noProof/>
          <w:color w:val="auto"/>
          <w:sz w:val="24"/>
          <w:szCs w:val="24"/>
          <w:bdr w:val="none" w:sz="0" w:space="0" w:color="auto"/>
          <w:lang w:eastAsia="en-GB"/>
        </w:rPr>
        <w:tab/>
      </w:r>
      <w:r>
        <w:rPr>
          <w:noProof/>
        </w:rPr>
        <w:t>Measurement of miRNAs</w:t>
      </w:r>
      <w:r>
        <w:rPr>
          <w:noProof/>
        </w:rPr>
        <w:tab/>
      </w:r>
      <w:r>
        <w:rPr>
          <w:noProof/>
        </w:rPr>
        <w:fldChar w:fldCharType="begin"/>
      </w:r>
      <w:r>
        <w:rPr>
          <w:noProof/>
        </w:rPr>
        <w:instrText xml:space="preserve"> PAGEREF _Toc60773869 \h </w:instrText>
      </w:r>
      <w:r>
        <w:rPr>
          <w:noProof/>
        </w:rPr>
      </w:r>
      <w:r>
        <w:rPr>
          <w:noProof/>
        </w:rPr>
        <w:fldChar w:fldCharType="separate"/>
      </w:r>
      <w:r>
        <w:rPr>
          <w:noProof/>
        </w:rPr>
        <w:t>40</w:t>
      </w:r>
      <w:r>
        <w:rPr>
          <w:noProof/>
        </w:rPr>
        <w:fldChar w:fldCharType="end"/>
      </w:r>
    </w:p>
    <w:p w14:paraId="795572DA" w14:textId="2AA3DD9D"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1.6.1</w:t>
      </w:r>
      <w:r>
        <w:rPr>
          <w:rFonts w:asciiTheme="minorHAnsi" w:eastAsiaTheme="minorEastAsia" w:hAnsiTheme="minorHAnsi" w:cstheme="minorBidi"/>
          <w:noProof/>
          <w:color w:val="auto"/>
          <w:sz w:val="24"/>
          <w:szCs w:val="24"/>
          <w:bdr w:val="none" w:sz="0" w:space="0" w:color="auto"/>
          <w:lang w:eastAsia="en-GB"/>
        </w:rPr>
        <w:tab/>
      </w:r>
      <w:r>
        <w:rPr>
          <w:noProof/>
        </w:rPr>
        <w:t>Measurement of miRNAs by real-time PCR</w:t>
      </w:r>
      <w:r>
        <w:rPr>
          <w:noProof/>
        </w:rPr>
        <w:tab/>
      </w:r>
      <w:r>
        <w:rPr>
          <w:noProof/>
        </w:rPr>
        <w:fldChar w:fldCharType="begin"/>
      </w:r>
      <w:r>
        <w:rPr>
          <w:noProof/>
        </w:rPr>
        <w:instrText xml:space="preserve"> PAGEREF _Toc60773870 \h </w:instrText>
      </w:r>
      <w:r>
        <w:rPr>
          <w:noProof/>
        </w:rPr>
      </w:r>
      <w:r>
        <w:rPr>
          <w:noProof/>
        </w:rPr>
        <w:fldChar w:fldCharType="separate"/>
      </w:r>
      <w:r>
        <w:rPr>
          <w:noProof/>
        </w:rPr>
        <w:t>40</w:t>
      </w:r>
      <w:r>
        <w:rPr>
          <w:noProof/>
        </w:rPr>
        <w:fldChar w:fldCharType="end"/>
      </w:r>
    </w:p>
    <w:p w14:paraId="5E241014" w14:textId="414C78FB"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1.6.2</w:t>
      </w:r>
      <w:r>
        <w:rPr>
          <w:rFonts w:asciiTheme="minorHAnsi" w:eastAsiaTheme="minorEastAsia" w:hAnsiTheme="minorHAnsi" w:cstheme="minorBidi"/>
          <w:noProof/>
          <w:color w:val="auto"/>
          <w:sz w:val="24"/>
          <w:szCs w:val="24"/>
          <w:bdr w:val="none" w:sz="0" w:space="0" w:color="auto"/>
          <w:lang w:eastAsia="en-GB"/>
        </w:rPr>
        <w:tab/>
      </w:r>
      <w:r>
        <w:rPr>
          <w:noProof/>
        </w:rPr>
        <w:t>Measurement of miRNAs by microarray</w:t>
      </w:r>
      <w:r>
        <w:rPr>
          <w:noProof/>
        </w:rPr>
        <w:tab/>
      </w:r>
      <w:r>
        <w:rPr>
          <w:noProof/>
        </w:rPr>
        <w:fldChar w:fldCharType="begin"/>
      </w:r>
      <w:r>
        <w:rPr>
          <w:noProof/>
        </w:rPr>
        <w:instrText xml:space="preserve"> PAGEREF _Toc60773871 \h </w:instrText>
      </w:r>
      <w:r>
        <w:rPr>
          <w:noProof/>
        </w:rPr>
      </w:r>
      <w:r>
        <w:rPr>
          <w:noProof/>
        </w:rPr>
        <w:fldChar w:fldCharType="separate"/>
      </w:r>
      <w:r>
        <w:rPr>
          <w:noProof/>
        </w:rPr>
        <w:t>41</w:t>
      </w:r>
      <w:r>
        <w:rPr>
          <w:noProof/>
        </w:rPr>
        <w:fldChar w:fldCharType="end"/>
      </w:r>
    </w:p>
    <w:p w14:paraId="2889A4E9" w14:textId="42511939"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1.6.3</w:t>
      </w:r>
      <w:r>
        <w:rPr>
          <w:rFonts w:asciiTheme="minorHAnsi" w:eastAsiaTheme="minorEastAsia" w:hAnsiTheme="minorHAnsi" w:cstheme="minorBidi"/>
          <w:noProof/>
          <w:color w:val="auto"/>
          <w:sz w:val="24"/>
          <w:szCs w:val="24"/>
          <w:bdr w:val="none" w:sz="0" w:space="0" w:color="auto"/>
          <w:lang w:eastAsia="en-GB"/>
        </w:rPr>
        <w:tab/>
      </w:r>
      <w:r>
        <w:rPr>
          <w:noProof/>
        </w:rPr>
        <w:t>Measurement of miRNAs by Next Generation Sequencing</w:t>
      </w:r>
      <w:r>
        <w:rPr>
          <w:noProof/>
        </w:rPr>
        <w:tab/>
      </w:r>
      <w:r>
        <w:rPr>
          <w:noProof/>
        </w:rPr>
        <w:fldChar w:fldCharType="begin"/>
      </w:r>
      <w:r>
        <w:rPr>
          <w:noProof/>
        </w:rPr>
        <w:instrText xml:space="preserve"> PAGEREF _Toc60773872 \h </w:instrText>
      </w:r>
      <w:r>
        <w:rPr>
          <w:noProof/>
        </w:rPr>
      </w:r>
      <w:r>
        <w:rPr>
          <w:noProof/>
        </w:rPr>
        <w:fldChar w:fldCharType="separate"/>
      </w:r>
      <w:r>
        <w:rPr>
          <w:noProof/>
        </w:rPr>
        <w:t>42</w:t>
      </w:r>
      <w:r>
        <w:rPr>
          <w:noProof/>
        </w:rPr>
        <w:fldChar w:fldCharType="end"/>
      </w:r>
    </w:p>
    <w:p w14:paraId="438849B9" w14:textId="08F99FF4"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1.7</w:t>
      </w:r>
      <w:r>
        <w:rPr>
          <w:rFonts w:asciiTheme="minorHAnsi" w:eastAsiaTheme="minorEastAsia" w:hAnsiTheme="minorHAnsi" w:cstheme="minorBidi"/>
          <w:noProof/>
          <w:color w:val="auto"/>
          <w:sz w:val="24"/>
          <w:szCs w:val="24"/>
          <w:bdr w:val="none" w:sz="0" w:space="0" w:color="auto"/>
          <w:lang w:eastAsia="en-GB"/>
        </w:rPr>
        <w:tab/>
      </w:r>
      <w:r>
        <w:rPr>
          <w:noProof/>
        </w:rPr>
        <w:t>Software for the Analysis of High Throughput Data</w:t>
      </w:r>
      <w:r>
        <w:rPr>
          <w:noProof/>
        </w:rPr>
        <w:tab/>
      </w:r>
      <w:r>
        <w:rPr>
          <w:noProof/>
        </w:rPr>
        <w:fldChar w:fldCharType="begin"/>
      </w:r>
      <w:r>
        <w:rPr>
          <w:noProof/>
        </w:rPr>
        <w:instrText xml:space="preserve"> PAGEREF _Toc60773873 \h </w:instrText>
      </w:r>
      <w:r>
        <w:rPr>
          <w:noProof/>
        </w:rPr>
      </w:r>
      <w:r>
        <w:rPr>
          <w:noProof/>
        </w:rPr>
        <w:fldChar w:fldCharType="separate"/>
      </w:r>
      <w:r>
        <w:rPr>
          <w:noProof/>
        </w:rPr>
        <w:t>43</w:t>
      </w:r>
      <w:r>
        <w:rPr>
          <w:noProof/>
        </w:rPr>
        <w:fldChar w:fldCharType="end"/>
      </w:r>
    </w:p>
    <w:p w14:paraId="5E811832" w14:textId="25365D3F"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1.7.1</w:t>
      </w:r>
      <w:r>
        <w:rPr>
          <w:rFonts w:asciiTheme="minorHAnsi" w:eastAsiaTheme="minorEastAsia" w:hAnsiTheme="minorHAnsi" w:cstheme="minorBidi"/>
          <w:noProof/>
          <w:color w:val="auto"/>
          <w:sz w:val="24"/>
          <w:szCs w:val="24"/>
          <w:bdr w:val="none" w:sz="0" w:space="0" w:color="auto"/>
          <w:lang w:eastAsia="en-GB"/>
        </w:rPr>
        <w:tab/>
      </w:r>
      <w:r>
        <w:rPr>
          <w:noProof/>
        </w:rPr>
        <w:t>Statistical Discovery of Biomarkers</w:t>
      </w:r>
      <w:r>
        <w:rPr>
          <w:noProof/>
        </w:rPr>
        <w:tab/>
      </w:r>
      <w:r>
        <w:rPr>
          <w:noProof/>
        </w:rPr>
        <w:fldChar w:fldCharType="begin"/>
      </w:r>
      <w:r>
        <w:rPr>
          <w:noProof/>
        </w:rPr>
        <w:instrText xml:space="preserve"> PAGEREF _Toc60773874 \h </w:instrText>
      </w:r>
      <w:r>
        <w:rPr>
          <w:noProof/>
        </w:rPr>
      </w:r>
      <w:r>
        <w:rPr>
          <w:noProof/>
        </w:rPr>
        <w:fldChar w:fldCharType="separate"/>
      </w:r>
      <w:r>
        <w:rPr>
          <w:noProof/>
        </w:rPr>
        <w:t>44</w:t>
      </w:r>
      <w:r>
        <w:rPr>
          <w:noProof/>
        </w:rPr>
        <w:fldChar w:fldCharType="end"/>
      </w:r>
    </w:p>
    <w:p w14:paraId="198A15C6" w14:textId="2CF4895C"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1.7.1.1</w:t>
      </w:r>
      <w:r>
        <w:rPr>
          <w:rFonts w:asciiTheme="minorHAnsi" w:eastAsiaTheme="minorEastAsia" w:hAnsiTheme="minorHAnsi" w:cstheme="minorBidi"/>
          <w:noProof/>
          <w:color w:val="auto"/>
          <w:sz w:val="24"/>
          <w:szCs w:val="24"/>
          <w:bdr w:val="none" w:sz="0" w:space="0" w:color="auto"/>
          <w:lang w:eastAsia="en-GB"/>
        </w:rPr>
        <w:tab/>
      </w:r>
      <w:r>
        <w:rPr>
          <w:noProof/>
        </w:rPr>
        <w:t>Logistic Regression</w:t>
      </w:r>
      <w:r>
        <w:rPr>
          <w:noProof/>
        </w:rPr>
        <w:tab/>
      </w:r>
      <w:r>
        <w:rPr>
          <w:noProof/>
        </w:rPr>
        <w:fldChar w:fldCharType="begin"/>
      </w:r>
      <w:r>
        <w:rPr>
          <w:noProof/>
        </w:rPr>
        <w:instrText xml:space="preserve"> PAGEREF _Toc60773875 \h </w:instrText>
      </w:r>
      <w:r>
        <w:rPr>
          <w:noProof/>
        </w:rPr>
      </w:r>
      <w:r>
        <w:rPr>
          <w:noProof/>
        </w:rPr>
        <w:fldChar w:fldCharType="separate"/>
      </w:r>
      <w:r>
        <w:rPr>
          <w:noProof/>
        </w:rPr>
        <w:t>46</w:t>
      </w:r>
      <w:r>
        <w:rPr>
          <w:noProof/>
        </w:rPr>
        <w:fldChar w:fldCharType="end"/>
      </w:r>
    </w:p>
    <w:p w14:paraId="61721E13" w14:textId="53740A77"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1.7.1.2</w:t>
      </w:r>
      <w:r>
        <w:rPr>
          <w:rFonts w:asciiTheme="minorHAnsi" w:eastAsiaTheme="minorEastAsia" w:hAnsiTheme="minorHAnsi" w:cstheme="minorBidi"/>
          <w:noProof/>
          <w:color w:val="auto"/>
          <w:sz w:val="24"/>
          <w:szCs w:val="24"/>
          <w:bdr w:val="none" w:sz="0" w:space="0" w:color="auto"/>
          <w:lang w:eastAsia="en-GB"/>
        </w:rPr>
        <w:tab/>
      </w:r>
      <w:r>
        <w:rPr>
          <w:noProof/>
        </w:rPr>
        <w:t>Decision Trees</w:t>
      </w:r>
      <w:r>
        <w:rPr>
          <w:noProof/>
        </w:rPr>
        <w:tab/>
      </w:r>
      <w:r>
        <w:rPr>
          <w:noProof/>
        </w:rPr>
        <w:fldChar w:fldCharType="begin"/>
      </w:r>
      <w:r>
        <w:rPr>
          <w:noProof/>
        </w:rPr>
        <w:instrText xml:space="preserve"> PAGEREF _Toc60773876 \h </w:instrText>
      </w:r>
      <w:r>
        <w:rPr>
          <w:noProof/>
        </w:rPr>
      </w:r>
      <w:r>
        <w:rPr>
          <w:noProof/>
        </w:rPr>
        <w:fldChar w:fldCharType="separate"/>
      </w:r>
      <w:r>
        <w:rPr>
          <w:noProof/>
        </w:rPr>
        <w:t>48</w:t>
      </w:r>
      <w:r>
        <w:rPr>
          <w:noProof/>
        </w:rPr>
        <w:fldChar w:fldCharType="end"/>
      </w:r>
    </w:p>
    <w:p w14:paraId="71F8B43D" w14:textId="1487BCDA"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1.7.1.3</w:t>
      </w:r>
      <w:r>
        <w:rPr>
          <w:rFonts w:asciiTheme="minorHAnsi" w:eastAsiaTheme="minorEastAsia" w:hAnsiTheme="minorHAnsi" w:cstheme="minorBidi"/>
          <w:noProof/>
          <w:color w:val="auto"/>
          <w:sz w:val="24"/>
          <w:szCs w:val="24"/>
          <w:bdr w:val="none" w:sz="0" w:space="0" w:color="auto"/>
          <w:lang w:eastAsia="en-GB"/>
        </w:rPr>
        <w:tab/>
      </w:r>
      <w:r>
        <w:rPr>
          <w:noProof/>
        </w:rPr>
        <w:t>Random Forests</w:t>
      </w:r>
      <w:r>
        <w:rPr>
          <w:noProof/>
        </w:rPr>
        <w:tab/>
      </w:r>
      <w:r>
        <w:rPr>
          <w:noProof/>
        </w:rPr>
        <w:fldChar w:fldCharType="begin"/>
      </w:r>
      <w:r>
        <w:rPr>
          <w:noProof/>
        </w:rPr>
        <w:instrText xml:space="preserve"> PAGEREF _Toc60773877 \h </w:instrText>
      </w:r>
      <w:r>
        <w:rPr>
          <w:noProof/>
        </w:rPr>
      </w:r>
      <w:r>
        <w:rPr>
          <w:noProof/>
        </w:rPr>
        <w:fldChar w:fldCharType="separate"/>
      </w:r>
      <w:r>
        <w:rPr>
          <w:noProof/>
        </w:rPr>
        <w:t>49</w:t>
      </w:r>
      <w:r>
        <w:rPr>
          <w:noProof/>
        </w:rPr>
        <w:fldChar w:fldCharType="end"/>
      </w:r>
    </w:p>
    <w:p w14:paraId="6D27733B" w14:textId="57A36F1A"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1.7.2</w:t>
      </w:r>
      <w:r>
        <w:rPr>
          <w:rFonts w:asciiTheme="minorHAnsi" w:eastAsiaTheme="minorEastAsia" w:hAnsiTheme="minorHAnsi" w:cstheme="minorBidi"/>
          <w:noProof/>
          <w:color w:val="auto"/>
          <w:sz w:val="24"/>
          <w:szCs w:val="24"/>
          <w:bdr w:val="none" w:sz="0" w:space="0" w:color="auto"/>
          <w:lang w:eastAsia="en-GB"/>
        </w:rPr>
        <w:tab/>
      </w:r>
      <w:r>
        <w:rPr>
          <w:noProof/>
        </w:rPr>
        <w:t>Feature Selection</w:t>
      </w:r>
      <w:r>
        <w:rPr>
          <w:noProof/>
        </w:rPr>
        <w:tab/>
      </w:r>
      <w:r>
        <w:rPr>
          <w:noProof/>
        </w:rPr>
        <w:fldChar w:fldCharType="begin"/>
      </w:r>
      <w:r>
        <w:rPr>
          <w:noProof/>
        </w:rPr>
        <w:instrText xml:space="preserve"> PAGEREF _Toc60773878 \h </w:instrText>
      </w:r>
      <w:r>
        <w:rPr>
          <w:noProof/>
        </w:rPr>
      </w:r>
      <w:r>
        <w:rPr>
          <w:noProof/>
        </w:rPr>
        <w:fldChar w:fldCharType="separate"/>
      </w:r>
      <w:r>
        <w:rPr>
          <w:noProof/>
        </w:rPr>
        <w:t>51</w:t>
      </w:r>
      <w:r>
        <w:rPr>
          <w:noProof/>
        </w:rPr>
        <w:fldChar w:fldCharType="end"/>
      </w:r>
    </w:p>
    <w:p w14:paraId="1D7C8E01" w14:textId="05799A01"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1.7.2.1</w:t>
      </w:r>
      <w:r>
        <w:rPr>
          <w:rFonts w:asciiTheme="minorHAnsi" w:eastAsiaTheme="minorEastAsia" w:hAnsiTheme="minorHAnsi" w:cstheme="minorBidi"/>
          <w:noProof/>
          <w:color w:val="auto"/>
          <w:sz w:val="24"/>
          <w:szCs w:val="24"/>
          <w:bdr w:val="none" w:sz="0" w:space="0" w:color="auto"/>
          <w:lang w:eastAsia="en-GB"/>
        </w:rPr>
        <w:tab/>
      </w:r>
      <w:r>
        <w:rPr>
          <w:noProof/>
        </w:rPr>
        <w:t>Filter Based Feature selection</w:t>
      </w:r>
      <w:r>
        <w:rPr>
          <w:noProof/>
        </w:rPr>
        <w:tab/>
      </w:r>
      <w:r>
        <w:rPr>
          <w:noProof/>
        </w:rPr>
        <w:fldChar w:fldCharType="begin"/>
      </w:r>
      <w:r>
        <w:rPr>
          <w:noProof/>
        </w:rPr>
        <w:instrText xml:space="preserve"> PAGEREF _Toc60773879 \h </w:instrText>
      </w:r>
      <w:r>
        <w:rPr>
          <w:noProof/>
        </w:rPr>
      </w:r>
      <w:r>
        <w:rPr>
          <w:noProof/>
        </w:rPr>
        <w:fldChar w:fldCharType="separate"/>
      </w:r>
      <w:r>
        <w:rPr>
          <w:noProof/>
        </w:rPr>
        <w:t>51</w:t>
      </w:r>
      <w:r>
        <w:rPr>
          <w:noProof/>
        </w:rPr>
        <w:fldChar w:fldCharType="end"/>
      </w:r>
    </w:p>
    <w:p w14:paraId="4E6081AC" w14:textId="5786FEB4"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1.7.2.2</w:t>
      </w:r>
      <w:r>
        <w:rPr>
          <w:rFonts w:asciiTheme="minorHAnsi" w:eastAsiaTheme="minorEastAsia" w:hAnsiTheme="minorHAnsi" w:cstheme="minorBidi"/>
          <w:noProof/>
          <w:color w:val="auto"/>
          <w:sz w:val="24"/>
          <w:szCs w:val="24"/>
          <w:bdr w:val="none" w:sz="0" w:space="0" w:color="auto"/>
          <w:lang w:eastAsia="en-GB"/>
        </w:rPr>
        <w:tab/>
      </w:r>
      <w:r>
        <w:rPr>
          <w:noProof/>
        </w:rPr>
        <w:t>Forward selection and Backward Elimination</w:t>
      </w:r>
      <w:r>
        <w:rPr>
          <w:noProof/>
        </w:rPr>
        <w:tab/>
      </w:r>
      <w:r>
        <w:rPr>
          <w:noProof/>
        </w:rPr>
        <w:fldChar w:fldCharType="begin"/>
      </w:r>
      <w:r>
        <w:rPr>
          <w:noProof/>
        </w:rPr>
        <w:instrText xml:space="preserve"> PAGEREF _Toc60773880 \h </w:instrText>
      </w:r>
      <w:r>
        <w:rPr>
          <w:noProof/>
        </w:rPr>
      </w:r>
      <w:r>
        <w:rPr>
          <w:noProof/>
        </w:rPr>
        <w:fldChar w:fldCharType="separate"/>
      </w:r>
      <w:r>
        <w:rPr>
          <w:noProof/>
        </w:rPr>
        <w:t>52</w:t>
      </w:r>
      <w:r>
        <w:rPr>
          <w:noProof/>
        </w:rPr>
        <w:fldChar w:fldCharType="end"/>
      </w:r>
    </w:p>
    <w:p w14:paraId="675B7DFF" w14:textId="16175D3C"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1.7.2.3</w:t>
      </w:r>
      <w:r>
        <w:rPr>
          <w:rFonts w:asciiTheme="minorHAnsi" w:eastAsiaTheme="minorEastAsia" w:hAnsiTheme="minorHAnsi" w:cstheme="minorBidi"/>
          <w:noProof/>
          <w:color w:val="auto"/>
          <w:sz w:val="24"/>
          <w:szCs w:val="24"/>
          <w:bdr w:val="none" w:sz="0" w:space="0" w:color="auto"/>
          <w:lang w:eastAsia="en-GB"/>
        </w:rPr>
        <w:tab/>
      </w:r>
      <w:r>
        <w:rPr>
          <w:noProof/>
        </w:rPr>
        <w:t>Least Absolute Shrinkage Selection Operator Feature Selection</w:t>
      </w:r>
      <w:r>
        <w:rPr>
          <w:noProof/>
        </w:rPr>
        <w:tab/>
      </w:r>
      <w:r>
        <w:rPr>
          <w:noProof/>
        </w:rPr>
        <w:fldChar w:fldCharType="begin"/>
      </w:r>
      <w:r>
        <w:rPr>
          <w:noProof/>
        </w:rPr>
        <w:instrText xml:space="preserve"> PAGEREF _Toc60773881 \h </w:instrText>
      </w:r>
      <w:r>
        <w:rPr>
          <w:noProof/>
        </w:rPr>
      </w:r>
      <w:r>
        <w:rPr>
          <w:noProof/>
        </w:rPr>
        <w:fldChar w:fldCharType="separate"/>
      </w:r>
      <w:r>
        <w:rPr>
          <w:noProof/>
        </w:rPr>
        <w:t>53</w:t>
      </w:r>
      <w:r>
        <w:rPr>
          <w:noProof/>
        </w:rPr>
        <w:fldChar w:fldCharType="end"/>
      </w:r>
    </w:p>
    <w:p w14:paraId="3BFD89A9" w14:textId="153358F2"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1.7.2.4</w:t>
      </w:r>
      <w:r>
        <w:rPr>
          <w:rFonts w:asciiTheme="minorHAnsi" w:eastAsiaTheme="minorEastAsia" w:hAnsiTheme="minorHAnsi" w:cstheme="minorBidi"/>
          <w:noProof/>
          <w:color w:val="auto"/>
          <w:sz w:val="24"/>
          <w:szCs w:val="24"/>
          <w:bdr w:val="none" w:sz="0" w:space="0" w:color="auto"/>
          <w:lang w:eastAsia="en-GB"/>
        </w:rPr>
        <w:tab/>
      </w:r>
      <w:r>
        <w:rPr>
          <w:noProof/>
        </w:rPr>
        <w:t>Boruta Feature Selection</w:t>
      </w:r>
      <w:r>
        <w:rPr>
          <w:noProof/>
        </w:rPr>
        <w:tab/>
      </w:r>
      <w:r>
        <w:rPr>
          <w:noProof/>
        </w:rPr>
        <w:fldChar w:fldCharType="begin"/>
      </w:r>
      <w:r>
        <w:rPr>
          <w:noProof/>
        </w:rPr>
        <w:instrText xml:space="preserve"> PAGEREF _Toc60773882 \h </w:instrText>
      </w:r>
      <w:r>
        <w:rPr>
          <w:noProof/>
        </w:rPr>
      </w:r>
      <w:r>
        <w:rPr>
          <w:noProof/>
        </w:rPr>
        <w:fldChar w:fldCharType="separate"/>
      </w:r>
      <w:r>
        <w:rPr>
          <w:noProof/>
        </w:rPr>
        <w:t>54</w:t>
      </w:r>
      <w:r>
        <w:rPr>
          <w:noProof/>
        </w:rPr>
        <w:fldChar w:fldCharType="end"/>
      </w:r>
    </w:p>
    <w:p w14:paraId="0896F310" w14:textId="3515930B"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1.8</w:t>
      </w:r>
      <w:r>
        <w:rPr>
          <w:rFonts w:asciiTheme="minorHAnsi" w:eastAsiaTheme="minorEastAsia" w:hAnsiTheme="minorHAnsi" w:cstheme="minorBidi"/>
          <w:noProof/>
          <w:color w:val="auto"/>
          <w:sz w:val="24"/>
          <w:szCs w:val="24"/>
          <w:bdr w:val="none" w:sz="0" w:space="0" w:color="auto"/>
          <w:lang w:eastAsia="en-GB"/>
        </w:rPr>
        <w:tab/>
      </w:r>
      <w:r>
        <w:rPr>
          <w:noProof/>
        </w:rPr>
        <w:t>Performance Measures of Biomarkers</w:t>
      </w:r>
      <w:r>
        <w:rPr>
          <w:noProof/>
        </w:rPr>
        <w:tab/>
      </w:r>
      <w:r>
        <w:rPr>
          <w:noProof/>
        </w:rPr>
        <w:fldChar w:fldCharType="begin"/>
      </w:r>
      <w:r>
        <w:rPr>
          <w:noProof/>
        </w:rPr>
        <w:instrText xml:space="preserve"> PAGEREF _Toc60773883 \h </w:instrText>
      </w:r>
      <w:r>
        <w:rPr>
          <w:noProof/>
        </w:rPr>
      </w:r>
      <w:r>
        <w:rPr>
          <w:noProof/>
        </w:rPr>
        <w:fldChar w:fldCharType="separate"/>
      </w:r>
      <w:r>
        <w:rPr>
          <w:noProof/>
        </w:rPr>
        <w:t>55</w:t>
      </w:r>
      <w:r>
        <w:rPr>
          <w:noProof/>
        </w:rPr>
        <w:fldChar w:fldCharType="end"/>
      </w:r>
    </w:p>
    <w:p w14:paraId="21F7580C" w14:textId="0C816BE3"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1.8.1</w:t>
      </w:r>
      <w:r>
        <w:rPr>
          <w:rFonts w:asciiTheme="minorHAnsi" w:eastAsiaTheme="minorEastAsia" w:hAnsiTheme="minorHAnsi" w:cstheme="minorBidi"/>
          <w:noProof/>
          <w:color w:val="auto"/>
          <w:sz w:val="24"/>
          <w:szCs w:val="24"/>
          <w:bdr w:val="none" w:sz="0" w:space="0" w:color="auto"/>
          <w:lang w:eastAsia="en-GB"/>
        </w:rPr>
        <w:tab/>
      </w:r>
      <w:r>
        <w:rPr>
          <w:noProof/>
        </w:rPr>
        <w:t>Receiver Operator Characteristic Curves</w:t>
      </w:r>
      <w:r>
        <w:rPr>
          <w:noProof/>
        </w:rPr>
        <w:tab/>
      </w:r>
      <w:r>
        <w:rPr>
          <w:noProof/>
        </w:rPr>
        <w:fldChar w:fldCharType="begin"/>
      </w:r>
      <w:r>
        <w:rPr>
          <w:noProof/>
        </w:rPr>
        <w:instrText xml:space="preserve"> PAGEREF _Toc60773884 \h </w:instrText>
      </w:r>
      <w:r>
        <w:rPr>
          <w:noProof/>
        </w:rPr>
      </w:r>
      <w:r>
        <w:rPr>
          <w:noProof/>
        </w:rPr>
        <w:fldChar w:fldCharType="separate"/>
      </w:r>
      <w:r>
        <w:rPr>
          <w:noProof/>
        </w:rPr>
        <w:t>55</w:t>
      </w:r>
      <w:r>
        <w:rPr>
          <w:noProof/>
        </w:rPr>
        <w:fldChar w:fldCharType="end"/>
      </w:r>
    </w:p>
    <w:p w14:paraId="28F996C8" w14:textId="5ED52F0F"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1.8.2</w:t>
      </w:r>
      <w:r>
        <w:rPr>
          <w:rFonts w:asciiTheme="minorHAnsi" w:eastAsiaTheme="minorEastAsia" w:hAnsiTheme="minorHAnsi" w:cstheme="minorBidi"/>
          <w:noProof/>
          <w:color w:val="auto"/>
          <w:sz w:val="24"/>
          <w:szCs w:val="24"/>
          <w:bdr w:val="none" w:sz="0" w:space="0" w:color="auto"/>
          <w:lang w:eastAsia="en-GB"/>
        </w:rPr>
        <w:tab/>
      </w:r>
      <w:r>
        <w:rPr>
          <w:noProof/>
        </w:rPr>
        <w:t>Confusion Matrix</w:t>
      </w:r>
      <w:r>
        <w:rPr>
          <w:noProof/>
        </w:rPr>
        <w:tab/>
      </w:r>
      <w:r>
        <w:rPr>
          <w:noProof/>
        </w:rPr>
        <w:fldChar w:fldCharType="begin"/>
      </w:r>
      <w:r>
        <w:rPr>
          <w:noProof/>
        </w:rPr>
        <w:instrText xml:space="preserve"> PAGEREF _Toc60773885 \h </w:instrText>
      </w:r>
      <w:r>
        <w:rPr>
          <w:noProof/>
        </w:rPr>
      </w:r>
      <w:r>
        <w:rPr>
          <w:noProof/>
        </w:rPr>
        <w:fldChar w:fldCharType="separate"/>
      </w:r>
      <w:r>
        <w:rPr>
          <w:noProof/>
        </w:rPr>
        <w:t>56</w:t>
      </w:r>
      <w:r>
        <w:rPr>
          <w:noProof/>
        </w:rPr>
        <w:fldChar w:fldCharType="end"/>
      </w:r>
    </w:p>
    <w:p w14:paraId="0A1A4902" w14:textId="611D41B4"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1.9</w:t>
      </w:r>
      <w:r>
        <w:rPr>
          <w:rFonts w:asciiTheme="minorHAnsi" w:eastAsiaTheme="minorEastAsia" w:hAnsiTheme="minorHAnsi" w:cstheme="minorBidi"/>
          <w:noProof/>
          <w:color w:val="auto"/>
          <w:sz w:val="24"/>
          <w:szCs w:val="24"/>
          <w:bdr w:val="none" w:sz="0" w:space="0" w:color="auto"/>
          <w:lang w:eastAsia="en-GB"/>
        </w:rPr>
        <w:tab/>
      </w:r>
      <w:r>
        <w:rPr>
          <w:noProof/>
        </w:rPr>
        <w:t>Hypothesis, Aims and Objectives</w:t>
      </w:r>
      <w:r>
        <w:rPr>
          <w:noProof/>
        </w:rPr>
        <w:tab/>
      </w:r>
      <w:r>
        <w:rPr>
          <w:noProof/>
        </w:rPr>
        <w:fldChar w:fldCharType="begin"/>
      </w:r>
      <w:r>
        <w:rPr>
          <w:noProof/>
        </w:rPr>
        <w:instrText xml:space="preserve"> PAGEREF _Toc60773886 \h </w:instrText>
      </w:r>
      <w:r>
        <w:rPr>
          <w:noProof/>
        </w:rPr>
      </w:r>
      <w:r>
        <w:rPr>
          <w:noProof/>
        </w:rPr>
        <w:fldChar w:fldCharType="separate"/>
      </w:r>
      <w:r>
        <w:rPr>
          <w:noProof/>
        </w:rPr>
        <w:t>57</w:t>
      </w:r>
      <w:r>
        <w:rPr>
          <w:noProof/>
        </w:rPr>
        <w:fldChar w:fldCharType="end"/>
      </w:r>
    </w:p>
    <w:p w14:paraId="2D6F76BE" w14:textId="41750CC1" w:rsidR="00885DE4" w:rsidRDefault="00885DE4">
      <w:pPr>
        <w:pStyle w:val="TOC1"/>
        <w:tabs>
          <w:tab w:val="left" w:pos="828"/>
          <w:tab w:val="right" w:leader="dot" w:pos="9068"/>
        </w:tabs>
        <w:rPr>
          <w:rFonts w:asciiTheme="minorHAnsi" w:eastAsiaTheme="minorEastAsia" w:hAnsiTheme="minorHAnsi" w:cstheme="minorBidi"/>
          <w:b w:val="0"/>
          <w:bCs w:val="0"/>
          <w:noProof/>
          <w:color w:val="auto"/>
          <w:szCs w:val="24"/>
          <w:bdr w:val="none" w:sz="0" w:space="0" w:color="auto"/>
          <w:lang w:eastAsia="en-GB"/>
        </w:rPr>
      </w:pPr>
      <w:r>
        <w:rPr>
          <w:noProof/>
        </w:rPr>
        <w:lastRenderedPageBreak/>
        <w:t>2</w:t>
      </w:r>
      <w:r>
        <w:rPr>
          <w:rFonts w:asciiTheme="minorHAnsi" w:eastAsiaTheme="minorEastAsia" w:hAnsiTheme="minorHAnsi" w:cstheme="minorBidi"/>
          <w:b w:val="0"/>
          <w:bCs w:val="0"/>
          <w:noProof/>
          <w:color w:val="auto"/>
          <w:szCs w:val="24"/>
          <w:bdr w:val="none" w:sz="0" w:space="0" w:color="auto"/>
          <w:lang w:eastAsia="en-GB"/>
        </w:rPr>
        <w:tab/>
      </w:r>
      <w:r>
        <w:rPr>
          <w:noProof/>
        </w:rPr>
        <w:t>Materials and Methods</w:t>
      </w:r>
      <w:r>
        <w:rPr>
          <w:noProof/>
        </w:rPr>
        <w:tab/>
      </w:r>
      <w:r>
        <w:rPr>
          <w:noProof/>
        </w:rPr>
        <w:fldChar w:fldCharType="begin"/>
      </w:r>
      <w:r>
        <w:rPr>
          <w:noProof/>
        </w:rPr>
        <w:instrText xml:space="preserve"> PAGEREF _Toc60773887 \h </w:instrText>
      </w:r>
      <w:r>
        <w:rPr>
          <w:noProof/>
        </w:rPr>
      </w:r>
      <w:r>
        <w:rPr>
          <w:noProof/>
        </w:rPr>
        <w:fldChar w:fldCharType="separate"/>
      </w:r>
      <w:r>
        <w:rPr>
          <w:noProof/>
        </w:rPr>
        <w:t>58</w:t>
      </w:r>
      <w:r>
        <w:rPr>
          <w:noProof/>
        </w:rPr>
        <w:fldChar w:fldCharType="end"/>
      </w:r>
    </w:p>
    <w:p w14:paraId="282B2686" w14:textId="4F62C924"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2.1</w:t>
      </w:r>
      <w:r>
        <w:rPr>
          <w:rFonts w:asciiTheme="minorHAnsi" w:eastAsiaTheme="minorEastAsia" w:hAnsiTheme="minorHAnsi" w:cstheme="minorBidi"/>
          <w:noProof/>
          <w:color w:val="auto"/>
          <w:sz w:val="24"/>
          <w:szCs w:val="24"/>
          <w:bdr w:val="none" w:sz="0" w:space="0" w:color="auto"/>
          <w:lang w:eastAsia="en-GB"/>
        </w:rPr>
        <w:tab/>
      </w:r>
      <w:r>
        <w:rPr>
          <w:noProof/>
        </w:rPr>
        <w:t>Ethics, Patient Cohorts and Whole Blood Processing</w:t>
      </w:r>
      <w:r>
        <w:rPr>
          <w:noProof/>
        </w:rPr>
        <w:tab/>
      </w:r>
      <w:r>
        <w:rPr>
          <w:noProof/>
        </w:rPr>
        <w:fldChar w:fldCharType="begin"/>
      </w:r>
      <w:r>
        <w:rPr>
          <w:noProof/>
        </w:rPr>
        <w:instrText xml:space="preserve"> PAGEREF _Toc60773888 \h </w:instrText>
      </w:r>
      <w:r>
        <w:rPr>
          <w:noProof/>
        </w:rPr>
      </w:r>
      <w:r>
        <w:rPr>
          <w:noProof/>
        </w:rPr>
        <w:fldChar w:fldCharType="separate"/>
      </w:r>
      <w:r>
        <w:rPr>
          <w:noProof/>
        </w:rPr>
        <w:t>58</w:t>
      </w:r>
      <w:r>
        <w:rPr>
          <w:noProof/>
        </w:rPr>
        <w:fldChar w:fldCharType="end"/>
      </w:r>
    </w:p>
    <w:p w14:paraId="1A71B1CE" w14:textId="570FDAAD"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2.1.1</w:t>
      </w:r>
      <w:r>
        <w:rPr>
          <w:rFonts w:asciiTheme="minorHAnsi" w:eastAsiaTheme="minorEastAsia" w:hAnsiTheme="minorHAnsi" w:cstheme="minorBidi"/>
          <w:bCs w:val="0"/>
          <w:iCs w:val="0"/>
          <w:color w:val="auto"/>
          <w:sz w:val="24"/>
          <w:szCs w:val="24"/>
          <w:bdr w:val="none" w:sz="0" w:space="0" w:color="auto"/>
          <w:lang w:eastAsia="en-GB"/>
        </w:rPr>
        <w:tab/>
      </w:r>
      <w:r>
        <w:t>Ethical Approval</w:t>
      </w:r>
      <w:r>
        <w:tab/>
      </w:r>
      <w:r>
        <w:fldChar w:fldCharType="begin"/>
      </w:r>
      <w:r>
        <w:instrText xml:space="preserve"> PAGEREF _Toc60773889 \h </w:instrText>
      </w:r>
      <w:r>
        <w:fldChar w:fldCharType="separate"/>
      </w:r>
      <w:r>
        <w:t>58</w:t>
      </w:r>
      <w:r>
        <w:fldChar w:fldCharType="end"/>
      </w:r>
    </w:p>
    <w:p w14:paraId="16BEFE7C" w14:textId="1D6B7A6C"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2.1.2</w:t>
      </w:r>
      <w:r>
        <w:rPr>
          <w:rFonts w:asciiTheme="minorHAnsi" w:eastAsiaTheme="minorEastAsia" w:hAnsiTheme="minorHAnsi" w:cstheme="minorBidi"/>
          <w:bCs w:val="0"/>
          <w:iCs w:val="0"/>
          <w:color w:val="auto"/>
          <w:sz w:val="24"/>
          <w:szCs w:val="24"/>
          <w:bdr w:val="none" w:sz="0" w:space="0" w:color="auto"/>
          <w:lang w:eastAsia="en-GB"/>
        </w:rPr>
        <w:tab/>
      </w:r>
      <w:r>
        <w:t>Patient Cohorts</w:t>
      </w:r>
      <w:r>
        <w:tab/>
      </w:r>
      <w:r>
        <w:fldChar w:fldCharType="begin"/>
      </w:r>
      <w:r>
        <w:instrText xml:space="preserve"> PAGEREF _Toc60773890 \h </w:instrText>
      </w:r>
      <w:r>
        <w:fldChar w:fldCharType="separate"/>
      </w:r>
      <w:r>
        <w:t>58</w:t>
      </w:r>
      <w:r>
        <w:fldChar w:fldCharType="end"/>
      </w:r>
    </w:p>
    <w:p w14:paraId="38359BF0" w14:textId="7DE4A186"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2.1.3</w:t>
      </w:r>
      <w:r>
        <w:rPr>
          <w:rFonts w:asciiTheme="minorHAnsi" w:eastAsiaTheme="minorEastAsia" w:hAnsiTheme="minorHAnsi" w:cstheme="minorBidi"/>
          <w:bCs w:val="0"/>
          <w:iCs w:val="0"/>
          <w:color w:val="auto"/>
          <w:sz w:val="24"/>
          <w:szCs w:val="24"/>
          <w:bdr w:val="none" w:sz="0" w:space="0" w:color="auto"/>
          <w:lang w:eastAsia="en-GB"/>
        </w:rPr>
        <w:tab/>
      </w:r>
      <w:r>
        <w:t>Total RNA Isolation from Whole Blood</w:t>
      </w:r>
      <w:r>
        <w:tab/>
      </w:r>
      <w:r>
        <w:fldChar w:fldCharType="begin"/>
      </w:r>
      <w:r>
        <w:instrText xml:space="preserve"> PAGEREF _Toc60773891 \h </w:instrText>
      </w:r>
      <w:r>
        <w:fldChar w:fldCharType="separate"/>
      </w:r>
      <w:r>
        <w:t>58</w:t>
      </w:r>
      <w:r>
        <w:fldChar w:fldCharType="end"/>
      </w:r>
    </w:p>
    <w:p w14:paraId="7BAC0533" w14:textId="3CA7AF05"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2.1.4</w:t>
      </w:r>
      <w:r>
        <w:rPr>
          <w:rFonts w:asciiTheme="minorHAnsi" w:eastAsiaTheme="minorEastAsia" w:hAnsiTheme="minorHAnsi" w:cstheme="minorBidi"/>
          <w:bCs w:val="0"/>
          <w:iCs w:val="0"/>
          <w:color w:val="auto"/>
          <w:sz w:val="24"/>
          <w:szCs w:val="24"/>
          <w:bdr w:val="none" w:sz="0" w:space="0" w:color="auto"/>
          <w:lang w:eastAsia="en-GB"/>
        </w:rPr>
        <w:tab/>
      </w:r>
      <w:r>
        <w:t>Total RNA Isolation from Plasma</w:t>
      </w:r>
      <w:r>
        <w:tab/>
      </w:r>
      <w:r>
        <w:fldChar w:fldCharType="begin"/>
      </w:r>
      <w:r>
        <w:instrText xml:space="preserve"> PAGEREF _Toc60773892 \h </w:instrText>
      </w:r>
      <w:r>
        <w:fldChar w:fldCharType="separate"/>
      </w:r>
      <w:r>
        <w:t>59</w:t>
      </w:r>
      <w:r>
        <w:fldChar w:fldCharType="end"/>
      </w:r>
    </w:p>
    <w:p w14:paraId="11506C84" w14:textId="4A54043E"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2.1.5</w:t>
      </w:r>
      <w:r>
        <w:rPr>
          <w:rFonts w:asciiTheme="minorHAnsi" w:eastAsiaTheme="minorEastAsia" w:hAnsiTheme="minorHAnsi" w:cstheme="minorBidi"/>
          <w:noProof/>
          <w:color w:val="auto"/>
          <w:sz w:val="24"/>
          <w:szCs w:val="24"/>
          <w:bdr w:val="none" w:sz="0" w:space="0" w:color="auto"/>
          <w:lang w:eastAsia="en-GB"/>
        </w:rPr>
        <w:tab/>
      </w:r>
      <w:r>
        <w:rPr>
          <w:noProof/>
        </w:rPr>
        <w:t>Concentration of Plasma RNA</w:t>
      </w:r>
      <w:r>
        <w:rPr>
          <w:noProof/>
        </w:rPr>
        <w:tab/>
      </w:r>
      <w:r>
        <w:rPr>
          <w:noProof/>
        </w:rPr>
        <w:fldChar w:fldCharType="begin"/>
      </w:r>
      <w:r>
        <w:rPr>
          <w:noProof/>
        </w:rPr>
        <w:instrText xml:space="preserve"> PAGEREF _Toc60773893 \h </w:instrText>
      </w:r>
      <w:r>
        <w:rPr>
          <w:noProof/>
        </w:rPr>
      </w:r>
      <w:r>
        <w:rPr>
          <w:noProof/>
        </w:rPr>
        <w:fldChar w:fldCharType="separate"/>
      </w:r>
      <w:r>
        <w:rPr>
          <w:noProof/>
        </w:rPr>
        <w:t>60</w:t>
      </w:r>
      <w:r>
        <w:rPr>
          <w:noProof/>
        </w:rPr>
        <w:fldChar w:fldCharType="end"/>
      </w:r>
    </w:p>
    <w:p w14:paraId="555FC883" w14:textId="2AB69115"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2.1.6</w:t>
      </w:r>
      <w:r>
        <w:rPr>
          <w:rFonts w:asciiTheme="minorHAnsi" w:eastAsiaTheme="minorEastAsia" w:hAnsiTheme="minorHAnsi" w:cstheme="minorBidi"/>
          <w:bCs w:val="0"/>
          <w:iCs w:val="0"/>
          <w:color w:val="auto"/>
          <w:sz w:val="24"/>
          <w:szCs w:val="24"/>
          <w:bdr w:val="none" w:sz="0" w:space="0" w:color="auto"/>
          <w:lang w:eastAsia="en-GB"/>
        </w:rPr>
        <w:tab/>
      </w:r>
      <w:r>
        <w:t>Assessment of RNA Quality by Nanodrop</w:t>
      </w:r>
      <w:r>
        <w:tab/>
      </w:r>
      <w:r>
        <w:fldChar w:fldCharType="begin"/>
      </w:r>
      <w:r>
        <w:instrText xml:space="preserve"> PAGEREF _Toc60773894 \h </w:instrText>
      </w:r>
      <w:r>
        <w:fldChar w:fldCharType="separate"/>
      </w:r>
      <w:r>
        <w:t>61</w:t>
      </w:r>
      <w:r>
        <w:fldChar w:fldCharType="end"/>
      </w:r>
    </w:p>
    <w:p w14:paraId="569C2B25" w14:textId="793D14F8"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2.2</w:t>
      </w:r>
      <w:r>
        <w:rPr>
          <w:rFonts w:asciiTheme="minorHAnsi" w:eastAsiaTheme="minorEastAsia" w:hAnsiTheme="minorHAnsi" w:cstheme="minorBidi"/>
          <w:bCs w:val="0"/>
          <w:iCs w:val="0"/>
          <w:color w:val="auto"/>
          <w:sz w:val="24"/>
          <w:szCs w:val="24"/>
          <w:bdr w:val="none" w:sz="0" w:space="0" w:color="auto"/>
          <w:lang w:eastAsia="en-GB"/>
        </w:rPr>
        <w:tab/>
      </w:r>
      <w:r>
        <w:t>Global microRNA Profiling; Array Processing, Quality Control, Data Analysis</w:t>
      </w:r>
      <w:r>
        <w:tab/>
      </w:r>
      <w:r>
        <w:fldChar w:fldCharType="begin"/>
      </w:r>
      <w:r>
        <w:instrText xml:space="preserve"> PAGEREF _Toc60773895 \h </w:instrText>
      </w:r>
      <w:r>
        <w:fldChar w:fldCharType="separate"/>
      </w:r>
      <w:r>
        <w:t>64</w:t>
      </w:r>
      <w:r>
        <w:fldChar w:fldCharType="end"/>
      </w:r>
    </w:p>
    <w:p w14:paraId="40301750" w14:textId="7F21FAD3"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2.2.1</w:t>
      </w:r>
      <w:r>
        <w:rPr>
          <w:rFonts w:asciiTheme="minorHAnsi" w:eastAsiaTheme="minorEastAsia" w:hAnsiTheme="minorHAnsi" w:cstheme="minorBidi"/>
          <w:bCs w:val="0"/>
          <w:iCs w:val="0"/>
          <w:color w:val="auto"/>
          <w:sz w:val="24"/>
          <w:szCs w:val="24"/>
          <w:bdr w:val="none" w:sz="0" w:space="0" w:color="auto"/>
          <w:lang w:eastAsia="en-GB"/>
        </w:rPr>
        <w:tab/>
      </w:r>
      <w:r>
        <w:t>Agilent microRNA Array Processing</w:t>
      </w:r>
      <w:r>
        <w:tab/>
      </w:r>
      <w:r>
        <w:fldChar w:fldCharType="begin"/>
      </w:r>
      <w:r>
        <w:instrText xml:space="preserve"> PAGEREF _Toc60773896 \h </w:instrText>
      </w:r>
      <w:r>
        <w:fldChar w:fldCharType="separate"/>
      </w:r>
      <w:r>
        <w:t>64</w:t>
      </w:r>
      <w:r>
        <w:fldChar w:fldCharType="end"/>
      </w:r>
    </w:p>
    <w:p w14:paraId="0FFB2EFC" w14:textId="49B74CB0"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2.2.2</w:t>
      </w:r>
      <w:r>
        <w:rPr>
          <w:rFonts w:asciiTheme="minorHAnsi" w:eastAsiaTheme="minorEastAsia" w:hAnsiTheme="minorHAnsi" w:cstheme="minorBidi"/>
          <w:bCs w:val="0"/>
          <w:iCs w:val="0"/>
          <w:color w:val="auto"/>
          <w:sz w:val="24"/>
          <w:szCs w:val="24"/>
          <w:bdr w:val="none" w:sz="0" w:space="0" w:color="auto"/>
          <w:lang w:eastAsia="en-GB"/>
        </w:rPr>
        <w:tab/>
      </w:r>
      <w:r>
        <w:t>Agilent microRNA Microarray Pre-processing and Quality Control</w:t>
      </w:r>
      <w:r>
        <w:tab/>
      </w:r>
      <w:r>
        <w:fldChar w:fldCharType="begin"/>
      </w:r>
      <w:r>
        <w:instrText xml:space="preserve"> PAGEREF _Toc60773897 \h </w:instrText>
      </w:r>
      <w:r>
        <w:fldChar w:fldCharType="separate"/>
      </w:r>
      <w:r>
        <w:t>64</w:t>
      </w:r>
      <w:r>
        <w:fldChar w:fldCharType="end"/>
      </w:r>
    </w:p>
    <w:p w14:paraId="324621A2" w14:textId="7F8DED14"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2.3</w:t>
      </w:r>
      <w:r>
        <w:rPr>
          <w:rFonts w:asciiTheme="minorHAnsi" w:eastAsiaTheme="minorEastAsia" w:hAnsiTheme="minorHAnsi" w:cstheme="minorBidi"/>
          <w:bCs w:val="0"/>
          <w:iCs w:val="0"/>
          <w:color w:val="auto"/>
          <w:sz w:val="24"/>
          <w:szCs w:val="24"/>
          <w:bdr w:val="none" w:sz="0" w:space="0" w:color="auto"/>
          <w:lang w:eastAsia="en-GB"/>
        </w:rPr>
        <w:tab/>
      </w:r>
      <w:r>
        <w:t>Differential Expression</w:t>
      </w:r>
      <w:r>
        <w:tab/>
      </w:r>
      <w:r>
        <w:fldChar w:fldCharType="begin"/>
      </w:r>
      <w:r>
        <w:instrText xml:space="preserve"> PAGEREF _Toc60773898 \h </w:instrText>
      </w:r>
      <w:r>
        <w:fldChar w:fldCharType="separate"/>
      </w:r>
      <w:r>
        <w:t>66</w:t>
      </w:r>
      <w:r>
        <w:fldChar w:fldCharType="end"/>
      </w:r>
    </w:p>
    <w:p w14:paraId="47852482" w14:textId="6DB699A3"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2.4</w:t>
      </w:r>
      <w:r>
        <w:rPr>
          <w:rFonts w:asciiTheme="minorHAnsi" w:eastAsiaTheme="minorEastAsia" w:hAnsiTheme="minorHAnsi" w:cstheme="minorBidi"/>
          <w:bCs w:val="0"/>
          <w:iCs w:val="0"/>
          <w:color w:val="auto"/>
          <w:sz w:val="24"/>
          <w:szCs w:val="24"/>
          <w:bdr w:val="none" w:sz="0" w:space="0" w:color="auto"/>
          <w:lang w:eastAsia="en-GB"/>
        </w:rPr>
        <w:tab/>
      </w:r>
      <w:r>
        <w:t>Identification of Biomarkers</w:t>
      </w:r>
      <w:r>
        <w:tab/>
      </w:r>
      <w:r>
        <w:fldChar w:fldCharType="begin"/>
      </w:r>
      <w:r>
        <w:instrText xml:space="preserve"> PAGEREF _Toc60773899 \h </w:instrText>
      </w:r>
      <w:r>
        <w:fldChar w:fldCharType="separate"/>
      </w:r>
      <w:r>
        <w:t>67</w:t>
      </w:r>
      <w:r>
        <w:fldChar w:fldCharType="end"/>
      </w:r>
    </w:p>
    <w:p w14:paraId="59D67534" w14:textId="47FCBB44"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2.4.1</w:t>
      </w:r>
      <w:r>
        <w:rPr>
          <w:rFonts w:asciiTheme="minorHAnsi" w:eastAsiaTheme="minorEastAsia" w:hAnsiTheme="minorHAnsi" w:cstheme="minorBidi"/>
          <w:bCs w:val="0"/>
          <w:iCs w:val="0"/>
          <w:color w:val="auto"/>
          <w:sz w:val="24"/>
          <w:szCs w:val="24"/>
          <w:bdr w:val="none" w:sz="0" w:space="0" w:color="auto"/>
          <w:lang w:eastAsia="en-GB"/>
        </w:rPr>
        <w:tab/>
      </w:r>
      <w:r>
        <w:t>Filtering</w:t>
      </w:r>
      <w:r>
        <w:tab/>
      </w:r>
      <w:r>
        <w:fldChar w:fldCharType="begin"/>
      </w:r>
      <w:r>
        <w:instrText xml:space="preserve"> PAGEREF _Toc60773900 \h </w:instrText>
      </w:r>
      <w:r>
        <w:fldChar w:fldCharType="separate"/>
      </w:r>
      <w:r>
        <w:t>67</w:t>
      </w:r>
      <w:r>
        <w:fldChar w:fldCharType="end"/>
      </w:r>
    </w:p>
    <w:p w14:paraId="135B2DE6" w14:textId="6A96C3EA"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2.4.2</w:t>
      </w:r>
      <w:r>
        <w:rPr>
          <w:rFonts w:asciiTheme="minorHAnsi" w:eastAsiaTheme="minorEastAsia" w:hAnsiTheme="minorHAnsi" w:cstheme="minorBidi"/>
          <w:bCs w:val="0"/>
          <w:iCs w:val="0"/>
          <w:color w:val="auto"/>
          <w:sz w:val="24"/>
          <w:szCs w:val="24"/>
          <w:bdr w:val="none" w:sz="0" w:space="0" w:color="auto"/>
          <w:lang w:eastAsia="en-GB"/>
        </w:rPr>
        <w:tab/>
      </w:r>
      <w:r>
        <w:t>Receiver Operator Characteristics</w:t>
      </w:r>
      <w:r>
        <w:tab/>
      </w:r>
      <w:r>
        <w:fldChar w:fldCharType="begin"/>
      </w:r>
      <w:r>
        <w:instrText xml:space="preserve"> PAGEREF _Toc60773901 \h </w:instrText>
      </w:r>
      <w:r>
        <w:fldChar w:fldCharType="separate"/>
      </w:r>
      <w:r>
        <w:t>67</w:t>
      </w:r>
      <w:r>
        <w:fldChar w:fldCharType="end"/>
      </w:r>
    </w:p>
    <w:p w14:paraId="2BFC9A83" w14:textId="023B5BA3"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2.4.3</w:t>
      </w:r>
      <w:r>
        <w:rPr>
          <w:rFonts w:asciiTheme="minorHAnsi" w:eastAsiaTheme="minorEastAsia" w:hAnsiTheme="minorHAnsi" w:cstheme="minorBidi"/>
          <w:bCs w:val="0"/>
          <w:iCs w:val="0"/>
          <w:color w:val="auto"/>
          <w:sz w:val="24"/>
          <w:szCs w:val="24"/>
          <w:bdr w:val="none" w:sz="0" w:space="0" w:color="auto"/>
          <w:lang w:eastAsia="en-GB"/>
        </w:rPr>
        <w:tab/>
      </w:r>
      <w:r>
        <w:t>Identification of Correlating miRNAs</w:t>
      </w:r>
      <w:r>
        <w:tab/>
      </w:r>
      <w:r>
        <w:fldChar w:fldCharType="begin"/>
      </w:r>
      <w:r>
        <w:instrText xml:space="preserve"> PAGEREF _Toc60773902 \h </w:instrText>
      </w:r>
      <w:r>
        <w:fldChar w:fldCharType="separate"/>
      </w:r>
      <w:r>
        <w:t>67</w:t>
      </w:r>
      <w:r>
        <w:fldChar w:fldCharType="end"/>
      </w:r>
    </w:p>
    <w:p w14:paraId="14C051C9" w14:textId="0AFDDDAC"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2.4.4</w:t>
      </w:r>
      <w:r>
        <w:rPr>
          <w:rFonts w:asciiTheme="minorHAnsi" w:eastAsiaTheme="minorEastAsia" w:hAnsiTheme="minorHAnsi" w:cstheme="minorBidi"/>
          <w:bCs w:val="0"/>
          <w:iCs w:val="0"/>
          <w:color w:val="auto"/>
          <w:sz w:val="24"/>
          <w:szCs w:val="24"/>
          <w:bdr w:val="none" w:sz="0" w:space="0" w:color="auto"/>
          <w:lang w:eastAsia="en-GB"/>
        </w:rPr>
        <w:tab/>
      </w:r>
      <w:r>
        <w:t>Feature Selection</w:t>
      </w:r>
      <w:r>
        <w:tab/>
      </w:r>
      <w:r>
        <w:fldChar w:fldCharType="begin"/>
      </w:r>
      <w:r>
        <w:instrText xml:space="preserve"> PAGEREF _Toc60773903 \h </w:instrText>
      </w:r>
      <w:r>
        <w:fldChar w:fldCharType="separate"/>
      </w:r>
      <w:r>
        <w:t>67</w:t>
      </w:r>
      <w:r>
        <w:fldChar w:fldCharType="end"/>
      </w:r>
    </w:p>
    <w:p w14:paraId="310E365B" w14:textId="54E45C3F"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2.4.5</w:t>
      </w:r>
      <w:r>
        <w:rPr>
          <w:rFonts w:asciiTheme="minorHAnsi" w:eastAsiaTheme="minorEastAsia" w:hAnsiTheme="minorHAnsi" w:cstheme="minorBidi"/>
          <w:bCs w:val="0"/>
          <w:iCs w:val="0"/>
          <w:color w:val="auto"/>
          <w:sz w:val="24"/>
          <w:szCs w:val="24"/>
          <w:bdr w:val="none" w:sz="0" w:space="0" w:color="auto"/>
          <w:lang w:eastAsia="en-GB"/>
        </w:rPr>
        <w:tab/>
      </w:r>
      <w:r>
        <w:t>Combining Features into Panels</w:t>
      </w:r>
      <w:r>
        <w:tab/>
      </w:r>
      <w:r>
        <w:fldChar w:fldCharType="begin"/>
      </w:r>
      <w:r>
        <w:instrText xml:space="preserve"> PAGEREF _Toc60773904 \h </w:instrText>
      </w:r>
      <w:r>
        <w:fldChar w:fldCharType="separate"/>
      </w:r>
      <w:r>
        <w:t>67</w:t>
      </w:r>
      <w:r>
        <w:fldChar w:fldCharType="end"/>
      </w:r>
    </w:p>
    <w:p w14:paraId="09480C97" w14:textId="666F08F5"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2.5</w:t>
      </w:r>
      <w:r>
        <w:rPr>
          <w:rFonts w:asciiTheme="minorHAnsi" w:eastAsiaTheme="minorEastAsia" w:hAnsiTheme="minorHAnsi" w:cstheme="minorBidi"/>
          <w:bCs w:val="0"/>
          <w:iCs w:val="0"/>
          <w:color w:val="auto"/>
          <w:sz w:val="24"/>
          <w:szCs w:val="24"/>
          <w:bdr w:val="none" w:sz="0" w:space="0" w:color="auto"/>
          <w:lang w:eastAsia="en-GB"/>
        </w:rPr>
        <w:tab/>
      </w:r>
      <w:r>
        <w:t>Quantification of miRNAs by qPCR</w:t>
      </w:r>
      <w:r>
        <w:tab/>
      </w:r>
      <w:r>
        <w:fldChar w:fldCharType="begin"/>
      </w:r>
      <w:r>
        <w:instrText xml:space="preserve"> PAGEREF _Toc60773905 \h </w:instrText>
      </w:r>
      <w:r>
        <w:fldChar w:fldCharType="separate"/>
      </w:r>
      <w:r>
        <w:t>68</w:t>
      </w:r>
      <w:r>
        <w:fldChar w:fldCharType="end"/>
      </w:r>
    </w:p>
    <w:p w14:paraId="2C17B3EE" w14:textId="7E910BA8"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2.5.1</w:t>
      </w:r>
      <w:r>
        <w:rPr>
          <w:rFonts w:asciiTheme="minorHAnsi" w:eastAsiaTheme="minorEastAsia" w:hAnsiTheme="minorHAnsi" w:cstheme="minorBidi"/>
          <w:bCs w:val="0"/>
          <w:iCs w:val="0"/>
          <w:color w:val="auto"/>
          <w:sz w:val="24"/>
          <w:szCs w:val="24"/>
          <w:bdr w:val="none" w:sz="0" w:space="0" w:color="auto"/>
          <w:lang w:eastAsia="en-GB"/>
        </w:rPr>
        <w:tab/>
      </w:r>
      <w:r>
        <w:t>Complementary DNA Synthesis</w:t>
      </w:r>
      <w:r>
        <w:tab/>
      </w:r>
      <w:r>
        <w:fldChar w:fldCharType="begin"/>
      </w:r>
      <w:r>
        <w:instrText xml:space="preserve"> PAGEREF _Toc60773906 \h </w:instrText>
      </w:r>
      <w:r>
        <w:fldChar w:fldCharType="separate"/>
      </w:r>
      <w:r>
        <w:t>68</w:t>
      </w:r>
      <w:r>
        <w:fldChar w:fldCharType="end"/>
      </w:r>
    </w:p>
    <w:p w14:paraId="245E7858" w14:textId="3F7A68E2"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2.5.2</w:t>
      </w:r>
      <w:r>
        <w:rPr>
          <w:rFonts w:asciiTheme="minorHAnsi" w:eastAsiaTheme="minorEastAsia" w:hAnsiTheme="minorHAnsi" w:cstheme="minorBidi"/>
          <w:bCs w:val="0"/>
          <w:iCs w:val="0"/>
          <w:color w:val="auto"/>
          <w:sz w:val="24"/>
          <w:szCs w:val="24"/>
          <w:bdr w:val="none" w:sz="0" w:space="0" w:color="auto"/>
          <w:lang w:eastAsia="en-GB"/>
        </w:rPr>
        <w:tab/>
      </w:r>
      <w:r>
        <w:t>Quantification of miRNAs by Real-Time PCR</w:t>
      </w:r>
      <w:r>
        <w:tab/>
      </w:r>
      <w:r>
        <w:fldChar w:fldCharType="begin"/>
      </w:r>
      <w:r>
        <w:instrText xml:space="preserve"> PAGEREF _Toc60773907 \h </w:instrText>
      </w:r>
      <w:r>
        <w:fldChar w:fldCharType="separate"/>
      </w:r>
      <w:r>
        <w:t>69</w:t>
      </w:r>
      <w:r>
        <w:fldChar w:fldCharType="end"/>
      </w:r>
    </w:p>
    <w:p w14:paraId="573B9B5D" w14:textId="04E66980"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2.5.3</w:t>
      </w:r>
      <w:r>
        <w:rPr>
          <w:rFonts w:asciiTheme="minorHAnsi" w:eastAsiaTheme="minorEastAsia" w:hAnsiTheme="minorHAnsi" w:cstheme="minorBidi"/>
          <w:bCs w:val="0"/>
          <w:iCs w:val="0"/>
          <w:color w:val="auto"/>
          <w:sz w:val="24"/>
          <w:szCs w:val="24"/>
          <w:bdr w:val="none" w:sz="0" w:space="0" w:color="auto"/>
          <w:lang w:eastAsia="en-GB"/>
        </w:rPr>
        <w:tab/>
      </w:r>
      <w:r>
        <w:t>Data Analysis</w:t>
      </w:r>
      <w:r>
        <w:tab/>
      </w:r>
      <w:r>
        <w:fldChar w:fldCharType="begin"/>
      </w:r>
      <w:r>
        <w:instrText xml:space="preserve"> PAGEREF _Toc60773908 \h </w:instrText>
      </w:r>
      <w:r>
        <w:fldChar w:fldCharType="separate"/>
      </w:r>
      <w:r>
        <w:t>70</w:t>
      </w:r>
      <w:r>
        <w:fldChar w:fldCharType="end"/>
      </w:r>
    </w:p>
    <w:p w14:paraId="24C41EFF" w14:textId="37777524"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2.5.3.1</w:t>
      </w:r>
      <w:r>
        <w:rPr>
          <w:rFonts w:asciiTheme="minorHAnsi" w:eastAsiaTheme="minorEastAsia" w:hAnsiTheme="minorHAnsi" w:cstheme="minorBidi"/>
          <w:bCs w:val="0"/>
          <w:iCs w:val="0"/>
          <w:color w:val="auto"/>
          <w:sz w:val="24"/>
          <w:szCs w:val="24"/>
          <w:bdr w:val="none" w:sz="0" w:space="0" w:color="auto"/>
          <w:lang w:eastAsia="en-GB"/>
        </w:rPr>
        <w:tab/>
      </w:r>
      <w:r>
        <w:t>Quality control</w:t>
      </w:r>
      <w:r>
        <w:tab/>
      </w:r>
      <w:r>
        <w:fldChar w:fldCharType="begin"/>
      </w:r>
      <w:r>
        <w:instrText xml:space="preserve"> PAGEREF _Toc60773909 \h </w:instrText>
      </w:r>
      <w:r>
        <w:fldChar w:fldCharType="separate"/>
      </w:r>
      <w:r>
        <w:t>70</w:t>
      </w:r>
      <w:r>
        <w:fldChar w:fldCharType="end"/>
      </w:r>
    </w:p>
    <w:p w14:paraId="12E5D8CF" w14:textId="5A457A67" w:rsidR="00885DE4" w:rsidRDefault="00885DE4">
      <w:pPr>
        <w:pStyle w:val="TOC1"/>
        <w:tabs>
          <w:tab w:val="left" w:pos="828"/>
          <w:tab w:val="right" w:leader="dot" w:pos="9068"/>
        </w:tabs>
        <w:rPr>
          <w:rFonts w:asciiTheme="minorHAnsi" w:eastAsiaTheme="minorEastAsia" w:hAnsiTheme="minorHAnsi" w:cstheme="minorBidi"/>
          <w:b w:val="0"/>
          <w:bCs w:val="0"/>
          <w:noProof/>
          <w:color w:val="auto"/>
          <w:szCs w:val="24"/>
          <w:bdr w:val="none" w:sz="0" w:space="0" w:color="auto"/>
          <w:lang w:eastAsia="en-GB"/>
        </w:rPr>
      </w:pPr>
      <w:r>
        <w:rPr>
          <w:noProof/>
        </w:rPr>
        <w:t>3</w:t>
      </w:r>
      <w:r>
        <w:rPr>
          <w:rFonts w:asciiTheme="minorHAnsi" w:eastAsiaTheme="minorEastAsia" w:hAnsiTheme="minorHAnsi" w:cstheme="minorBidi"/>
          <w:b w:val="0"/>
          <w:bCs w:val="0"/>
          <w:noProof/>
          <w:color w:val="auto"/>
          <w:szCs w:val="24"/>
          <w:bdr w:val="none" w:sz="0" w:space="0" w:color="auto"/>
          <w:lang w:eastAsia="en-GB"/>
        </w:rPr>
        <w:tab/>
      </w:r>
      <w:r>
        <w:rPr>
          <w:noProof/>
        </w:rPr>
        <w:t>Determining the Best Source of Circulating Biomarkers of IPAH</w:t>
      </w:r>
      <w:r>
        <w:rPr>
          <w:noProof/>
        </w:rPr>
        <w:tab/>
      </w:r>
      <w:r>
        <w:rPr>
          <w:noProof/>
        </w:rPr>
        <w:fldChar w:fldCharType="begin"/>
      </w:r>
      <w:r>
        <w:rPr>
          <w:noProof/>
        </w:rPr>
        <w:instrText xml:space="preserve"> PAGEREF _Toc60773910 \h </w:instrText>
      </w:r>
      <w:r>
        <w:rPr>
          <w:noProof/>
        </w:rPr>
      </w:r>
      <w:r>
        <w:rPr>
          <w:noProof/>
        </w:rPr>
        <w:fldChar w:fldCharType="separate"/>
      </w:r>
      <w:r>
        <w:rPr>
          <w:noProof/>
        </w:rPr>
        <w:t>73</w:t>
      </w:r>
      <w:r>
        <w:rPr>
          <w:noProof/>
        </w:rPr>
        <w:fldChar w:fldCharType="end"/>
      </w:r>
    </w:p>
    <w:p w14:paraId="16BB2B35" w14:textId="152E4AB2"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3.1</w:t>
      </w:r>
      <w:r>
        <w:rPr>
          <w:rFonts w:asciiTheme="minorHAnsi" w:eastAsiaTheme="minorEastAsia" w:hAnsiTheme="minorHAnsi" w:cstheme="minorBidi"/>
          <w:bCs w:val="0"/>
          <w:iCs w:val="0"/>
          <w:color w:val="auto"/>
          <w:sz w:val="24"/>
          <w:szCs w:val="24"/>
          <w:bdr w:val="none" w:sz="0" w:space="0" w:color="auto"/>
          <w:lang w:eastAsia="en-GB"/>
        </w:rPr>
        <w:tab/>
      </w:r>
      <w:r>
        <w:t>Aims</w:t>
      </w:r>
      <w:r>
        <w:tab/>
      </w:r>
      <w:r>
        <w:fldChar w:fldCharType="begin"/>
      </w:r>
      <w:r>
        <w:instrText xml:space="preserve"> PAGEREF _Toc60773911 \h </w:instrText>
      </w:r>
      <w:r>
        <w:fldChar w:fldCharType="separate"/>
      </w:r>
      <w:r>
        <w:t>73</w:t>
      </w:r>
      <w:r>
        <w:fldChar w:fldCharType="end"/>
      </w:r>
    </w:p>
    <w:p w14:paraId="257557F6" w14:textId="7CE92B05"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3.2</w:t>
      </w:r>
      <w:r>
        <w:rPr>
          <w:rFonts w:asciiTheme="minorHAnsi" w:eastAsiaTheme="minorEastAsia" w:hAnsiTheme="minorHAnsi" w:cstheme="minorBidi"/>
          <w:bCs w:val="0"/>
          <w:iCs w:val="0"/>
          <w:color w:val="auto"/>
          <w:sz w:val="24"/>
          <w:szCs w:val="24"/>
          <w:bdr w:val="none" w:sz="0" w:space="0" w:color="auto"/>
          <w:lang w:eastAsia="en-GB"/>
        </w:rPr>
        <w:tab/>
      </w:r>
      <w:r>
        <w:t>Introduction</w:t>
      </w:r>
      <w:r>
        <w:tab/>
      </w:r>
      <w:r>
        <w:fldChar w:fldCharType="begin"/>
      </w:r>
      <w:r>
        <w:instrText xml:space="preserve"> PAGEREF _Toc60773912 \h </w:instrText>
      </w:r>
      <w:r>
        <w:fldChar w:fldCharType="separate"/>
      </w:r>
      <w:r>
        <w:t>73</w:t>
      </w:r>
      <w:r>
        <w:fldChar w:fldCharType="end"/>
      </w:r>
    </w:p>
    <w:p w14:paraId="21BC4BB1" w14:textId="1107B71F"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lastRenderedPageBreak/>
        <w:t>3.3</w:t>
      </w:r>
      <w:r>
        <w:rPr>
          <w:rFonts w:asciiTheme="minorHAnsi" w:eastAsiaTheme="minorEastAsia" w:hAnsiTheme="minorHAnsi" w:cstheme="minorBidi"/>
          <w:bCs w:val="0"/>
          <w:iCs w:val="0"/>
          <w:color w:val="auto"/>
          <w:sz w:val="24"/>
          <w:szCs w:val="24"/>
          <w:bdr w:val="none" w:sz="0" w:space="0" w:color="auto"/>
          <w:lang w:eastAsia="en-GB"/>
        </w:rPr>
        <w:tab/>
      </w:r>
      <w:r>
        <w:t>Sample Cohort</w:t>
      </w:r>
      <w:r>
        <w:tab/>
      </w:r>
      <w:r>
        <w:fldChar w:fldCharType="begin"/>
      </w:r>
      <w:r>
        <w:instrText xml:space="preserve"> PAGEREF _Toc60773913 \h </w:instrText>
      </w:r>
      <w:r>
        <w:fldChar w:fldCharType="separate"/>
      </w:r>
      <w:r>
        <w:t>74</w:t>
      </w:r>
      <w:r>
        <w:fldChar w:fldCharType="end"/>
      </w:r>
    </w:p>
    <w:p w14:paraId="4FB0782D" w14:textId="07BFE7DF"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3.4</w:t>
      </w:r>
      <w:r>
        <w:rPr>
          <w:rFonts w:asciiTheme="minorHAnsi" w:eastAsiaTheme="minorEastAsia" w:hAnsiTheme="minorHAnsi" w:cstheme="minorBidi"/>
          <w:bCs w:val="0"/>
          <w:iCs w:val="0"/>
          <w:color w:val="auto"/>
          <w:sz w:val="24"/>
          <w:szCs w:val="24"/>
          <w:bdr w:val="none" w:sz="0" w:space="0" w:color="auto"/>
          <w:lang w:eastAsia="en-GB"/>
        </w:rPr>
        <w:tab/>
      </w:r>
      <w:r>
        <w:t>Expression Changes in Blood Fractions</w:t>
      </w:r>
      <w:r>
        <w:tab/>
      </w:r>
      <w:r>
        <w:fldChar w:fldCharType="begin"/>
      </w:r>
      <w:r>
        <w:instrText xml:space="preserve"> PAGEREF _Toc60773914 \h </w:instrText>
      </w:r>
      <w:r>
        <w:fldChar w:fldCharType="separate"/>
      </w:r>
      <w:r>
        <w:t>74</w:t>
      </w:r>
      <w:r>
        <w:fldChar w:fldCharType="end"/>
      </w:r>
    </w:p>
    <w:p w14:paraId="3FFF3D00" w14:textId="4AD740EE"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3.5</w:t>
      </w:r>
      <w:r>
        <w:rPr>
          <w:rFonts w:asciiTheme="minorHAnsi" w:eastAsiaTheme="minorEastAsia" w:hAnsiTheme="minorHAnsi" w:cstheme="minorBidi"/>
          <w:bCs w:val="0"/>
          <w:iCs w:val="0"/>
          <w:color w:val="auto"/>
          <w:sz w:val="24"/>
          <w:szCs w:val="24"/>
          <w:bdr w:val="none" w:sz="0" w:space="0" w:color="auto"/>
          <w:lang w:eastAsia="en-GB"/>
        </w:rPr>
        <w:tab/>
      </w:r>
      <w:r>
        <w:t>Determining the Best Source of miRNAs for Classification</w:t>
      </w:r>
      <w:r>
        <w:tab/>
      </w:r>
      <w:r>
        <w:fldChar w:fldCharType="begin"/>
      </w:r>
      <w:r>
        <w:instrText xml:space="preserve"> PAGEREF _Toc60773915 \h </w:instrText>
      </w:r>
      <w:r>
        <w:fldChar w:fldCharType="separate"/>
      </w:r>
      <w:r>
        <w:t>77</w:t>
      </w:r>
      <w:r>
        <w:fldChar w:fldCharType="end"/>
      </w:r>
    </w:p>
    <w:p w14:paraId="3DD3FCFF" w14:textId="052998E8"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3.6</w:t>
      </w:r>
      <w:r>
        <w:rPr>
          <w:rFonts w:asciiTheme="minorHAnsi" w:eastAsiaTheme="minorEastAsia" w:hAnsiTheme="minorHAnsi" w:cstheme="minorBidi"/>
          <w:bCs w:val="0"/>
          <w:iCs w:val="0"/>
          <w:color w:val="auto"/>
          <w:sz w:val="24"/>
          <w:szCs w:val="24"/>
          <w:bdr w:val="none" w:sz="0" w:space="0" w:color="auto"/>
          <w:lang w:eastAsia="en-GB"/>
        </w:rPr>
        <w:tab/>
      </w:r>
      <w:r>
        <w:t>Variation of miRNA Expression Between Whole Blood and Plasma</w:t>
      </w:r>
      <w:r>
        <w:tab/>
      </w:r>
      <w:r>
        <w:fldChar w:fldCharType="begin"/>
      </w:r>
      <w:r>
        <w:instrText xml:space="preserve"> PAGEREF _Toc60773916 \h </w:instrText>
      </w:r>
      <w:r>
        <w:fldChar w:fldCharType="separate"/>
      </w:r>
      <w:r>
        <w:t>77</w:t>
      </w:r>
      <w:r>
        <w:fldChar w:fldCharType="end"/>
      </w:r>
    </w:p>
    <w:p w14:paraId="089D8DDE" w14:textId="051575F5"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3.7</w:t>
      </w:r>
      <w:r>
        <w:rPr>
          <w:rFonts w:asciiTheme="minorHAnsi" w:eastAsiaTheme="minorEastAsia" w:hAnsiTheme="minorHAnsi" w:cstheme="minorBidi"/>
          <w:bCs w:val="0"/>
          <w:iCs w:val="0"/>
          <w:color w:val="auto"/>
          <w:sz w:val="24"/>
          <w:szCs w:val="24"/>
          <w:bdr w:val="none" w:sz="0" w:space="0" w:color="auto"/>
          <w:lang w:eastAsia="en-GB"/>
        </w:rPr>
        <w:tab/>
      </w:r>
      <w:r>
        <w:t>Conclusion</w:t>
      </w:r>
      <w:r>
        <w:tab/>
      </w:r>
      <w:r>
        <w:fldChar w:fldCharType="begin"/>
      </w:r>
      <w:r>
        <w:instrText xml:space="preserve"> PAGEREF _Toc60773917 \h </w:instrText>
      </w:r>
      <w:r>
        <w:fldChar w:fldCharType="separate"/>
      </w:r>
      <w:r>
        <w:t>79</w:t>
      </w:r>
      <w:r>
        <w:fldChar w:fldCharType="end"/>
      </w:r>
    </w:p>
    <w:p w14:paraId="1F583F37" w14:textId="092E213A"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3.7.1</w:t>
      </w:r>
      <w:r>
        <w:rPr>
          <w:rFonts w:asciiTheme="minorHAnsi" w:eastAsiaTheme="minorEastAsia" w:hAnsiTheme="minorHAnsi" w:cstheme="minorBidi"/>
          <w:bCs w:val="0"/>
          <w:iCs w:val="0"/>
          <w:color w:val="auto"/>
          <w:sz w:val="24"/>
          <w:szCs w:val="24"/>
          <w:bdr w:val="none" w:sz="0" w:space="0" w:color="auto"/>
          <w:lang w:eastAsia="en-GB"/>
        </w:rPr>
        <w:tab/>
      </w:r>
      <w:r>
        <w:t>Variability of miRNAs</w:t>
      </w:r>
      <w:r>
        <w:tab/>
      </w:r>
      <w:r>
        <w:fldChar w:fldCharType="begin"/>
      </w:r>
      <w:r>
        <w:instrText xml:space="preserve"> PAGEREF _Toc60773918 \h </w:instrText>
      </w:r>
      <w:r>
        <w:fldChar w:fldCharType="separate"/>
      </w:r>
      <w:r>
        <w:t>79</w:t>
      </w:r>
      <w:r>
        <w:fldChar w:fldCharType="end"/>
      </w:r>
    </w:p>
    <w:p w14:paraId="177DD1FD" w14:textId="7201C58D"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3.8</w:t>
      </w:r>
      <w:r>
        <w:rPr>
          <w:rFonts w:asciiTheme="minorHAnsi" w:eastAsiaTheme="minorEastAsia" w:hAnsiTheme="minorHAnsi" w:cstheme="minorBidi"/>
          <w:bCs w:val="0"/>
          <w:iCs w:val="0"/>
          <w:color w:val="auto"/>
          <w:sz w:val="24"/>
          <w:szCs w:val="24"/>
          <w:bdr w:val="none" w:sz="0" w:space="0" w:color="auto"/>
          <w:lang w:eastAsia="en-GB"/>
        </w:rPr>
        <w:tab/>
      </w:r>
      <w:r>
        <w:t>Deconvolution of miRNA Expression Profiles</w:t>
      </w:r>
      <w:r>
        <w:tab/>
      </w:r>
      <w:r>
        <w:fldChar w:fldCharType="begin"/>
      </w:r>
      <w:r>
        <w:instrText xml:space="preserve"> PAGEREF _Toc60773919 \h </w:instrText>
      </w:r>
      <w:r>
        <w:fldChar w:fldCharType="separate"/>
      </w:r>
      <w:r>
        <w:t>80</w:t>
      </w:r>
      <w:r>
        <w:fldChar w:fldCharType="end"/>
      </w:r>
    </w:p>
    <w:p w14:paraId="50ED8271" w14:textId="6E58CD28"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3.9</w:t>
      </w:r>
      <w:r>
        <w:rPr>
          <w:rFonts w:asciiTheme="minorHAnsi" w:eastAsiaTheme="minorEastAsia" w:hAnsiTheme="minorHAnsi" w:cstheme="minorBidi"/>
          <w:bCs w:val="0"/>
          <w:iCs w:val="0"/>
          <w:color w:val="auto"/>
          <w:sz w:val="24"/>
          <w:szCs w:val="24"/>
          <w:bdr w:val="none" w:sz="0" w:space="0" w:color="auto"/>
          <w:lang w:eastAsia="en-GB"/>
        </w:rPr>
        <w:tab/>
      </w:r>
      <w:r>
        <w:t>Differentially Expressed miRNAs</w:t>
      </w:r>
      <w:r>
        <w:tab/>
      </w:r>
      <w:r>
        <w:fldChar w:fldCharType="begin"/>
      </w:r>
      <w:r>
        <w:instrText xml:space="preserve"> PAGEREF _Toc60773920 \h </w:instrText>
      </w:r>
      <w:r>
        <w:fldChar w:fldCharType="separate"/>
      </w:r>
      <w:r>
        <w:t>82</w:t>
      </w:r>
      <w:r>
        <w:fldChar w:fldCharType="end"/>
      </w:r>
    </w:p>
    <w:p w14:paraId="42B21758" w14:textId="4D398CD2"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3.9.1</w:t>
      </w:r>
      <w:r>
        <w:rPr>
          <w:rFonts w:asciiTheme="minorHAnsi" w:eastAsiaTheme="minorEastAsia" w:hAnsiTheme="minorHAnsi" w:cstheme="minorBidi"/>
          <w:bCs w:val="0"/>
          <w:iCs w:val="0"/>
          <w:color w:val="auto"/>
          <w:sz w:val="24"/>
          <w:szCs w:val="24"/>
          <w:bdr w:val="none" w:sz="0" w:space="0" w:color="auto"/>
          <w:lang w:eastAsia="en-GB"/>
        </w:rPr>
        <w:tab/>
      </w:r>
      <w:r>
        <w:t>Whole Blood</w:t>
      </w:r>
      <w:r>
        <w:tab/>
      </w:r>
      <w:r>
        <w:fldChar w:fldCharType="begin"/>
      </w:r>
      <w:r>
        <w:instrText xml:space="preserve"> PAGEREF _Toc60773921 \h </w:instrText>
      </w:r>
      <w:r>
        <w:fldChar w:fldCharType="separate"/>
      </w:r>
      <w:r>
        <w:t>82</w:t>
      </w:r>
      <w:r>
        <w:fldChar w:fldCharType="end"/>
      </w:r>
    </w:p>
    <w:p w14:paraId="45367332" w14:textId="11AFA41A"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3.9.1.1</w:t>
      </w:r>
      <w:r>
        <w:rPr>
          <w:rFonts w:asciiTheme="minorHAnsi" w:eastAsiaTheme="minorEastAsia" w:hAnsiTheme="minorHAnsi" w:cstheme="minorBidi"/>
          <w:bCs w:val="0"/>
          <w:iCs w:val="0"/>
          <w:color w:val="auto"/>
          <w:sz w:val="24"/>
          <w:szCs w:val="24"/>
          <w:bdr w:val="none" w:sz="0" w:space="0" w:color="auto"/>
          <w:lang w:eastAsia="en-GB"/>
        </w:rPr>
        <w:tab/>
      </w:r>
      <w:r>
        <w:t>miRNA199a-5p</w:t>
      </w:r>
      <w:r>
        <w:tab/>
      </w:r>
      <w:r>
        <w:fldChar w:fldCharType="begin"/>
      </w:r>
      <w:r>
        <w:instrText xml:space="preserve"> PAGEREF _Toc60773922 \h </w:instrText>
      </w:r>
      <w:r>
        <w:fldChar w:fldCharType="separate"/>
      </w:r>
      <w:r>
        <w:t>82</w:t>
      </w:r>
      <w:r>
        <w:fldChar w:fldCharType="end"/>
      </w:r>
    </w:p>
    <w:p w14:paraId="54EE120A" w14:textId="02467CB2"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3.9.2</w:t>
      </w:r>
      <w:r>
        <w:rPr>
          <w:rFonts w:asciiTheme="minorHAnsi" w:eastAsiaTheme="minorEastAsia" w:hAnsiTheme="minorHAnsi" w:cstheme="minorBidi"/>
          <w:bCs w:val="0"/>
          <w:iCs w:val="0"/>
          <w:color w:val="auto"/>
          <w:sz w:val="24"/>
          <w:szCs w:val="24"/>
          <w:bdr w:val="none" w:sz="0" w:space="0" w:color="auto"/>
          <w:lang w:eastAsia="en-GB"/>
        </w:rPr>
        <w:tab/>
      </w:r>
      <w:r>
        <w:t>Plasma</w:t>
      </w:r>
      <w:r>
        <w:tab/>
      </w:r>
      <w:r>
        <w:fldChar w:fldCharType="begin"/>
      </w:r>
      <w:r>
        <w:instrText xml:space="preserve"> PAGEREF _Toc60773923 \h </w:instrText>
      </w:r>
      <w:r>
        <w:fldChar w:fldCharType="separate"/>
      </w:r>
      <w:r>
        <w:t>82</w:t>
      </w:r>
      <w:r>
        <w:fldChar w:fldCharType="end"/>
      </w:r>
    </w:p>
    <w:p w14:paraId="4C36F168" w14:textId="4DC763AB"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3.9.2.1</w:t>
      </w:r>
      <w:r>
        <w:rPr>
          <w:rFonts w:asciiTheme="minorHAnsi" w:eastAsiaTheme="minorEastAsia" w:hAnsiTheme="minorHAnsi" w:cstheme="minorBidi"/>
          <w:bCs w:val="0"/>
          <w:iCs w:val="0"/>
          <w:color w:val="auto"/>
          <w:sz w:val="24"/>
          <w:szCs w:val="24"/>
          <w:bdr w:val="none" w:sz="0" w:space="0" w:color="auto"/>
          <w:lang w:eastAsia="en-GB"/>
        </w:rPr>
        <w:tab/>
      </w:r>
      <w:r>
        <w:t>miRNA199a-5p</w:t>
      </w:r>
      <w:r>
        <w:tab/>
      </w:r>
      <w:r>
        <w:fldChar w:fldCharType="begin"/>
      </w:r>
      <w:r>
        <w:instrText xml:space="preserve"> PAGEREF _Toc60773924 \h </w:instrText>
      </w:r>
      <w:r>
        <w:fldChar w:fldCharType="separate"/>
      </w:r>
      <w:r>
        <w:t>82</w:t>
      </w:r>
      <w:r>
        <w:fldChar w:fldCharType="end"/>
      </w:r>
    </w:p>
    <w:p w14:paraId="72D81292" w14:textId="1D4F93DF"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3.9.2.2</w:t>
      </w:r>
      <w:r>
        <w:rPr>
          <w:rFonts w:asciiTheme="minorHAnsi" w:eastAsiaTheme="minorEastAsia" w:hAnsiTheme="minorHAnsi" w:cstheme="minorBidi"/>
          <w:bCs w:val="0"/>
          <w:iCs w:val="0"/>
          <w:color w:val="auto"/>
          <w:sz w:val="24"/>
          <w:szCs w:val="24"/>
          <w:bdr w:val="none" w:sz="0" w:space="0" w:color="auto"/>
          <w:lang w:eastAsia="en-GB"/>
        </w:rPr>
        <w:tab/>
      </w:r>
      <w:r>
        <w:t>Remaining differentially expressed miRNAs</w:t>
      </w:r>
      <w:r>
        <w:tab/>
      </w:r>
      <w:r>
        <w:fldChar w:fldCharType="begin"/>
      </w:r>
      <w:r>
        <w:instrText xml:space="preserve"> PAGEREF _Toc60773925 \h </w:instrText>
      </w:r>
      <w:r>
        <w:fldChar w:fldCharType="separate"/>
      </w:r>
      <w:r>
        <w:t>84</w:t>
      </w:r>
      <w:r>
        <w:fldChar w:fldCharType="end"/>
      </w:r>
    </w:p>
    <w:p w14:paraId="664D6B8A" w14:textId="63D61F31" w:rsidR="00885DE4" w:rsidRDefault="00885DE4">
      <w:pPr>
        <w:pStyle w:val="TOC3"/>
        <w:rPr>
          <w:rFonts w:asciiTheme="minorHAnsi" w:eastAsiaTheme="minorEastAsia" w:hAnsiTheme="minorHAnsi" w:cstheme="minorBidi"/>
          <w:bCs w:val="0"/>
          <w:iCs w:val="0"/>
          <w:color w:val="auto"/>
          <w:sz w:val="24"/>
          <w:szCs w:val="24"/>
          <w:bdr w:val="none" w:sz="0" w:space="0" w:color="auto"/>
          <w:lang w:eastAsia="en-GB"/>
        </w:rPr>
      </w:pPr>
      <w:r>
        <w:t>3.10</w:t>
      </w:r>
      <w:r>
        <w:rPr>
          <w:rFonts w:asciiTheme="minorHAnsi" w:eastAsiaTheme="minorEastAsia" w:hAnsiTheme="minorHAnsi" w:cstheme="minorBidi"/>
          <w:bCs w:val="0"/>
          <w:iCs w:val="0"/>
          <w:color w:val="auto"/>
          <w:sz w:val="24"/>
          <w:szCs w:val="24"/>
          <w:bdr w:val="none" w:sz="0" w:space="0" w:color="auto"/>
          <w:lang w:eastAsia="en-GB"/>
        </w:rPr>
        <w:tab/>
      </w:r>
      <w:r>
        <w:t>Platelet miRNA Contamination in Plasma</w:t>
      </w:r>
      <w:r>
        <w:tab/>
      </w:r>
      <w:r>
        <w:fldChar w:fldCharType="begin"/>
      </w:r>
      <w:r>
        <w:instrText xml:space="preserve"> PAGEREF _Toc60773926 \h </w:instrText>
      </w:r>
      <w:r>
        <w:fldChar w:fldCharType="separate"/>
      </w:r>
      <w:r>
        <w:t>85</w:t>
      </w:r>
      <w:r>
        <w:fldChar w:fldCharType="end"/>
      </w:r>
    </w:p>
    <w:p w14:paraId="43237AC1" w14:textId="24987B74" w:rsidR="00885DE4" w:rsidRDefault="00885DE4">
      <w:pPr>
        <w:pStyle w:val="TOC1"/>
        <w:tabs>
          <w:tab w:val="left" w:pos="828"/>
          <w:tab w:val="right" w:leader="dot" w:pos="9068"/>
        </w:tabs>
        <w:rPr>
          <w:rFonts w:asciiTheme="minorHAnsi" w:eastAsiaTheme="minorEastAsia" w:hAnsiTheme="minorHAnsi" w:cstheme="minorBidi"/>
          <w:b w:val="0"/>
          <w:bCs w:val="0"/>
          <w:noProof/>
          <w:color w:val="auto"/>
          <w:szCs w:val="24"/>
          <w:bdr w:val="none" w:sz="0" w:space="0" w:color="auto"/>
          <w:lang w:eastAsia="en-GB"/>
        </w:rPr>
      </w:pPr>
      <w:r>
        <w:rPr>
          <w:noProof/>
        </w:rPr>
        <w:t>4</w:t>
      </w:r>
      <w:r>
        <w:rPr>
          <w:rFonts w:asciiTheme="minorHAnsi" w:eastAsiaTheme="minorEastAsia" w:hAnsiTheme="minorHAnsi" w:cstheme="minorBidi"/>
          <w:b w:val="0"/>
          <w:bCs w:val="0"/>
          <w:noProof/>
          <w:color w:val="auto"/>
          <w:szCs w:val="24"/>
          <w:bdr w:val="none" w:sz="0" w:space="0" w:color="auto"/>
          <w:lang w:eastAsia="en-GB"/>
        </w:rPr>
        <w:tab/>
      </w:r>
      <w:r>
        <w:rPr>
          <w:noProof/>
        </w:rPr>
        <w:t>Identification of Biomarker Panels of IPAH</w:t>
      </w:r>
      <w:r>
        <w:rPr>
          <w:noProof/>
        </w:rPr>
        <w:tab/>
      </w:r>
      <w:r>
        <w:rPr>
          <w:noProof/>
        </w:rPr>
        <w:fldChar w:fldCharType="begin"/>
      </w:r>
      <w:r>
        <w:rPr>
          <w:noProof/>
        </w:rPr>
        <w:instrText xml:space="preserve"> PAGEREF _Toc60773927 \h </w:instrText>
      </w:r>
      <w:r>
        <w:rPr>
          <w:noProof/>
        </w:rPr>
      </w:r>
      <w:r>
        <w:rPr>
          <w:noProof/>
        </w:rPr>
        <w:fldChar w:fldCharType="separate"/>
      </w:r>
      <w:r>
        <w:rPr>
          <w:noProof/>
        </w:rPr>
        <w:t>87</w:t>
      </w:r>
      <w:r>
        <w:rPr>
          <w:noProof/>
        </w:rPr>
        <w:fldChar w:fldCharType="end"/>
      </w:r>
    </w:p>
    <w:p w14:paraId="43290DFD" w14:textId="21109AF7"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4.1</w:t>
      </w:r>
      <w:r>
        <w:rPr>
          <w:rFonts w:asciiTheme="minorHAnsi" w:eastAsiaTheme="minorEastAsia" w:hAnsiTheme="minorHAnsi" w:cstheme="minorBidi"/>
          <w:noProof/>
          <w:color w:val="auto"/>
          <w:sz w:val="24"/>
          <w:szCs w:val="24"/>
          <w:bdr w:val="none" w:sz="0" w:space="0" w:color="auto"/>
          <w:lang w:eastAsia="en-GB"/>
        </w:rPr>
        <w:tab/>
      </w:r>
      <w:r>
        <w:rPr>
          <w:noProof/>
        </w:rPr>
        <w:t>Introduction</w:t>
      </w:r>
      <w:r>
        <w:rPr>
          <w:noProof/>
        </w:rPr>
        <w:tab/>
      </w:r>
      <w:r>
        <w:rPr>
          <w:noProof/>
        </w:rPr>
        <w:fldChar w:fldCharType="begin"/>
      </w:r>
      <w:r>
        <w:rPr>
          <w:noProof/>
        </w:rPr>
        <w:instrText xml:space="preserve"> PAGEREF _Toc60773928 \h </w:instrText>
      </w:r>
      <w:r>
        <w:rPr>
          <w:noProof/>
        </w:rPr>
      </w:r>
      <w:r>
        <w:rPr>
          <w:noProof/>
        </w:rPr>
        <w:fldChar w:fldCharType="separate"/>
      </w:r>
      <w:r>
        <w:rPr>
          <w:noProof/>
        </w:rPr>
        <w:t>87</w:t>
      </w:r>
      <w:r>
        <w:rPr>
          <w:noProof/>
        </w:rPr>
        <w:fldChar w:fldCharType="end"/>
      </w:r>
    </w:p>
    <w:p w14:paraId="190A6E84" w14:textId="7BDB7385"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4.2</w:t>
      </w:r>
      <w:r>
        <w:rPr>
          <w:rFonts w:asciiTheme="minorHAnsi" w:eastAsiaTheme="minorEastAsia" w:hAnsiTheme="minorHAnsi" w:cstheme="minorBidi"/>
          <w:noProof/>
          <w:color w:val="auto"/>
          <w:sz w:val="24"/>
          <w:szCs w:val="24"/>
          <w:bdr w:val="none" w:sz="0" w:space="0" w:color="auto"/>
          <w:lang w:eastAsia="en-GB"/>
        </w:rPr>
        <w:tab/>
      </w:r>
      <w:r>
        <w:rPr>
          <w:noProof/>
        </w:rPr>
        <w:t>Methods</w:t>
      </w:r>
      <w:r>
        <w:rPr>
          <w:noProof/>
        </w:rPr>
        <w:tab/>
      </w:r>
      <w:r>
        <w:rPr>
          <w:noProof/>
        </w:rPr>
        <w:fldChar w:fldCharType="begin"/>
      </w:r>
      <w:r>
        <w:rPr>
          <w:noProof/>
        </w:rPr>
        <w:instrText xml:space="preserve"> PAGEREF _Toc60773929 \h </w:instrText>
      </w:r>
      <w:r>
        <w:rPr>
          <w:noProof/>
        </w:rPr>
      </w:r>
      <w:r>
        <w:rPr>
          <w:noProof/>
        </w:rPr>
        <w:fldChar w:fldCharType="separate"/>
      </w:r>
      <w:r>
        <w:rPr>
          <w:noProof/>
        </w:rPr>
        <w:t>87</w:t>
      </w:r>
      <w:r>
        <w:rPr>
          <w:noProof/>
        </w:rPr>
        <w:fldChar w:fldCharType="end"/>
      </w:r>
    </w:p>
    <w:p w14:paraId="403E7BFE" w14:textId="60BD3F29"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4.3</w:t>
      </w:r>
      <w:r>
        <w:rPr>
          <w:rFonts w:asciiTheme="minorHAnsi" w:eastAsiaTheme="minorEastAsia" w:hAnsiTheme="minorHAnsi" w:cstheme="minorBidi"/>
          <w:noProof/>
          <w:color w:val="auto"/>
          <w:sz w:val="24"/>
          <w:szCs w:val="24"/>
          <w:bdr w:val="none" w:sz="0" w:space="0" w:color="auto"/>
          <w:lang w:eastAsia="en-GB"/>
        </w:rPr>
        <w:tab/>
      </w:r>
      <w:r>
        <w:rPr>
          <w:noProof/>
        </w:rPr>
        <w:t>IPAH from HV Biomarker Feature Selection</w:t>
      </w:r>
      <w:r>
        <w:rPr>
          <w:noProof/>
        </w:rPr>
        <w:tab/>
      </w:r>
      <w:r>
        <w:rPr>
          <w:noProof/>
        </w:rPr>
        <w:fldChar w:fldCharType="begin"/>
      </w:r>
      <w:r>
        <w:rPr>
          <w:noProof/>
        </w:rPr>
        <w:instrText xml:space="preserve"> PAGEREF _Toc60773930 \h </w:instrText>
      </w:r>
      <w:r>
        <w:rPr>
          <w:noProof/>
        </w:rPr>
      </w:r>
      <w:r>
        <w:rPr>
          <w:noProof/>
        </w:rPr>
        <w:fldChar w:fldCharType="separate"/>
      </w:r>
      <w:r>
        <w:rPr>
          <w:noProof/>
        </w:rPr>
        <w:t>88</w:t>
      </w:r>
      <w:r>
        <w:rPr>
          <w:noProof/>
        </w:rPr>
        <w:fldChar w:fldCharType="end"/>
      </w:r>
    </w:p>
    <w:p w14:paraId="3827A866" w14:textId="52A49C74"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4.4</w:t>
      </w:r>
      <w:r>
        <w:rPr>
          <w:rFonts w:asciiTheme="minorHAnsi" w:eastAsiaTheme="minorEastAsia" w:hAnsiTheme="minorHAnsi" w:cstheme="minorBidi"/>
          <w:noProof/>
          <w:color w:val="auto"/>
          <w:sz w:val="24"/>
          <w:szCs w:val="24"/>
          <w:bdr w:val="none" w:sz="0" w:space="0" w:color="auto"/>
          <w:lang w:eastAsia="en-GB"/>
        </w:rPr>
        <w:tab/>
      </w:r>
      <w:r>
        <w:rPr>
          <w:noProof/>
        </w:rPr>
        <w:t>Combining Biomarkers with Decision Trees</w:t>
      </w:r>
      <w:r>
        <w:rPr>
          <w:noProof/>
        </w:rPr>
        <w:tab/>
      </w:r>
      <w:r>
        <w:rPr>
          <w:noProof/>
        </w:rPr>
        <w:fldChar w:fldCharType="begin"/>
      </w:r>
      <w:r>
        <w:rPr>
          <w:noProof/>
        </w:rPr>
        <w:instrText xml:space="preserve"> PAGEREF _Toc60773931 \h </w:instrText>
      </w:r>
      <w:r>
        <w:rPr>
          <w:noProof/>
        </w:rPr>
      </w:r>
      <w:r>
        <w:rPr>
          <w:noProof/>
        </w:rPr>
        <w:fldChar w:fldCharType="separate"/>
      </w:r>
      <w:r>
        <w:rPr>
          <w:noProof/>
        </w:rPr>
        <w:t>89</w:t>
      </w:r>
      <w:r>
        <w:rPr>
          <w:noProof/>
        </w:rPr>
        <w:fldChar w:fldCharType="end"/>
      </w:r>
    </w:p>
    <w:p w14:paraId="647424D3" w14:textId="221D6FA4"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4.5</w:t>
      </w:r>
      <w:r>
        <w:rPr>
          <w:rFonts w:asciiTheme="minorHAnsi" w:eastAsiaTheme="minorEastAsia" w:hAnsiTheme="minorHAnsi" w:cstheme="minorBidi"/>
          <w:noProof/>
          <w:color w:val="auto"/>
          <w:sz w:val="24"/>
          <w:szCs w:val="24"/>
          <w:bdr w:val="none" w:sz="0" w:space="0" w:color="auto"/>
          <w:lang w:eastAsia="en-GB"/>
        </w:rPr>
        <w:tab/>
      </w:r>
      <w:r>
        <w:rPr>
          <w:noProof/>
        </w:rPr>
        <w:t>Combining Biomarkers by ROC Determined Threshold</w:t>
      </w:r>
      <w:r>
        <w:rPr>
          <w:noProof/>
        </w:rPr>
        <w:tab/>
      </w:r>
      <w:r>
        <w:rPr>
          <w:noProof/>
        </w:rPr>
        <w:fldChar w:fldCharType="begin"/>
      </w:r>
      <w:r>
        <w:rPr>
          <w:noProof/>
        </w:rPr>
        <w:instrText xml:space="preserve"> PAGEREF _Toc60773932 \h </w:instrText>
      </w:r>
      <w:r>
        <w:rPr>
          <w:noProof/>
        </w:rPr>
      </w:r>
      <w:r>
        <w:rPr>
          <w:noProof/>
        </w:rPr>
        <w:fldChar w:fldCharType="separate"/>
      </w:r>
      <w:r>
        <w:rPr>
          <w:noProof/>
        </w:rPr>
        <w:t>90</w:t>
      </w:r>
      <w:r>
        <w:rPr>
          <w:noProof/>
        </w:rPr>
        <w:fldChar w:fldCharType="end"/>
      </w:r>
    </w:p>
    <w:p w14:paraId="56B58F56" w14:textId="072EE945"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4.6</w:t>
      </w:r>
      <w:r>
        <w:rPr>
          <w:rFonts w:asciiTheme="minorHAnsi" w:eastAsiaTheme="minorEastAsia" w:hAnsiTheme="minorHAnsi" w:cstheme="minorBidi"/>
          <w:noProof/>
          <w:color w:val="auto"/>
          <w:sz w:val="24"/>
          <w:szCs w:val="24"/>
          <w:bdr w:val="none" w:sz="0" w:space="0" w:color="auto"/>
          <w:lang w:eastAsia="en-GB"/>
        </w:rPr>
        <w:tab/>
      </w:r>
      <w:r>
        <w:rPr>
          <w:noProof/>
        </w:rPr>
        <w:t>Comparison of Biomarker Performance</w:t>
      </w:r>
      <w:r>
        <w:rPr>
          <w:noProof/>
        </w:rPr>
        <w:tab/>
      </w:r>
      <w:r>
        <w:rPr>
          <w:noProof/>
        </w:rPr>
        <w:fldChar w:fldCharType="begin"/>
      </w:r>
      <w:r>
        <w:rPr>
          <w:noProof/>
        </w:rPr>
        <w:instrText xml:space="preserve"> PAGEREF _Toc60773933 \h </w:instrText>
      </w:r>
      <w:r>
        <w:rPr>
          <w:noProof/>
        </w:rPr>
      </w:r>
      <w:r>
        <w:rPr>
          <w:noProof/>
        </w:rPr>
        <w:fldChar w:fldCharType="separate"/>
      </w:r>
      <w:r>
        <w:rPr>
          <w:noProof/>
        </w:rPr>
        <w:t>91</w:t>
      </w:r>
      <w:r>
        <w:rPr>
          <w:noProof/>
        </w:rPr>
        <w:fldChar w:fldCharType="end"/>
      </w:r>
    </w:p>
    <w:p w14:paraId="0E48CA89" w14:textId="4481A9EA"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4.7</w:t>
      </w:r>
      <w:r>
        <w:rPr>
          <w:rFonts w:asciiTheme="minorHAnsi" w:eastAsiaTheme="minorEastAsia" w:hAnsiTheme="minorHAnsi" w:cstheme="minorBidi"/>
          <w:noProof/>
          <w:color w:val="auto"/>
          <w:sz w:val="24"/>
          <w:szCs w:val="24"/>
          <w:bdr w:val="none" w:sz="0" w:space="0" w:color="auto"/>
          <w:lang w:eastAsia="en-GB"/>
        </w:rPr>
        <w:tab/>
      </w:r>
      <w:r>
        <w:rPr>
          <w:noProof/>
        </w:rPr>
        <w:t>Conclusion</w:t>
      </w:r>
      <w:r>
        <w:rPr>
          <w:noProof/>
        </w:rPr>
        <w:tab/>
      </w:r>
      <w:r>
        <w:rPr>
          <w:noProof/>
        </w:rPr>
        <w:fldChar w:fldCharType="begin"/>
      </w:r>
      <w:r>
        <w:rPr>
          <w:noProof/>
        </w:rPr>
        <w:instrText xml:space="preserve"> PAGEREF _Toc60773934 \h </w:instrText>
      </w:r>
      <w:r>
        <w:rPr>
          <w:noProof/>
        </w:rPr>
      </w:r>
      <w:r>
        <w:rPr>
          <w:noProof/>
        </w:rPr>
        <w:fldChar w:fldCharType="separate"/>
      </w:r>
      <w:r>
        <w:rPr>
          <w:noProof/>
        </w:rPr>
        <w:t>92</w:t>
      </w:r>
      <w:r>
        <w:rPr>
          <w:noProof/>
        </w:rPr>
        <w:fldChar w:fldCharType="end"/>
      </w:r>
    </w:p>
    <w:p w14:paraId="198E99A7" w14:textId="5981D9A1" w:rsidR="00885DE4" w:rsidRDefault="00885DE4">
      <w:pPr>
        <w:pStyle w:val="TOC1"/>
        <w:tabs>
          <w:tab w:val="left" w:pos="828"/>
          <w:tab w:val="right" w:leader="dot" w:pos="9068"/>
        </w:tabs>
        <w:rPr>
          <w:rFonts w:asciiTheme="minorHAnsi" w:eastAsiaTheme="minorEastAsia" w:hAnsiTheme="minorHAnsi" w:cstheme="minorBidi"/>
          <w:b w:val="0"/>
          <w:bCs w:val="0"/>
          <w:noProof/>
          <w:color w:val="auto"/>
          <w:szCs w:val="24"/>
          <w:bdr w:val="none" w:sz="0" w:space="0" w:color="auto"/>
          <w:lang w:eastAsia="en-GB"/>
        </w:rPr>
      </w:pPr>
      <w:r>
        <w:rPr>
          <w:noProof/>
        </w:rPr>
        <w:t>5</w:t>
      </w:r>
      <w:r>
        <w:rPr>
          <w:rFonts w:asciiTheme="minorHAnsi" w:eastAsiaTheme="minorEastAsia" w:hAnsiTheme="minorHAnsi" w:cstheme="minorBidi"/>
          <w:b w:val="0"/>
          <w:bCs w:val="0"/>
          <w:noProof/>
          <w:color w:val="auto"/>
          <w:szCs w:val="24"/>
          <w:bdr w:val="none" w:sz="0" w:space="0" w:color="auto"/>
          <w:lang w:eastAsia="en-GB"/>
        </w:rPr>
        <w:tab/>
      </w:r>
      <w:r>
        <w:rPr>
          <w:noProof/>
        </w:rPr>
        <w:t>Identification of Biomarkers of PAH in SSc</w:t>
      </w:r>
      <w:r>
        <w:rPr>
          <w:noProof/>
        </w:rPr>
        <w:tab/>
      </w:r>
      <w:r>
        <w:rPr>
          <w:noProof/>
        </w:rPr>
        <w:fldChar w:fldCharType="begin"/>
      </w:r>
      <w:r>
        <w:rPr>
          <w:noProof/>
        </w:rPr>
        <w:instrText xml:space="preserve"> PAGEREF _Toc60773935 \h </w:instrText>
      </w:r>
      <w:r>
        <w:rPr>
          <w:noProof/>
        </w:rPr>
      </w:r>
      <w:r>
        <w:rPr>
          <w:noProof/>
        </w:rPr>
        <w:fldChar w:fldCharType="separate"/>
      </w:r>
      <w:r>
        <w:rPr>
          <w:noProof/>
        </w:rPr>
        <w:t>93</w:t>
      </w:r>
      <w:r>
        <w:rPr>
          <w:noProof/>
        </w:rPr>
        <w:fldChar w:fldCharType="end"/>
      </w:r>
    </w:p>
    <w:p w14:paraId="0EA951C5" w14:textId="2BCE3CAB"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5.1</w:t>
      </w:r>
      <w:r>
        <w:rPr>
          <w:rFonts w:asciiTheme="minorHAnsi" w:eastAsiaTheme="minorEastAsia" w:hAnsiTheme="minorHAnsi" w:cstheme="minorBidi"/>
          <w:noProof/>
          <w:color w:val="auto"/>
          <w:sz w:val="24"/>
          <w:szCs w:val="24"/>
          <w:bdr w:val="none" w:sz="0" w:space="0" w:color="auto"/>
          <w:lang w:eastAsia="en-GB"/>
        </w:rPr>
        <w:tab/>
      </w:r>
      <w:r>
        <w:rPr>
          <w:noProof/>
        </w:rPr>
        <w:t>Introduction</w:t>
      </w:r>
      <w:r>
        <w:rPr>
          <w:noProof/>
        </w:rPr>
        <w:tab/>
      </w:r>
      <w:r>
        <w:rPr>
          <w:noProof/>
        </w:rPr>
        <w:fldChar w:fldCharType="begin"/>
      </w:r>
      <w:r>
        <w:rPr>
          <w:noProof/>
        </w:rPr>
        <w:instrText xml:space="preserve"> PAGEREF _Toc60773936 \h </w:instrText>
      </w:r>
      <w:r>
        <w:rPr>
          <w:noProof/>
        </w:rPr>
      </w:r>
      <w:r>
        <w:rPr>
          <w:noProof/>
        </w:rPr>
        <w:fldChar w:fldCharType="separate"/>
      </w:r>
      <w:r>
        <w:rPr>
          <w:noProof/>
        </w:rPr>
        <w:t>93</w:t>
      </w:r>
      <w:r>
        <w:rPr>
          <w:noProof/>
        </w:rPr>
        <w:fldChar w:fldCharType="end"/>
      </w:r>
    </w:p>
    <w:p w14:paraId="10B2AB97" w14:textId="37CE8A67"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5.2</w:t>
      </w:r>
      <w:r>
        <w:rPr>
          <w:rFonts w:asciiTheme="minorHAnsi" w:eastAsiaTheme="minorEastAsia" w:hAnsiTheme="minorHAnsi" w:cstheme="minorBidi"/>
          <w:noProof/>
          <w:color w:val="auto"/>
          <w:sz w:val="24"/>
          <w:szCs w:val="24"/>
          <w:bdr w:val="none" w:sz="0" w:space="0" w:color="auto"/>
          <w:lang w:eastAsia="en-GB"/>
        </w:rPr>
        <w:tab/>
      </w:r>
      <w:r>
        <w:rPr>
          <w:noProof/>
        </w:rPr>
        <w:t>Methods</w:t>
      </w:r>
      <w:r>
        <w:rPr>
          <w:noProof/>
        </w:rPr>
        <w:tab/>
      </w:r>
      <w:r>
        <w:rPr>
          <w:noProof/>
        </w:rPr>
        <w:fldChar w:fldCharType="begin"/>
      </w:r>
      <w:r>
        <w:rPr>
          <w:noProof/>
        </w:rPr>
        <w:instrText xml:space="preserve"> PAGEREF _Toc60773937 \h </w:instrText>
      </w:r>
      <w:r>
        <w:rPr>
          <w:noProof/>
        </w:rPr>
      </w:r>
      <w:r>
        <w:rPr>
          <w:noProof/>
        </w:rPr>
        <w:fldChar w:fldCharType="separate"/>
      </w:r>
      <w:r>
        <w:rPr>
          <w:noProof/>
        </w:rPr>
        <w:t>93</w:t>
      </w:r>
      <w:r>
        <w:rPr>
          <w:noProof/>
        </w:rPr>
        <w:fldChar w:fldCharType="end"/>
      </w:r>
    </w:p>
    <w:p w14:paraId="316D7C19" w14:textId="594422EA"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5.3</w:t>
      </w:r>
      <w:r>
        <w:rPr>
          <w:rFonts w:asciiTheme="minorHAnsi" w:eastAsiaTheme="minorEastAsia" w:hAnsiTheme="minorHAnsi" w:cstheme="minorBidi"/>
          <w:noProof/>
          <w:color w:val="auto"/>
          <w:sz w:val="24"/>
          <w:szCs w:val="24"/>
          <w:bdr w:val="none" w:sz="0" w:space="0" w:color="auto"/>
          <w:lang w:eastAsia="en-GB"/>
        </w:rPr>
        <w:tab/>
      </w:r>
      <w:r>
        <w:rPr>
          <w:noProof/>
        </w:rPr>
        <w:t>PAH in SSc Biomarker Feature Selection</w:t>
      </w:r>
      <w:r>
        <w:rPr>
          <w:noProof/>
        </w:rPr>
        <w:tab/>
      </w:r>
      <w:r>
        <w:rPr>
          <w:noProof/>
        </w:rPr>
        <w:fldChar w:fldCharType="begin"/>
      </w:r>
      <w:r>
        <w:rPr>
          <w:noProof/>
        </w:rPr>
        <w:instrText xml:space="preserve"> PAGEREF _Toc60773938 \h </w:instrText>
      </w:r>
      <w:r>
        <w:rPr>
          <w:noProof/>
        </w:rPr>
      </w:r>
      <w:r>
        <w:rPr>
          <w:noProof/>
        </w:rPr>
        <w:fldChar w:fldCharType="separate"/>
      </w:r>
      <w:r>
        <w:rPr>
          <w:noProof/>
        </w:rPr>
        <w:t>94</w:t>
      </w:r>
      <w:r>
        <w:rPr>
          <w:noProof/>
        </w:rPr>
        <w:fldChar w:fldCharType="end"/>
      </w:r>
    </w:p>
    <w:p w14:paraId="503EA66B" w14:textId="358A5732"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lastRenderedPageBreak/>
        <w:t>5.4</w:t>
      </w:r>
      <w:r>
        <w:rPr>
          <w:rFonts w:asciiTheme="minorHAnsi" w:eastAsiaTheme="minorEastAsia" w:hAnsiTheme="minorHAnsi" w:cstheme="minorBidi"/>
          <w:noProof/>
          <w:color w:val="auto"/>
          <w:sz w:val="24"/>
          <w:szCs w:val="24"/>
          <w:bdr w:val="none" w:sz="0" w:space="0" w:color="auto"/>
          <w:lang w:eastAsia="en-GB"/>
        </w:rPr>
        <w:tab/>
      </w:r>
      <w:r>
        <w:rPr>
          <w:noProof/>
        </w:rPr>
        <w:t>Combing biomarkers with decision trees</w:t>
      </w:r>
      <w:r>
        <w:rPr>
          <w:noProof/>
        </w:rPr>
        <w:tab/>
      </w:r>
      <w:r>
        <w:rPr>
          <w:noProof/>
        </w:rPr>
        <w:fldChar w:fldCharType="begin"/>
      </w:r>
      <w:r>
        <w:rPr>
          <w:noProof/>
        </w:rPr>
        <w:instrText xml:space="preserve"> PAGEREF _Toc60773939 \h </w:instrText>
      </w:r>
      <w:r>
        <w:rPr>
          <w:noProof/>
        </w:rPr>
      </w:r>
      <w:r>
        <w:rPr>
          <w:noProof/>
        </w:rPr>
        <w:fldChar w:fldCharType="separate"/>
      </w:r>
      <w:r>
        <w:rPr>
          <w:noProof/>
        </w:rPr>
        <w:t>95</w:t>
      </w:r>
      <w:r>
        <w:rPr>
          <w:noProof/>
        </w:rPr>
        <w:fldChar w:fldCharType="end"/>
      </w:r>
    </w:p>
    <w:p w14:paraId="0E8340D3" w14:textId="4D45D34E"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5.5</w:t>
      </w:r>
      <w:r>
        <w:rPr>
          <w:rFonts w:asciiTheme="minorHAnsi" w:eastAsiaTheme="minorEastAsia" w:hAnsiTheme="minorHAnsi" w:cstheme="minorBidi"/>
          <w:noProof/>
          <w:color w:val="auto"/>
          <w:sz w:val="24"/>
          <w:szCs w:val="24"/>
          <w:bdr w:val="none" w:sz="0" w:space="0" w:color="auto"/>
          <w:lang w:eastAsia="en-GB"/>
        </w:rPr>
        <w:tab/>
      </w:r>
      <w:r>
        <w:rPr>
          <w:noProof/>
        </w:rPr>
        <w:t>Combining biomarkers by ROC determined thresholds</w:t>
      </w:r>
      <w:r>
        <w:rPr>
          <w:noProof/>
        </w:rPr>
        <w:tab/>
      </w:r>
      <w:r>
        <w:rPr>
          <w:noProof/>
        </w:rPr>
        <w:fldChar w:fldCharType="begin"/>
      </w:r>
      <w:r>
        <w:rPr>
          <w:noProof/>
        </w:rPr>
        <w:instrText xml:space="preserve"> PAGEREF _Toc60773940 \h </w:instrText>
      </w:r>
      <w:r>
        <w:rPr>
          <w:noProof/>
        </w:rPr>
      </w:r>
      <w:r>
        <w:rPr>
          <w:noProof/>
        </w:rPr>
        <w:fldChar w:fldCharType="separate"/>
      </w:r>
      <w:r>
        <w:rPr>
          <w:noProof/>
        </w:rPr>
        <w:t>97</w:t>
      </w:r>
      <w:r>
        <w:rPr>
          <w:noProof/>
        </w:rPr>
        <w:fldChar w:fldCharType="end"/>
      </w:r>
    </w:p>
    <w:p w14:paraId="5C5A8BFC" w14:textId="3AD6315C"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5.6</w:t>
      </w:r>
      <w:r>
        <w:rPr>
          <w:rFonts w:asciiTheme="minorHAnsi" w:eastAsiaTheme="minorEastAsia" w:hAnsiTheme="minorHAnsi" w:cstheme="minorBidi"/>
          <w:noProof/>
          <w:color w:val="auto"/>
          <w:sz w:val="24"/>
          <w:szCs w:val="24"/>
          <w:bdr w:val="none" w:sz="0" w:space="0" w:color="auto"/>
          <w:lang w:eastAsia="en-GB"/>
        </w:rPr>
        <w:tab/>
      </w:r>
      <w:r>
        <w:rPr>
          <w:noProof/>
        </w:rPr>
        <w:t>Comparison of Biomarker Performance</w:t>
      </w:r>
      <w:r>
        <w:rPr>
          <w:noProof/>
        </w:rPr>
        <w:tab/>
      </w:r>
      <w:r>
        <w:rPr>
          <w:noProof/>
        </w:rPr>
        <w:fldChar w:fldCharType="begin"/>
      </w:r>
      <w:r>
        <w:rPr>
          <w:noProof/>
        </w:rPr>
        <w:instrText xml:space="preserve"> PAGEREF _Toc60773941 \h </w:instrText>
      </w:r>
      <w:r>
        <w:rPr>
          <w:noProof/>
        </w:rPr>
      </w:r>
      <w:r>
        <w:rPr>
          <w:noProof/>
        </w:rPr>
        <w:fldChar w:fldCharType="separate"/>
      </w:r>
      <w:r>
        <w:rPr>
          <w:noProof/>
        </w:rPr>
        <w:t>98</w:t>
      </w:r>
      <w:r>
        <w:rPr>
          <w:noProof/>
        </w:rPr>
        <w:fldChar w:fldCharType="end"/>
      </w:r>
    </w:p>
    <w:p w14:paraId="18B91844" w14:textId="5DA5DF35"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5.7</w:t>
      </w:r>
      <w:r>
        <w:rPr>
          <w:rFonts w:asciiTheme="minorHAnsi" w:eastAsiaTheme="minorEastAsia" w:hAnsiTheme="minorHAnsi" w:cstheme="minorBidi"/>
          <w:noProof/>
          <w:color w:val="auto"/>
          <w:sz w:val="24"/>
          <w:szCs w:val="24"/>
          <w:bdr w:val="none" w:sz="0" w:space="0" w:color="auto"/>
          <w:lang w:eastAsia="en-GB"/>
        </w:rPr>
        <w:tab/>
      </w:r>
      <w:r>
        <w:rPr>
          <w:noProof/>
        </w:rPr>
        <w:t>Discussion</w:t>
      </w:r>
      <w:r>
        <w:rPr>
          <w:noProof/>
        </w:rPr>
        <w:tab/>
      </w:r>
      <w:r>
        <w:rPr>
          <w:noProof/>
        </w:rPr>
        <w:fldChar w:fldCharType="begin"/>
      </w:r>
      <w:r>
        <w:rPr>
          <w:noProof/>
        </w:rPr>
        <w:instrText xml:space="preserve"> PAGEREF _Toc60773942 \h </w:instrText>
      </w:r>
      <w:r>
        <w:rPr>
          <w:noProof/>
        </w:rPr>
      </w:r>
      <w:r>
        <w:rPr>
          <w:noProof/>
        </w:rPr>
        <w:fldChar w:fldCharType="separate"/>
      </w:r>
      <w:r>
        <w:rPr>
          <w:noProof/>
        </w:rPr>
        <w:t>99</w:t>
      </w:r>
      <w:r>
        <w:rPr>
          <w:noProof/>
        </w:rPr>
        <w:fldChar w:fldCharType="end"/>
      </w:r>
    </w:p>
    <w:p w14:paraId="0FE4BAC1" w14:textId="76111A58" w:rsidR="00885DE4" w:rsidRDefault="00885DE4">
      <w:pPr>
        <w:pStyle w:val="TOC1"/>
        <w:tabs>
          <w:tab w:val="left" w:pos="828"/>
          <w:tab w:val="right" w:leader="dot" w:pos="9068"/>
        </w:tabs>
        <w:rPr>
          <w:rFonts w:asciiTheme="minorHAnsi" w:eastAsiaTheme="minorEastAsia" w:hAnsiTheme="minorHAnsi" w:cstheme="minorBidi"/>
          <w:b w:val="0"/>
          <w:bCs w:val="0"/>
          <w:noProof/>
          <w:color w:val="auto"/>
          <w:szCs w:val="24"/>
          <w:bdr w:val="none" w:sz="0" w:space="0" w:color="auto"/>
          <w:lang w:eastAsia="en-GB"/>
        </w:rPr>
      </w:pPr>
      <w:r>
        <w:rPr>
          <w:noProof/>
        </w:rPr>
        <w:t>6</w:t>
      </w:r>
      <w:r>
        <w:rPr>
          <w:rFonts w:asciiTheme="minorHAnsi" w:eastAsiaTheme="minorEastAsia" w:hAnsiTheme="minorHAnsi" w:cstheme="minorBidi"/>
          <w:b w:val="0"/>
          <w:bCs w:val="0"/>
          <w:noProof/>
          <w:color w:val="auto"/>
          <w:szCs w:val="24"/>
          <w:bdr w:val="none" w:sz="0" w:space="0" w:color="auto"/>
          <w:lang w:eastAsia="en-GB"/>
        </w:rPr>
        <w:tab/>
      </w:r>
      <w:r>
        <w:rPr>
          <w:noProof/>
        </w:rPr>
        <w:t>Validation of Microarray Results by QPCR</w:t>
      </w:r>
      <w:r>
        <w:rPr>
          <w:noProof/>
        </w:rPr>
        <w:tab/>
      </w:r>
      <w:r>
        <w:rPr>
          <w:noProof/>
        </w:rPr>
        <w:fldChar w:fldCharType="begin"/>
      </w:r>
      <w:r>
        <w:rPr>
          <w:noProof/>
        </w:rPr>
        <w:instrText xml:space="preserve"> PAGEREF _Toc60773943 \h </w:instrText>
      </w:r>
      <w:r>
        <w:rPr>
          <w:noProof/>
        </w:rPr>
      </w:r>
      <w:r>
        <w:rPr>
          <w:noProof/>
        </w:rPr>
        <w:fldChar w:fldCharType="separate"/>
      </w:r>
      <w:r>
        <w:rPr>
          <w:noProof/>
        </w:rPr>
        <w:t>100</w:t>
      </w:r>
      <w:r>
        <w:rPr>
          <w:noProof/>
        </w:rPr>
        <w:fldChar w:fldCharType="end"/>
      </w:r>
    </w:p>
    <w:p w14:paraId="54DD2D9E" w14:textId="05FF8F7F"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6.1</w:t>
      </w:r>
      <w:r>
        <w:rPr>
          <w:rFonts w:asciiTheme="minorHAnsi" w:eastAsiaTheme="minorEastAsia" w:hAnsiTheme="minorHAnsi" w:cstheme="minorBidi"/>
          <w:noProof/>
          <w:color w:val="auto"/>
          <w:sz w:val="24"/>
          <w:szCs w:val="24"/>
          <w:bdr w:val="none" w:sz="0" w:space="0" w:color="auto"/>
          <w:lang w:eastAsia="en-GB"/>
        </w:rPr>
        <w:tab/>
      </w:r>
      <w:r>
        <w:rPr>
          <w:noProof/>
        </w:rPr>
        <w:t>Initial MiRNAs for Selected for Verification</w:t>
      </w:r>
      <w:r>
        <w:rPr>
          <w:noProof/>
        </w:rPr>
        <w:tab/>
      </w:r>
      <w:r>
        <w:rPr>
          <w:noProof/>
        </w:rPr>
        <w:fldChar w:fldCharType="begin"/>
      </w:r>
      <w:r>
        <w:rPr>
          <w:noProof/>
        </w:rPr>
        <w:instrText xml:space="preserve"> PAGEREF _Toc60773944 \h </w:instrText>
      </w:r>
      <w:r>
        <w:rPr>
          <w:noProof/>
        </w:rPr>
      </w:r>
      <w:r>
        <w:rPr>
          <w:noProof/>
        </w:rPr>
        <w:fldChar w:fldCharType="separate"/>
      </w:r>
      <w:r>
        <w:rPr>
          <w:noProof/>
        </w:rPr>
        <w:t>100</w:t>
      </w:r>
      <w:r>
        <w:rPr>
          <w:noProof/>
        </w:rPr>
        <w:fldChar w:fldCharType="end"/>
      </w:r>
    </w:p>
    <w:p w14:paraId="442BE662" w14:textId="75F5FC7D"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6.2</w:t>
      </w:r>
      <w:r>
        <w:rPr>
          <w:rFonts w:asciiTheme="minorHAnsi" w:eastAsiaTheme="minorEastAsia" w:hAnsiTheme="minorHAnsi" w:cstheme="minorBidi"/>
          <w:noProof/>
          <w:color w:val="auto"/>
          <w:sz w:val="24"/>
          <w:szCs w:val="24"/>
          <w:bdr w:val="none" w:sz="0" w:space="0" w:color="auto"/>
          <w:lang w:eastAsia="en-GB"/>
        </w:rPr>
        <w:tab/>
      </w:r>
      <w:r>
        <w:rPr>
          <w:noProof/>
        </w:rPr>
        <w:t>Methods</w:t>
      </w:r>
      <w:r>
        <w:rPr>
          <w:noProof/>
        </w:rPr>
        <w:tab/>
      </w:r>
      <w:r>
        <w:rPr>
          <w:noProof/>
        </w:rPr>
        <w:fldChar w:fldCharType="begin"/>
      </w:r>
      <w:r>
        <w:rPr>
          <w:noProof/>
        </w:rPr>
        <w:instrText xml:space="preserve"> PAGEREF _Toc60773945 \h </w:instrText>
      </w:r>
      <w:r>
        <w:rPr>
          <w:noProof/>
        </w:rPr>
      </w:r>
      <w:r>
        <w:rPr>
          <w:noProof/>
        </w:rPr>
        <w:fldChar w:fldCharType="separate"/>
      </w:r>
      <w:r>
        <w:rPr>
          <w:noProof/>
        </w:rPr>
        <w:t>101</w:t>
      </w:r>
      <w:r>
        <w:rPr>
          <w:noProof/>
        </w:rPr>
        <w:fldChar w:fldCharType="end"/>
      </w:r>
    </w:p>
    <w:p w14:paraId="63320B3A" w14:textId="13EBADA2"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6.3</w:t>
      </w:r>
      <w:r>
        <w:rPr>
          <w:rFonts w:asciiTheme="minorHAnsi" w:eastAsiaTheme="minorEastAsia" w:hAnsiTheme="minorHAnsi" w:cstheme="minorBidi"/>
          <w:noProof/>
          <w:color w:val="auto"/>
          <w:sz w:val="24"/>
          <w:szCs w:val="24"/>
          <w:bdr w:val="none" w:sz="0" w:space="0" w:color="auto"/>
          <w:lang w:eastAsia="en-GB"/>
        </w:rPr>
        <w:tab/>
      </w:r>
      <w:r>
        <w:rPr>
          <w:noProof/>
        </w:rPr>
        <w:t>Initial qPCR Probe Verification with Test Cohort</w:t>
      </w:r>
      <w:r>
        <w:rPr>
          <w:noProof/>
        </w:rPr>
        <w:tab/>
      </w:r>
      <w:r>
        <w:rPr>
          <w:noProof/>
        </w:rPr>
        <w:fldChar w:fldCharType="begin"/>
      </w:r>
      <w:r>
        <w:rPr>
          <w:noProof/>
        </w:rPr>
        <w:instrText xml:space="preserve"> PAGEREF _Toc60773946 \h </w:instrText>
      </w:r>
      <w:r>
        <w:rPr>
          <w:noProof/>
        </w:rPr>
      </w:r>
      <w:r>
        <w:rPr>
          <w:noProof/>
        </w:rPr>
        <w:fldChar w:fldCharType="separate"/>
      </w:r>
      <w:r>
        <w:rPr>
          <w:noProof/>
        </w:rPr>
        <w:t>101</w:t>
      </w:r>
      <w:r>
        <w:rPr>
          <w:noProof/>
        </w:rPr>
        <w:fldChar w:fldCharType="end"/>
      </w:r>
    </w:p>
    <w:p w14:paraId="11E590CE" w14:textId="60C05503"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6.3.1</w:t>
      </w:r>
      <w:r>
        <w:rPr>
          <w:rFonts w:asciiTheme="minorHAnsi" w:eastAsiaTheme="minorEastAsia" w:hAnsiTheme="minorHAnsi" w:cstheme="minorBidi"/>
          <w:noProof/>
          <w:color w:val="auto"/>
          <w:sz w:val="24"/>
          <w:szCs w:val="24"/>
          <w:bdr w:val="none" w:sz="0" w:space="0" w:color="auto"/>
          <w:lang w:eastAsia="en-GB"/>
        </w:rPr>
        <w:tab/>
      </w:r>
      <w:r>
        <w:rPr>
          <w:noProof/>
        </w:rPr>
        <w:t>Results</w:t>
      </w:r>
      <w:r>
        <w:rPr>
          <w:noProof/>
        </w:rPr>
        <w:tab/>
      </w:r>
      <w:r>
        <w:rPr>
          <w:noProof/>
        </w:rPr>
        <w:fldChar w:fldCharType="begin"/>
      </w:r>
      <w:r>
        <w:rPr>
          <w:noProof/>
        </w:rPr>
        <w:instrText xml:space="preserve"> PAGEREF _Toc60773947 \h </w:instrText>
      </w:r>
      <w:r>
        <w:rPr>
          <w:noProof/>
        </w:rPr>
      </w:r>
      <w:r>
        <w:rPr>
          <w:noProof/>
        </w:rPr>
        <w:fldChar w:fldCharType="separate"/>
      </w:r>
      <w:r>
        <w:rPr>
          <w:noProof/>
        </w:rPr>
        <w:t>103</w:t>
      </w:r>
      <w:r>
        <w:rPr>
          <w:noProof/>
        </w:rPr>
        <w:fldChar w:fldCharType="end"/>
      </w:r>
    </w:p>
    <w:p w14:paraId="2EF0F56B" w14:textId="54E8118E"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6.4</w:t>
      </w:r>
      <w:r>
        <w:rPr>
          <w:rFonts w:asciiTheme="minorHAnsi" w:eastAsiaTheme="minorEastAsia" w:hAnsiTheme="minorHAnsi" w:cstheme="minorBidi"/>
          <w:noProof/>
          <w:color w:val="auto"/>
          <w:sz w:val="24"/>
          <w:szCs w:val="24"/>
          <w:bdr w:val="none" w:sz="0" w:space="0" w:color="auto"/>
          <w:lang w:eastAsia="en-GB"/>
        </w:rPr>
        <w:tab/>
      </w:r>
      <w:r>
        <w:rPr>
          <w:noProof/>
        </w:rPr>
        <w:t>Additional MiRNAs for Selected for Validation</w:t>
      </w:r>
      <w:r>
        <w:rPr>
          <w:noProof/>
        </w:rPr>
        <w:tab/>
      </w:r>
      <w:r>
        <w:rPr>
          <w:noProof/>
        </w:rPr>
        <w:fldChar w:fldCharType="begin"/>
      </w:r>
      <w:r>
        <w:rPr>
          <w:noProof/>
        </w:rPr>
        <w:instrText xml:space="preserve"> PAGEREF _Toc60773948 \h </w:instrText>
      </w:r>
      <w:r>
        <w:rPr>
          <w:noProof/>
        </w:rPr>
      </w:r>
      <w:r>
        <w:rPr>
          <w:noProof/>
        </w:rPr>
        <w:fldChar w:fldCharType="separate"/>
      </w:r>
      <w:r>
        <w:rPr>
          <w:noProof/>
        </w:rPr>
        <w:t>103</w:t>
      </w:r>
      <w:r>
        <w:rPr>
          <w:noProof/>
        </w:rPr>
        <w:fldChar w:fldCharType="end"/>
      </w:r>
    </w:p>
    <w:p w14:paraId="6D03E7C1" w14:textId="0755367C"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6.5</w:t>
      </w:r>
      <w:r>
        <w:rPr>
          <w:rFonts w:asciiTheme="minorHAnsi" w:eastAsiaTheme="minorEastAsia" w:hAnsiTheme="minorHAnsi" w:cstheme="minorBidi"/>
          <w:noProof/>
          <w:color w:val="auto"/>
          <w:sz w:val="24"/>
          <w:szCs w:val="24"/>
          <w:bdr w:val="none" w:sz="0" w:space="0" w:color="auto"/>
          <w:lang w:eastAsia="en-GB"/>
        </w:rPr>
        <w:tab/>
      </w:r>
      <w:r>
        <w:rPr>
          <w:noProof/>
        </w:rPr>
        <w:t>Verification of additional SSc-PAH ROC based biomarker miRNAs</w:t>
      </w:r>
      <w:r>
        <w:rPr>
          <w:noProof/>
        </w:rPr>
        <w:tab/>
      </w:r>
      <w:r>
        <w:rPr>
          <w:noProof/>
        </w:rPr>
        <w:fldChar w:fldCharType="begin"/>
      </w:r>
      <w:r>
        <w:rPr>
          <w:noProof/>
        </w:rPr>
        <w:instrText xml:space="preserve"> PAGEREF _Toc60773949 \h </w:instrText>
      </w:r>
      <w:r>
        <w:rPr>
          <w:noProof/>
        </w:rPr>
      </w:r>
      <w:r>
        <w:rPr>
          <w:noProof/>
        </w:rPr>
        <w:fldChar w:fldCharType="separate"/>
      </w:r>
      <w:r>
        <w:rPr>
          <w:noProof/>
        </w:rPr>
        <w:t>104</w:t>
      </w:r>
      <w:r>
        <w:rPr>
          <w:noProof/>
        </w:rPr>
        <w:fldChar w:fldCharType="end"/>
      </w:r>
    </w:p>
    <w:p w14:paraId="49DEC7CE" w14:textId="10EBDE20"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6.6</w:t>
      </w:r>
      <w:r>
        <w:rPr>
          <w:rFonts w:asciiTheme="minorHAnsi" w:eastAsiaTheme="minorEastAsia" w:hAnsiTheme="minorHAnsi" w:cstheme="minorBidi"/>
          <w:noProof/>
          <w:color w:val="auto"/>
          <w:sz w:val="24"/>
          <w:szCs w:val="24"/>
          <w:bdr w:val="none" w:sz="0" w:space="0" w:color="auto"/>
          <w:lang w:eastAsia="en-GB"/>
        </w:rPr>
        <w:tab/>
      </w:r>
      <w:r>
        <w:rPr>
          <w:noProof/>
        </w:rPr>
        <w:t>Validation of miRNAS in SSc and SSc-PAH</w:t>
      </w:r>
      <w:r>
        <w:rPr>
          <w:noProof/>
        </w:rPr>
        <w:tab/>
      </w:r>
      <w:r>
        <w:rPr>
          <w:noProof/>
        </w:rPr>
        <w:fldChar w:fldCharType="begin"/>
      </w:r>
      <w:r>
        <w:rPr>
          <w:noProof/>
        </w:rPr>
        <w:instrText xml:space="preserve"> PAGEREF _Toc60773950 \h </w:instrText>
      </w:r>
      <w:r>
        <w:rPr>
          <w:noProof/>
        </w:rPr>
      </w:r>
      <w:r>
        <w:rPr>
          <w:noProof/>
        </w:rPr>
        <w:fldChar w:fldCharType="separate"/>
      </w:r>
      <w:r>
        <w:rPr>
          <w:noProof/>
        </w:rPr>
        <w:t>104</w:t>
      </w:r>
      <w:r>
        <w:rPr>
          <w:noProof/>
        </w:rPr>
        <w:fldChar w:fldCharType="end"/>
      </w:r>
    </w:p>
    <w:p w14:paraId="02A40ADF" w14:textId="0F2CEF67"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6.6.1</w:t>
      </w:r>
      <w:r>
        <w:rPr>
          <w:rFonts w:asciiTheme="minorHAnsi" w:eastAsiaTheme="minorEastAsia" w:hAnsiTheme="minorHAnsi" w:cstheme="minorBidi"/>
          <w:noProof/>
          <w:color w:val="auto"/>
          <w:sz w:val="24"/>
          <w:szCs w:val="24"/>
          <w:bdr w:val="none" w:sz="0" w:space="0" w:color="auto"/>
          <w:lang w:eastAsia="en-GB"/>
        </w:rPr>
        <w:tab/>
      </w:r>
      <w:r>
        <w:rPr>
          <w:noProof/>
        </w:rPr>
        <w:t>Cohort</w:t>
      </w:r>
      <w:r>
        <w:rPr>
          <w:noProof/>
        </w:rPr>
        <w:tab/>
      </w:r>
      <w:r>
        <w:rPr>
          <w:noProof/>
        </w:rPr>
        <w:fldChar w:fldCharType="begin"/>
      </w:r>
      <w:r>
        <w:rPr>
          <w:noProof/>
        </w:rPr>
        <w:instrText xml:space="preserve"> PAGEREF _Toc60773951 \h </w:instrText>
      </w:r>
      <w:r>
        <w:rPr>
          <w:noProof/>
        </w:rPr>
      </w:r>
      <w:r>
        <w:rPr>
          <w:noProof/>
        </w:rPr>
        <w:fldChar w:fldCharType="separate"/>
      </w:r>
      <w:r>
        <w:rPr>
          <w:noProof/>
        </w:rPr>
        <w:t>105</w:t>
      </w:r>
      <w:r>
        <w:rPr>
          <w:noProof/>
        </w:rPr>
        <w:fldChar w:fldCharType="end"/>
      </w:r>
    </w:p>
    <w:p w14:paraId="6A41C91A" w14:textId="3624DD2E"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6.6.2</w:t>
      </w:r>
      <w:r>
        <w:rPr>
          <w:rFonts w:asciiTheme="minorHAnsi" w:eastAsiaTheme="minorEastAsia" w:hAnsiTheme="minorHAnsi" w:cstheme="minorBidi"/>
          <w:noProof/>
          <w:color w:val="auto"/>
          <w:sz w:val="24"/>
          <w:szCs w:val="24"/>
          <w:bdr w:val="none" w:sz="0" w:space="0" w:color="auto"/>
          <w:lang w:eastAsia="en-GB"/>
        </w:rPr>
        <w:tab/>
      </w:r>
      <w:r>
        <w:rPr>
          <w:noProof/>
        </w:rPr>
        <w:t>Methods</w:t>
      </w:r>
      <w:r>
        <w:rPr>
          <w:noProof/>
        </w:rPr>
        <w:tab/>
      </w:r>
      <w:r>
        <w:rPr>
          <w:noProof/>
        </w:rPr>
        <w:fldChar w:fldCharType="begin"/>
      </w:r>
      <w:r>
        <w:rPr>
          <w:noProof/>
        </w:rPr>
        <w:instrText xml:space="preserve"> PAGEREF _Toc60773952 \h </w:instrText>
      </w:r>
      <w:r>
        <w:rPr>
          <w:noProof/>
        </w:rPr>
      </w:r>
      <w:r>
        <w:rPr>
          <w:noProof/>
        </w:rPr>
        <w:fldChar w:fldCharType="separate"/>
      </w:r>
      <w:r>
        <w:rPr>
          <w:noProof/>
        </w:rPr>
        <w:t>105</w:t>
      </w:r>
      <w:r>
        <w:rPr>
          <w:noProof/>
        </w:rPr>
        <w:fldChar w:fldCharType="end"/>
      </w:r>
    </w:p>
    <w:p w14:paraId="78CCDE35" w14:textId="652B970A"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6.6.3</w:t>
      </w:r>
      <w:r>
        <w:rPr>
          <w:rFonts w:asciiTheme="minorHAnsi" w:eastAsiaTheme="minorEastAsia" w:hAnsiTheme="minorHAnsi" w:cstheme="minorBidi"/>
          <w:noProof/>
          <w:color w:val="auto"/>
          <w:sz w:val="24"/>
          <w:szCs w:val="24"/>
          <w:bdr w:val="none" w:sz="0" w:space="0" w:color="auto"/>
          <w:lang w:eastAsia="en-GB"/>
        </w:rPr>
        <w:tab/>
      </w:r>
      <w:r>
        <w:rPr>
          <w:noProof/>
        </w:rPr>
        <w:t>Results</w:t>
      </w:r>
      <w:r>
        <w:rPr>
          <w:noProof/>
        </w:rPr>
        <w:tab/>
      </w:r>
      <w:r>
        <w:rPr>
          <w:noProof/>
        </w:rPr>
        <w:fldChar w:fldCharType="begin"/>
      </w:r>
      <w:r>
        <w:rPr>
          <w:noProof/>
        </w:rPr>
        <w:instrText xml:space="preserve"> PAGEREF _Toc60773953 \h </w:instrText>
      </w:r>
      <w:r>
        <w:rPr>
          <w:noProof/>
        </w:rPr>
      </w:r>
      <w:r>
        <w:rPr>
          <w:noProof/>
        </w:rPr>
        <w:fldChar w:fldCharType="separate"/>
      </w:r>
      <w:r>
        <w:rPr>
          <w:noProof/>
        </w:rPr>
        <w:t>106</w:t>
      </w:r>
      <w:r>
        <w:rPr>
          <w:noProof/>
        </w:rPr>
        <w:fldChar w:fldCharType="end"/>
      </w:r>
    </w:p>
    <w:p w14:paraId="6675A072" w14:textId="474014E1"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6.6.3.1</w:t>
      </w:r>
      <w:r>
        <w:rPr>
          <w:rFonts w:asciiTheme="minorHAnsi" w:eastAsiaTheme="minorEastAsia" w:hAnsiTheme="minorHAnsi" w:cstheme="minorBidi"/>
          <w:noProof/>
          <w:color w:val="auto"/>
          <w:sz w:val="24"/>
          <w:szCs w:val="24"/>
          <w:bdr w:val="none" w:sz="0" w:space="0" w:color="auto"/>
          <w:lang w:eastAsia="en-GB"/>
        </w:rPr>
        <w:tab/>
      </w:r>
      <w:r>
        <w:rPr>
          <w:noProof/>
        </w:rPr>
        <w:t>Concordance with microarray data</w:t>
      </w:r>
      <w:r>
        <w:rPr>
          <w:noProof/>
        </w:rPr>
        <w:tab/>
      </w:r>
      <w:r>
        <w:rPr>
          <w:noProof/>
        </w:rPr>
        <w:fldChar w:fldCharType="begin"/>
      </w:r>
      <w:r>
        <w:rPr>
          <w:noProof/>
        </w:rPr>
        <w:instrText xml:space="preserve"> PAGEREF _Toc60773954 \h </w:instrText>
      </w:r>
      <w:r>
        <w:rPr>
          <w:noProof/>
        </w:rPr>
      </w:r>
      <w:r>
        <w:rPr>
          <w:noProof/>
        </w:rPr>
        <w:fldChar w:fldCharType="separate"/>
      </w:r>
      <w:r>
        <w:rPr>
          <w:noProof/>
        </w:rPr>
        <w:t>106</w:t>
      </w:r>
      <w:r>
        <w:rPr>
          <w:noProof/>
        </w:rPr>
        <w:fldChar w:fldCharType="end"/>
      </w:r>
    </w:p>
    <w:p w14:paraId="499925BB" w14:textId="3B896507"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6.6.3.2</w:t>
      </w:r>
      <w:r>
        <w:rPr>
          <w:rFonts w:asciiTheme="minorHAnsi" w:eastAsiaTheme="minorEastAsia" w:hAnsiTheme="minorHAnsi" w:cstheme="minorBidi"/>
          <w:noProof/>
          <w:color w:val="auto"/>
          <w:sz w:val="24"/>
          <w:szCs w:val="24"/>
          <w:bdr w:val="none" w:sz="0" w:space="0" w:color="auto"/>
          <w:lang w:eastAsia="en-GB"/>
        </w:rPr>
        <w:tab/>
      </w:r>
      <w:r>
        <w:rPr>
          <w:noProof/>
        </w:rPr>
        <w:t>Univariate Comparisons</w:t>
      </w:r>
      <w:r>
        <w:rPr>
          <w:noProof/>
        </w:rPr>
        <w:tab/>
      </w:r>
      <w:r>
        <w:rPr>
          <w:noProof/>
        </w:rPr>
        <w:fldChar w:fldCharType="begin"/>
      </w:r>
      <w:r>
        <w:rPr>
          <w:noProof/>
        </w:rPr>
        <w:instrText xml:space="preserve"> PAGEREF _Toc60773955 \h </w:instrText>
      </w:r>
      <w:r>
        <w:rPr>
          <w:noProof/>
        </w:rPr>
      </w:r>
      <w:r>
        <w:rPr>
          <w:noProof/>
        </w:rPr>
        <w:fldChar w:fldCharType="separate"/>
      </w:r>
      <w:r>
        <w:rPr>
          <w:noProof/>
        </w:rPr>
        <w:t>107</w:t>
      </w:r>
      <w:r>
        <w:rPr>
          <w:noProof/>
        </w:rPr>
        <w:fldChar w:fldCharType="end"/>
      </w:r>
    </w:p>
    <w:p w14:paraId="13495B7E" w14:textId="73CACAAC"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6.6.3.3</w:t>
      </w:r>
      <w:r>
        <w:rPr>
          <w:rFonts w:asciiTheme="minorHAnsi" w:eastAsiaTheme="minorEastAsia" w:hAnsiTheme="minorHAnsi" w:cstheme="minorBidi"/>
          <w:noProof/>
          <w:color w:val="auto"/>
          <w:sz w:val="24"/>
          <w:szCs w:val="24"/>
          <w:bdr w:val="none" w:sz="0" w:space="0" w:color="auto"/>
          <w:lang w:eastAsia="en-GB"/>
        </w:rPr>
        <w:tab/>
      </w:r>
      <w:r>
        <w:rPr>
          <w:noProof/>
        </w:rPr>
        <w:t>Performance in a panel</w:t>
      </w:r>
      <w:r>
        <w:rPr>
          <w:noProof/>
        </w:rPr>
        <w:tab/>
      </w:r>
      <w:r>
        <w:rPr>
          <w:noProof/>
        </w:rPr>
        <w:fldChar w:fldCharType="begin"/>
      </w:r>
      <w:r>
        <w:rPr>
          <w:noProof/>
        </w:rPr>
        <w:instrText xml:space="preserve"> PAGEREF _Toc60773956 \h </w:instrText>
      </w:r>
      <w:r>
        <w:rPr>
          <w:noProof/>
        </w:rPr>
      </w:r>
      <w:r>
        <w:rPr>
          <w:noProof/>
        </w:rPr>
        <w:fldChar w:fldCharType="separate"/>
      </w:r>
      <w:r>
        <w:rPr>
          <w:noProof/>
        </w:rPr>
        <w:t>108</w:t>
      </w:r>
      <w:r>
        <w:rPr>
          <w:noProof/>
        </w:rPr>
        <w:fldChar w:fldCharType="end"/>
      </w:r>
    </w:p>
    <w:p w14:paraId="00479B1D" w14:textId="382F1D67"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6.6.3.4</w:t>
      </w:r>
      <w:r>
        <w:rPr>
          <w:rFonts w:asciiTheme="minorHAnsi" w:eastAsiaTheme="minorEastAsia" w:hAnsiTheme="minorHAnsi" w:cstheme="minorBidi"/>
          <w:noProof/>
          <w:color w:val="auto"/>
          <w:sz w:val="24"/>
          <w:szCs w:val="24"/>
          <w:bdr w:val="none" w:sz="0" w:space="0" w:color="auto"/>
          <w:lang w:eastAsia="en-GB"/>
        </w:rPr>
        <w:tab/>
      </w:r>
      <w:r>
        <w:rPr>
          <w:noProof/>
        </w:rPr>
        <w:t>Comparison of Panel Performance</w:t>
      </w:r>
      <w:r>
        <w:rPr>
          <w:noProof/>
        </w:rPr>
        <w:tab/>
      </w:r>
      <w:r>
        <w:rPr>
          <w:noProof/>
        </w:rPr>
        <w:fldChar w:fldCharType="begin"/>
      </w:r>
      <w:r>
        <w:rPr>
          <w:noProof/>
        </w:rPr>
        <w:instrText xml:space="preserve"> PAGEREF _Toc60773957 \h </w:instrText>
      </w:r>
      <w:r>
        <w:rPr>
          <w:noProof/>
        </w:rPr>
      </w:r>
      <w:r>
        <w:rPr>
          <w:noProof/>
        </w:rPr>
        <w:fldChar w:fldCharType="separate"/>
      </w:r>
      <w:r>
        <w:rPr>
          <w:noProof/>
        </w:rPr>
        <w:t>110</w:t>
      </w:r>
      <w:r>
        <w:rPr>
          <w:noProof/>
        </w:rPr>
        <w:fldChar w:fldCharType="end"/>
      </w:r>
    </w:p>
    <w:p w14:paraId="56164CB3" w14:textId="2619C0BC"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6.7</w:t>
      </w:r>
      <w:r>
        <w:rPr>
          <w:rFonts w:asciiTheme="minorHAnsi" w:eastAsiaTheme="minorEastAsia" w:hAnsiTheme="minorHAnsi" w:cstheme="minorBidi"/>
          <w:noProof/>
          <w:color w:val="auto"/>
          <w:sz w:val="24"/>
          <w:szCs w:val="24"/>
          <w:bdr w:val="none" w:sz="0" w:space="0" w:color="auto"/>
          <w:lang w:eastAsia="en-GB"/>
        </w:rPr>
        <w:tab/>
      </w:r>
      <w:r>
        <w:rPr>
          <w:noProof/>
        </w:rPr>
        <w:t>Discussion</w:t>
      </w:r>
      <w:r>
        <w:rPr>
          <w:noProof/>
        </w:rPr>
        <w:tab/>
      </w:r>
      <w:r>
        <w:rPr>
          <w:noProof/>
        </w:rPr>
        <w:fldChar w:fldCharType="begin"/>
      </w:r>
      <w:r>
        <w:rPr>
          <w:noProof/>
        </w:rPr>
        <w:instrText xml:space="preserve"> PAGEREF _Toc60773958 \h </w:instrText>
      </w:r>
      <w:r>
        <w:rPr>
          <w:noProof/>
        </w:rPr>
      </w:r>
      <w:r>
        <w:rPr>
          <w:noProof/>
        </w:rPr>
        <w:fldChar w:fldCharType="separate"/>
      </w:r>
      <w:r>
        <w:rPr>
          <w:noProof/>
        </w:rPr>
        <w:t>111</w:t>
      </w:r>
      <w:r>
        <w:rPr>
          <w:noProof/>
        </w:rPr>
        <w:fldChar w:fldCharType="end"/>
      </w:r>
    </w:p>
    <w:p w14:paraId="30894C77" w14:textId="272138E2"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6.7.1</w:t>
      </w:r>
      <w:r>
        <w:rPr>
          <w:rFonts w:asciiTheme="minorHAnsi" w:eastAsiaTheme="minorEastAsia" w:hAnsiTheme="minorHAnsi" w:cstheme="minorBidi"/>
          <w:noProof/>
          <w:color w:val="auto"/>
          <w:sz w:val="24"/>
          <w:szCs w:val="24"/>
          <w:bdr w:val="none" w:sz="0" w:space="0" w:color="auto"/>
          <w:lang w:eastAsia="en-GB"/>
        </w:rPr>
        <w:tab/>
      </w:r>
      <w:r>
        <w:rPr>
          <w:noProof/>
        </w:rPr>
        <w:t>Multivariate Biomarkers</w:t>
      </w:r>
      <w:r>
        <w:rPr>
          <w:noProof/>
        </w:rPr>
        <w:tab/>
      </w:r>
      <w:r>
        <w:rPr>
          <w:noProof/>
        </w:rPr>
        <w:fldChar w:fldCharType="begin"/>
      </w:r>
      <w:r>
        <w:rPr>
          <w:noProof/>
        </w:rPr>
        <w:instrText xml:space="preserve"> PAGEREF _Toc60773959 \h </w:instrText>
      </w:r>
      <w:r>
        <w:rPr>
          <w:noProof/>
        </w:rPr>
      </w:r>
      <w:r>
        <w:rPr>
          <w:noProof/>
        </w:rPr>
        <w:fldChar w:fldCharType="separate"/>
      </w:r>
      <w:r>
        <w:rPr>
          <w:noProof/>
        </w:rPr>
        <w:t>111</w:t>
      </w:r>
      <w:r>
        <w:rPr>
          <w:noProof/>
        </w:rPr>
        <w:fldChar w:fldCharType="end"/>
      </w:r>
    </w:p>
    <w:p w14:paraId="1E474680" w14:textId="6D6CFAB1"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6.7.2</w:t>
      </w:r>
      <w:r>
        <w:rPr>
          <w:rFonts w:asciiTheme="minorHAnsi" w:eastAsiaTheme="minorEastAsia" w:hAnsiTheme="minorHAnsi" w:cstheme="minorBidi"/>
          <w:noProof/>
          <w:color w:val="auto"/>
          <w:sz w:val="24"/>
          <w:szCs w:val="24"/>
          <w:bdr w:val="none" w:sz="0" w:space="0" w:color="auto"/>
          <w:lang w:eastAsia="en-GB"/>
        </w:rPr>
        <w:tab/>
      </w:r>
      <w:r>
        <w:rPr>
          <w:noProof/>
        </w:rPr>
        <w:t>miRNA-486-5p</w:t>
      </w:r>
      <w:r>
        <w:rPr>
          <w:noProof/>
        </w:rPr>
        <w:tab/>
      </w:r>
      <w:r>
        <w:rPr>
          <w:noProof/>
        </w:rPr>
        <w:fldChar w:fldCharType="begin"/>
      </w:r>
      <w:r>
        <w:rPr>
          <w:noProof/>
        </w:rPr>
        <w:instrText xml:space="preserve"> PAGEREF _Toc60773960 \h </w:instrText>
      </w:r>
      <w:r>
        <w:rPr>
          <w:noProof/>
        </w:rPr>
      </w:r>
      <w:r>
        <w:rPr>
          <w:noProof/>
        </w:rPr>
        <w:fldChar w:fldCharType="separate"/>
      </w:r>
      <w:r>
        <w:rPr>
          <w:noProof/>
        </w:rPr>
        <w:t>112</w:t>
      </w:r>
      <w:r>
        <w:rPr>
          <w:noProof/>
        </w:rPr>
        <w:fldChar w:fldCharType="end"/>
      </w:r>
    </w:p>
    <w:p w14:paraId="2F686B1A" w14:textId="203E5104"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6.7.3</w:t>
      </w:r>
      <w:r>
        <w:rPr>
          <w:rFonts w:asciiTheme="minorHAnsi" w:eastAsiaTheme="minorEastAsia" w:hAnsiTheme="minorHAnsi" w:cstheme="minorBidi"/>
          <w:noProof/>
          <w:color w:val="auto"/>
          <w:sz w:val="24"/>
          <w:szCs w:val="24"/>
          <w:bdr w:val="none" w:sz="0" w:space="0" w:color="auto"/>
          <w:lang w:eastAsia="en-GB"/>
        </w:rPr>
        <w:tab/>
      </w:r>
      <w:r>
        <w:rPr>
          <w:noProof/>
        </w:rPr>
        <w:t>miRNA-486-5p in Platelets</w:t>
      </w:r>
      <w:r>
        <w:rPr>
          <w:noProof/>
        </w:rPr>
        <w:tab/>
      </w:r>
      <w:r>
        <w:rPr>
          <w:noProof/>
        </w:rPr>
        <w:fldChar w:fldCharType="begin"/>
      </w:r>
      <w:r>
        <w:rPr>
          <w:noProof/>
        </w:rPr>
        <w:instrText xml:space="preserve"> PAGEREF _Toc60773961 \h </w:instrText>
      </w:r>
      <w:r>
        <w:rPr>
          <w:noProof/>
        </w:rPr>
      </w:r>
      <w:r>
        <w:rPr>
          <w:noProof/>
        </w:rPr>
        <w:fldChar w:fldCharType="separate"/>
      </w:r>
      <w:r>
        <w:rPr>
          <w:noProof/>
        </w:rPr>
        <w:t>112</w:t>
      </w:r>
      <w:r>
        <w:rPr>
          <w:noProof/>
        </w:rPr>
        <w:fldChar w:fldCharType="end"/>
      </w:r>
    </w:p>
    <w:p w14:paraId="53E18CAD" w14:textId="3E691BBA"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6.7.3.1</w:t>
      </w:r>
      <w:r>
        <w:rPr>
          <w:rFonts w:asciiTheme="minorHAnsi" w:eastAsiaTheme="minorEastAsia" w:hAnsiTheme="minorHAnsi" w:cstheme="minorBidi"/>
          <w:noProof/>
          <w:color w:val="auto"/>
          <w:sz w:val="24"/>
          <w:szCs w:val="24"/>
          <w:bdr w:val="none" w:sz="0" w:space="0" w:color="auto"/>
          <w:lang w:eastAsia="en-GB"/>
        </w:rPr>
        <w:tab/>
      </w:r>
      <w:r>
        <w:rPr>
          <w:noProof/>
        </w:rPr>
        <w:t>miRNA-486-5p in Pulmonary Fibrosis</w:t>
      </w:r>
      <w:r>
        <w:rPr>
          <w:noProof/>
        </w:rPr>
        <w:tab/>
      </w:r>
      <w:r>
        <w:rPr>
          <w:noProof/>
        </w:rPr>
        <w:fldChar w:fldCharType="begin"/>
      </w:r>
      <w:r>
        <w:rPr>
          <w:noProof/>
        </w:rPr>
        <w:instrText xml:space="preserve"> PAGEREF _Toc60773962 \h </w:instrText>
      </w:r>
      <w:r>
        <w:rPr>
          <w:noProof/>
        </w:rPr>
      </w:r>
      <w:r>
        <w:rPr>
          <w:noProof/>
        </w:rPr>
        <w:fldChar w:fldCharType="separate"/>
      </w:r>
      <w:r>
        <w:rPr>
          <w:noProof/>
        </w:rPr>
        <w:t>113</w:t>
      </w:r>
      <w:r>
        <w:rPr>
          <w:noProof/>
        </w:rPr>
        <w:fldChar w:fldCharType="end"/>
      </w:r>
    </w:p>
    <w:p w14:paraId="0EDEA696" w14:textId="5D99401C" w:rsidR="00885DE4" w:rsidRDefault="00885DE4">
      <w:pPr>
        <w:pStyle w:val="TOC2"/>
        <w:tabs>
          <w:tab w:val="left" w:pos="1100"/>
        </w:tabs>
        <w:rPr>
          <w:rFonts w:asciiTheme="minorHAnsi" w:eastAsiaTheme="minorEastAsia" w:hAnsiTheme="minorHAnsi" w:cstheme="minorBidi"/>
          <w:noProof/>
          <w:color w:val="auto"/>
          <w:sz w:val="24"/>
          <w:szCs w:val="24"/>
          <w:bdr w:val="none" w:sz="0" w:space="0" w:color="auto"/>
          <w:lang w:eastAsia="en-GB"/>
        </w:rPr>
      </w:pPr>
      <w:r>
        <w:rPr>
          <w:noProof/>
        </w:rPr>
        <w:t>6.7.3.2</w:t>
      </w:r>
      <w:r>
        <w:rPr>
          <w:rFonts w:asciiTheme="minorHAnsi" w:eastAsiaTheme="minorEastAsia" w:hAnsiTheme="minorHAnsi" w:cstheme="minorBidi"/>
          <w:noProof/>
          <w:color w:val="auto"/>
          <w:sz w:val="24"/>
          <w:szCs w:val="24"/>
          <w:bdr w:val="none" w:sz="0" w:space="0" w:color="auto"/>
          <w:lang w:eastAsia="en-GB"/>
        </w:rPr>
        <w:tab/>
      </w:r>
      <w:r>
        <w:rPr>
          <w:noProof/>
        </w:rPr>
        <w:t>miRNA-486-5p in Lung Cancer</w:t>
      </w:r>
      <w:r>
        <w:rPr>
          <w:noProof/>
        </w:rPr>
        <w:tab/>
      </w:r>
      <w:r>
        <w:rPr>
          <w:noProof/>
        </w:rPr>
        <w:fldChar w:fldCharType="begin"/>
      </w:r>
      <w:r>
        <w:rPr>
          <w:noProof/>
        </w:rPr>
        <w:instrText xml:space="preserve"> PAGEREF _Toc60773963 \h </w:instrText>
      </w:r>
      <w:r>
        <w:rPr>
          <w:noProof/>
        </w:rPr>
      </w:r>
      <w:r>
        <w:rPr>
          <w:noProof/>
        </w:rPr>
        <w:fldChar w:fldCharType="separate"/>
      </w:r>
      <w:r>
        <w:rPr>
          <w:noProof/>
        </w:rPr>
        <w:t>113</w:t>
      </w:r>
      <w:r>
        <w:rPr>
          <w:noProof/>
        </w:rPr>
        <w:fldChar w:fldCharType="end"/>
      </w:r>
    </w:p>
    <w:p w14:paraId="0EA984E3" w14:textId="209E802C"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6.7.4</w:t>
      </w:r>
      <w:r>
        <w:rPr>
          <w:rFonts w:asciiTheme="minorHAnsi" w:eastAsiaTheme="minorEastAsia" w:hAnsiTheme="minorHAnsi" w:cstheme="minorBidi"/>
          <w:noProof/>
          <w:color w:val="auto"/>
          <w:sz w:val="24"/>
          <w:szCs w:val="24"/>
          <w:bdr w:val="none" w:sz="0" w:space="0" w:color="auto"/>
          <w:lang w:eastAsia="en-GB"/>
        </w:rPr>
        <w:tab/>
      </w:r>
      <w:r>
        <w:rPr>
          <w:noProof/>
        </w:rPr>
        <w:t>Validation Performance</w:t>
      </w:r>
      <w:r>
        <w:rPr>
          <w:noProof/>
        </w:rPr>
        <w:tab/>
      </w:r>
      <w:r>
        <w:rPr>
          <w:noProof/>
        </w:rPr>
        <w:fldChar w:fldCharType="begin"/>
      </w:r>
      <w:r>
        <w:rPr>
          <w:noProof/>
        </w:rPr>
        <w:instrText xml:space="preserve"> PAGEREF _Toc60773964 \h </w:instrText>
      </w:r>
      <w:r>
        <w:rPr>
          <w:noProof/>
        </w:rPr>
      </w:r>
      <w:r>
        <w:rPr>
          <w:noProof/>
        </w:rPr>
        <w:fldChar w:fldCharType="separate"/>
      </w:r>
      <w:r>
        <w:rPr>
          <w:noProof/>
        </w:rPr>
        <w:t>114</w:t>
      </w:r>
      <w:r>
        <w:rPr>
          <w:noProof/>
        </w:rPr>
        <w:fldChar w:fldCharType="end"/>
      </w:r>
    </w:p>
    <w:p w14:paraId="185BBB61" w14:textId="4AB79340" w:rsidR="00885DE4" w:rsidRDefault="00885DE4">
      <w:pPr>
        <w:pStyle w:val="TOC1"/>
        <w:tabs>
          <w:tab w:val="left" w:pos="828"/>
          <w:tab w:val="right" w:leader="dot" w:pos="9068"/>
        </w:tabs>
        <w:rPr>
          <w:rFonts w:asciiTheme="minorHAnsi" w:eastAsiaTheme="minorEastAsia" w:hAnsiTheme="minorHAnsi" w:cstheme="minorBidi"/>
          <w:b w:val="0"/>
          <w:bCs w:val="0"/>
          <w:noProof/>
          <w:color w:val="auto"/>
          <w:szCs w:val="24"/>
          <w:bdr w:val="none" w:sz="0" w:space="0" w:color="auto"/>
          <w:lang w:eastAsia="en-GB"/>
        </w:rPr>
      </w:pPr>
      <w:r>
        <w:rPr>
          <w:noProof/>
        </w:rPr>
        <w:lastRenderedPageBreak/>
        <w:t>7</w:t>
      </w:r>
      <w:r>
        <w:rPr>
          <w:rFonts w:asciiTheme="minorHAnsi" w:eastAsiaTheme="minorEastAsia" w:hAnsiTheme="minorHAnsi" w:cstheme="minorBidi"/>
          <w:b w:val="0"/>
          <w:bCs w:val="0"/>
          <w:noProof/>
          <w:color w:val="auto"/>
          <w:szCs w:val="24"/>
          <w:bdr w:val="none" w:sz="0" w:space="0" w:color="auto"/>
          <w:lang w:eastAsia="en-GB"/>
        </w:rPr>
        <w:tab/>
      </w:r>
      <w:r>
        <w:rPr>
          <w:noProof/>
        </w:rPr>
        <w:t>General Discussion</w:t>
      </w:r>
      <w:r>
        <w:rPr>
          <w:noProof/>
        </w:rPr>
        <w:tab/>
      </w:r>
      <w:r>
        <w:rPr>
          <w:noProof/>
        </w:rPr>
        <w:fldChar w:fldCharType="begin"/>
      </w:r>
      <w:r>
        <w:rPr>
          <w:noProof/>
        </w:rPr>
        <w:instrText xml:space="preserve"> PAGEREF _Toc60773965 \h </w:instrText>
      </w:r>
      <w:r>
        <w:rPr>
          <w:noProof/>
        </w:rPr>
      </w:r>
      <w:r>
        <w:rPr>
          <w:noProof/>
        </w:rPr>
        <w:fldChar w:fldCharType="separate"/>
      </w:r>
      <w:r>
        <w:rPr>
          <w:noProof/>
        </w:rPr>
        <w:t>116</w:t>
      </w:r>
      <w:r>
        <w:rPr>
          <w:noProof/>
        </w:rPr>
        <w:fldChar w:fldCharType="end"/>
      </w:r>
    </w:p>
    <w:p w14:paraId="12303396" w14:textId="04BA69F5"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7.1.1</w:t>
      </w:r>
      <w:r>
        <w:rPr>
          <w:rFonts w:asciiTheme="minorHAnsi" w:eastAsiaTheme="minorEastAsia" w:hAnsiTheme="minorHAnsi" w:cstheme="minorBidi"/>
          <w:noProof/>
          <w:color w:val="auto"/>
          <w:sz w:val="24"/>
          <w:szCs w:val="24"/>
          <w:bdr w:val="none" w:sz="0" w:space="0" w:color="auto"/>
          <w:lang w:eastAsia="en-GB"/>
        </w:rPr>
        <w:tab/>
      </w:r>
      <w:r>
        <w:rPr>
          <w:noProof/>
        </w:rPr>
        <w:t>microRNA-436-5p</w:t>
      </w:r>
      <w:r>
        <w:rPr>
          <w:noProof/>
        </w:rPr>
        <w:tab/>
      </w:r>
      <w:r>
        <w:rPr>
          <w:noProof/>
        </w:rPr>
        <w:fldChar w:fldCharType="begin"/>
      </w:r>
      <w:r>
        <w:rPr>
          <w:noProof/>
        </w:rPr>
        <w:instrText xml:space="preserve"> PAGEREF _Toc60773966 \h </w:instrText>
      </w:r>
      <w:r>
        <w:rPr>
          <w:noProof/>
        </w:rPr>
      </w:r>
      <w:r>
        <w:rPr>
          <w:noProof/>
        </w:rPr>
        <w:fldChar w:fldCharType="separate"/>
      </w:r>
      <w:r>
        <w:rPr>
          <w:noProof/>
        </w:rPr>
        <w:t>119</w:t>
      </w:r>
      <w:r>
        <w:rPr>
          <w:noProof/>
        </w:rPr>
        <w:fldChar w:fldCharType="end"/>
      </w:r>
    </w:p>
    <w:p w14:paraId="5E37AF92" w14:textId="1D04B584"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7.1.2</w:t>
      </w:r>
      <w:r>
        <w:rPr>
          <w:rFonts w:asciiTheme="minorHAnsi" w:eastAsiaTheme="minorEastAsia" w:hAnsiTheme="minorHAnsi" w:cstheme="minorBidi"/>
          <w:noProof/>
          <w:color w:val="auto"/>
          <w:sz w:val="24"/>
          <w:szCs w:val="24"/>
          <w:bdr w:val="none" w:sz="0" w:space="0" w:color="auto"/>
          <w:lang w:eastAsia="en-GB"/>
        </w:rPr>
        <w:tab/>
      </w:r>
      <w:r>
        <w:rPr>
          <w:noProof/>
        </w:rPr>
        <w:t>Inclusion of additional data in panels</w:t>
      </w:r>
      <w:r>
        <w:rPr>
          <w:noProof/>
        </w:rPr>
        <w:tab/>
      </w:r>
      <w:r>
        <w:rPr>
          <w:noProof/>
        </w:rPr>
        <w:fldChar w:fldCharType="begin"/>
      </w:r>
      <w:r>
        <w:rPr>
          <w:noProof/>
        </w:rPr>
        <w:instrText xml:space="preserve"> PAGEREF _Toc60773967 \h </w:instrText>
      </w:r>
      <w:r>
        <w:rPr>
          <w:noProof/>
        </w:rPr>
      </w:r>
      <w:r>
        <w:rPr>
          <w:noProof/>
        </w:rPr>
        <w:fldChar w:fldCharType="separate"/>
      </w:r>
      <w:r>
        <w:rPr>
          <w:noProof/>
        </w:rPr>
        <w:t>121</w:t>
      </w:r>
      <w:r>
        <w:rPr>
          <w:noProof/>
        </w:rPr>
        <w:fldChar w:fldCharType="end"/>
      </w:r>
    </w:p>
    <w:p w14:paraId="19576914" w14:textId="2D8B7E25"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7.1.3</w:t>
      </w:r>
      <w:r>
        <w:rPr>
          <w:rFonts w:asciiTheme="minorHAnsi" w:eastAsiaTheme="minorEastAsia" w:hAnsiTheme="minorHAnsi" w:cstheme="minorBidi"/>
          <w:noProof/>
          <w:color w:val="auto"/>
          <w:sz w:val="24"/>
          <w:szCs w:val="24"/>
          <w:bdr w:val="none" w:sz="0" w:space="0" w:color="auto"/>
          <w:lang w:eastAsia="en-GB"/>
        </w:rPr>
        <w:tab/>
      </w:r>
      <w:r>
        <w:rPr>
          <w:noProof/>
        </w:rPr>
        <w:t>Experimental improvements</w:t>
      </w:r>
      <w:r>
        <w:rPr>
          <w:noProof/>
        </w:rPr>
        <w:tab/>
      </w:r>
      <w:r>
        <w:rPr>
          <w:noProof/>
        </w:rPr>
        <w:fldChar w:fldCharType="begin"/>
      </w:r>
      <w:r>
        <w:rPr>
          <w:noProof/>
        </w:rPr>
        <w:instrText xml:space="preserve"> PAGEREF _Toc60773968 \h </w:instrText>
      </w:r>
      <w:r>
        <w:rPr>
          <w:noProof/>
        </w:rPr>
      </w:r>
      <w:r>
        <w:rPr>
          <w:noProof/>
        </w:rPr>
        <w:fldChar w:fldCharType="separate"/>
      </w:r>
      <w:r>
        <w:rPr>
          <w:noProof/>
        </w:rPr>
        <w:t>122</w:t>
      </w:r>
      <w:r>
        <w:rPr>
          <w:noProof/>
        </w:rPr>
        <w:fldChar w:fldCharType="end"/>
      </w:r>
    </w:p>
    <w:p w14:paraId="4966F377" w14:textId="04AB192F"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7.1.4</w:t>
      </w:r>
      <w:r>
        <w:rPr>
          <w:rFonts w:asciiTheme="minorHAnsi" w:eastAsiaTheme="minorEastAsia" w:hAnsiTheme="minorHAnsi" w:cstheme="minorBidi"/>
          <w:noProof/>
          <w:color w:val="auto"/>
          <w:sz w:val="24"/>
          <w:szCs w:val="24"/>
          <w:bdr w:val="none" w:sz="0" w:space="0" w:color="auto"/>
          <w:lang w:eastAsia="en-GB"/>
        </w:rPr>
        <w:tab/>
      </w:r>
      <w:r>
        <w:rPr>
          <w:noProof/>
        </w:rPr>
        <w:t>Technical Variation in miRNA Expression</w:t>
      </w:r>
      <w:r>
        <w:rPr>
          <w:noProof/>
        </w:rPr>
        <w:tab/>
      </w:r>
      <w:r>
        <w:rPr>
          <w:noProof/>
        </w:rPr>
        <w:fldChar w:fldCharType="begin"/>
      </w:r>
      <w:r>
        <w:rPr>
          <w:noProof/>
        </w:rPr>
        <w:instrText xml:space="preserve"> PAGEREF _Toc60773969 \h </w:instrText>
      </w:r>
      <w:r>
        <w:rPr>
          <w:noProof/>
        </w:rPr>
      </w:r>
      <w:r>
        <w:rPr>
          <w:noProof/>
        </w:rPr>
        <w:fldChar w:fldCharType="separate"/>
      </w:r>
      <w:r>
        <w:rPr>
          <w:noProof/>
        </w:rPr>
        <w:t>126</w:t>
      </w:r>
      <w:r>
        <w:rPr>
          <w:noProof/>
        </w:rPr>
        <w:fldChar w:fldCharType="end"/>
      </w:r>
    </w:p>
    <w:p w14:paraId="0D96F5D9" w14:textId="11CE3E71"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7.1.5</w:t>
      </w:r>
      <w:r>
        <w:rPr>
          <w:rFonts w:asciiTheme="minorHAnsi" w:eastAsiaTheme="minorEastAsia" w:hAnsiTheme="minorHAnsi" w:cstheme="minorBidi"/>
          <w:noProof/>
          <w:color w:val="auto"/>
          <w:sz w:val="24"/>
          <w:szCs w:val="24"/>
          <w:bdr w:val="none" w:sz="0" w:space="0" w:color="auto"/>
          <w:lang w:eastAsia="en-GB"/>
        </w:rPr>
        <w:tab/>
      </w:r>
      <w:r>
        <w:rPr>
          <w:noProof/>
        </w:rPr>
        <w:t>Can Microarrays be Quantitative?</w:t>
      </w:r>
      <w:r>
        <w:rPr>
          <w:noProof/>
        </w:rPr>
        <w:tab/>
      </w:r>
      <w:r>
        <w:rPr>
          <w:noProof/>
        </w:rPr>
        <w:fldChar w:fldCharType="begin"/>
      </w:r>
      <w:r>
        <w:rPr>
          <w:noProof/>
        </w:rPr>
        <w:instrText xml:space="preserve"> PAGEREF _Toc60773970 \h </w:instrText>
      </w:r>
      <w:r>
        <w:rPr>
          <w:noProof/>
        </w:rPr>
      </w:r>
      <w:r>
        <w:rPr>
          <w:noProof/>
        </w:rPr>
        <w:fldChar w:fldCharType="separate"/>
      </w:r>
      <w:r>
        <w:rPr>
          <w:noProof/>
        </w:rPr>
        <w:t>128</w:t>
      </w:r>
      <w:r>
        <w:rPr>
          <w:noProof/>
        </w:rPr>
        <w:fldChar w:fldCharType="end"/>
      </w:r>
    </w:p>
    <w:p w14:paraId="73624299" w14:textId="4ECC6B44" w:rsidR="00885DE4" w:rsidRDefault="00885DE4">
      <w:pPr>
        <w:pStyle w:val="TOC2"/>
        <w:rPr>
          <w:rFonts w:asciiTheme="minorHAnsi" w:eastAsiaTheme="minorEastAsia" w:hAnsiTheme="minorHAnsi" w:cstheme="minorBidi"/>
          <w:noProof/>
          <w:color w:val="auto"/>
          <w:sz w:val="24"/>
          <w:szCs w:val="24"/>
          <w:bdr w:val="none" w:sz="0" w:space="0" w:color="auto"/>
          <w:lang w:eastAsia="en-GB"/>
        </w:rPr>
      </w:pPr>
      <w:r>
        <w:rPr>
          <w:noProof/>
        </w:rPr>
        <w:t>7.1.6</w:t>
      </w:r>
      <w:r>
        <w:rPr>
          <w:rFonts w:asciiTheme="minorHAnsi" w:eastAsiaTheme="minorEastAsia" w:hAnsiTheme="minorHAnsi" w:cstheme="minorBidi"/>
          <w:noProof/>
          <w:color w:val="auto"/>
          <w:sz w:val="24"/>
          <w:szCs w:val="24"/>
          <w:bdr w:val="none" w:sz="0" w:space="0" w:color="auto"/>
          <w:lang w:eastAsia="en-GB"/>
        </w:rPr>
        <w:tab/>
      </w:r>
      <w:r>
        <w:rPr>
          <w:noProof/>
        </w:rPr>
        <w:t>Future directions</w:t>
      </w:r>
      <w:r>
        <w:rPr>
          <w:noProof/>
        </w:rPr>
        <w:tab/>
      </w:r>
      <w:r>
        <w:rPr>
          <w:noProof/>
        </w:rPr>
        <w:fldChar w:fldCharType="begin"/>
      </w:r>
      <w:r>
        <w:rPr>
          <w:noProof/>
        </w:rPr>
        <w:instrText xml:space="preserve"> PAGEREF _Toc60773971 \h </w:instrText>
      </w:r>
      <w:r>
        <w:rPr>
          <w:noProof/>
        </w:rPr>
      </w:r>
      <w:r>
        <w:rPr>
          <w:noProof/>
        </w:rPr>
        <w:fldChar w:fldCharType="separate"/>
      </w:r>
      <w:r>
        <w:rPr>
          <w:noProof/>
        </w:rPr>
        <w:t>129</w:t>
      </w:r>
      <w:r>
        <w:rPr>
          <w:noProof/>
        </w:rPr>
        <w:fldChar w:fldCharType="end"/>
      </w:r>
    </w:p>
    <w:p w14:paraId="1BA1CD56" w14:textId="1CD46A91" w:rsidR="00885DE4" w:rsidRDefault="00885DE4">
      <w:pPr>
        <w:pStyle w:val="TOC1"/>
        <w:tabs>
          <w:tab w:val="left" w:pos="828"/>
          <w:tab w:val="right" w:leader="dot" w:pos="9068"/>
        </w:tabs>
        <w:rPr>
          <w:rFonts w:asciiTheme="minorHAnsi" w:eastAsiaTheme="minorEastAsia" w:hAnsiTheme="minorHAnsi" w:cstheme="minorBidi"/>
          <w:b w:val="0"/>
          <w:bCs w:val="0"/>
          <w:noProof/>
          <w:color w:val="auto"/>
          <w:szCs w:val="24"/>
          <w:bdr w:val="none" w:sz="0" w:space="0" w:color="auto"/>
          <w:lang w:eastAsia="en-GB"/>
        </w:rPr>
      </w:pPr>
      <w:r>
        <w:rPr>
          <w:noProof/>
        </w:rPr>
        <w:t>8</w:t>
      </w:r>
      <w:r>
        <w:rPr>
          <w:rFonts w:asciiTheme="minorHAnsi" w:eastAsiaTheme="minorEastAsia" w:hAnsiTheme="minorHAnsi" w:cstheme="minorBidi"/>
          <w:b w:val="0"/>
          <w:bCs w:val="0"/>
          <w:noProof/>
          <w:color w:val="auto"/>
          <w:szCs w:val="24"/>
          <w:bdr w:val="none" w:sz="0" w:space="0" w:color="auto"/>
          <w:lang w:eastAsia="en-GB"/>
        </w:rPr>
        <w:tab/>
      </w:r>
      <w:r>
        <w:rPr>
          <w:noProof/>
        </w:rPr>
        <w:t>References</w:t>
      </w:r>
      <w:r>
        <w:rPr>
          <w:noProof/>
        </w:rPr>
        <w:tab/>
      </w:r>
      <w:r>
        <w:rPr>
          <w:noProof/>
        </w:rPr>
        <w:fldChar w:fldCharType="begin"/>
      </w:r>
      <w:r>
        <w:rPr>
          <w:noProof/>
        </w:rPr>
        <w:instrText xml:space="preserve"> PAGEREF _Toc60773972 \h </w:instrText>
      </w:r>
      <w:r>
        <w:rPr>
          <w:noProof/>
        </w:rPr>
      </w:r>
      <w:r>
        <w:rPr>
          <w:noProof/>
        </w:rPr>
        <w:fldChar w:fldCharType="separate"/>
      </w:r>
      <w:r>
        <w:rPr>
          <w:noProof/>
        </w:rPr>
        <w:t>132</w:t>
      </w:r>
      <w:r>
        <w:rPr>
          <w:noProof/>
        </w:rPr>
        <w:fldChar w:fldCharType="end"/>
      </w:r>
    </w:p>
    <w:p w14:paraId="421DDADF" w14:textId="294F297F" w:rsidR="00465C00" w:rsidRPr="00E5229C" w:rsidRDefault="0085109A" w:rsidP="00465C00">
      <w:pPr>
        <w:pStyle w:val="TOC1"/>
      </w:pPr>
      <w:r>
        <w:fldChar w:fldCharType="end"/>
      </w:r>
    </w:p>
    <w:p w14:paraId="60C422F7" w14:textId="77777777" w:rsidR="00604EEF" w:rsidRPr="00E5229C" w:rsidRDefault="00604EEF" w:rsidP="00BA43B3">
      <w:pPr>
        <w:pStyle w:val="abstract"/>
        <w:sectPr w:rsidR="00604EEF" w:rsidRPr="00E5229C" w:rsidSect="0063593C">
          <w:footerReference w:type="even" r:id="rId9"/>
          <w:footerReference w:type="default" r:id="rId10"/>
          <w:footerReference w:type="first" r:id="rId11"/>
          <w:type w:val="continuous"/>
          <w:pgSz w:w="11900" w:h="16840"/>
          <w:pgMar w:top="1411" w:right="1411" w:bottom="1411" w:left="1411" w:header="706" w:footer="706" w:gutter="0"/>
          <w:pgNumType w:fmt="lowerRoman" w:start="1"/>
          <w:cols w:space="708"/>
          <w:titlePg/>
          <w:docGrid w:linePitch="360"/>
        </w:sectPr>
      </w:pPr>
      <w:bookmarkStart w:id="16" w:name="_Toc297817808"/>
      <w:bookmarkStart w:id="17" w:name="_Toc297818215"/>
      <w:bookmarkStart w:id="18" w:name="_Toc297818542"/>
    </w:p>
    <w:p w14:paraId="3A71AA8A" w14:textId="77777777" w:rsidR="00746E09" w:rsidRDefault="00746E09">
      <w:pPr>
        <w:rPr>
          <w:rFonts w:ascii="Helvetica" w:eastAsia="Helvetica" w:hAnsi="Helvetica" w:cs="Helvetica"/>
          <w:b/>
          <w:bCs/>
          <w:color w:val="000000"/>
          <w:sz w:val="36"/>
          <w:szCs w:val="36"/>
          <w:bdr w:val="nil"/>
        </w:rPr>
      </w:pPr>
      <w:r>
        <w:br w:type="page"/>
      </w:r>
    </w:p>
    <w:p w14:paraId="0EA663C3" w14:textId="1A9AA9D2" w:rsidR="00DF1333" w:rsidRPr="00E5229C" w:rsidRDefault="00DF1333" w:rsidP="00740D87">
      <w:pPr>
        <w:pStyle w:val="abstract"/>
        <w:numPr>
          <w:ilvl w:val="0"/>
          <w:numId w:val="0"/>
        </w:numPr>
      </w:pPr>
      <w:bookmarkStart w:id="19" w:name="_Toc60773841"/>
      <w:r w:rsidRPr="00E5229C">
        <w:lastRenderedPageBreak/>
        <w:t xml:space="preserve">List of </w:t>
      </w:r>
      <w:r w:rsidR="00BA43B3" w:rsidRPr="00E5229C">
        <w:t>Tables</w:t>
      </w:r>
      <w:bookmarkEnd w:id="16"/>
      <w:bookmarkEnd w:id="17"/>
      <w:bookmarkEnd w:id="18"/>
      <w:bookmarkEnd w:id="19"/>
    </w:p>
    <w:p w14:paraId="07C3B6D4" w14:textId="1D5C6091" w:rsidR="00634D2D" w:rsidRDefault="00740D87">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sidRPr="00E5229C">
        <w:fldChar w:fldCharType="begin"/>
      </w:r>
      <w:r w:rsidRPr="00E5229C">
        <w:instrText xml:space="preserve"> TOC \c "Table" </w:instrText>
      </w:r>
      <w:r w:rsidRPr="00E5229C">
        <w:fldChar w:fldCharType="separate"/>
      </w:r>
      <w:r w:rsidR="00634D2D">
        <w:rPr>
          <w:noProof/>
        </w:rPr>
        <w:t>Table 1</w:t>
      </w:r>
      <w:r w:rsidR="00634D2D">
        <w:rPr>
          <w:noProof/>
        </w:rPr>
        <w:noBreakHyphen/>
        <w:t xml:space="preserve">1 Recommended process to evaluate the probability of PH via echocardiographic methods taken from the 2015 European Society of Cardiology/European Respiratory Society guidelines </w:t>
      </w:r>
      <w:r w:rsidR="00634D2D" w:rsidRPr="00C30282">
        <w:rPr>
          <w:rFonts w:eastAsiaTheme="minorEastAsia" w:cs="TUOS Blake"/>
          <w:noProof/>
          <w:lang w:val="en-US"/>
        </w:rPr>
        <w:t>(Gali</w:t>
      </w:r>
      <w:r w:rsidR="00634D2D" w:rsidRPr="00C30282">
        <w:rPr>
          <w:rFonts w:eastAsiaTheme="minorEastAsia" w:cs="TUOS Blake"/>
          <w:noProof/>
          <w:lang w:val="en-US"/>
        </w:rPr>
        <w:t>è</w:t>
      </w:r>
      <w:r w:rsidR="00634D2D" w:rsidRPr="00C30282">
        <w:rPr>
          <w:rFonts w:eastAsiaTheme="minorEastAsia" w:cs="TUOS Blake"/>
          <w:noProof/>
          <w:lang w:val="en-US"/>
        </w:rPr>
        <w:t xml:space="preserve"> et al., 2016)</w:t>
      </w:r>
      <w:r w:rsidR="00634D2D">
        <w:rPr>
          <w:noProof/>
        </w:rPr>
        <w:t>.</w:t>
      </w:r>
      <w:r w:rsidR="00634D2D">
        <w:rPr>
          <w:noProof/>
        </w:rPr>
        <w:tab/>
      </w:r>
      <w:r w:rsidR="00634D2D">
        <w:rPr>
          <w:noProof/>
        </w:rPr>
        <w:fldChar w:fldCharType="begin"/>
      </w:r>
      <w:r w:rsidR="00634D2D">
        <w:rPr>
          <w:noProof/>
        </w:rPr>
        <w:instrText xml:space="preserve"> PAGEREF _Toc60597173 \h </w:instrText>
      </w:r>
      <w:r w:rsidR="00634D2D">
        <w:rPr>
          <w:noProof/>
        </w:rPr>
      </w:r>
      <w:r w:rsidR="00634D2D">
        <w:rPr>
          <w:noProof/>
        </w:rPr>
        <w:fldChar w:fldCharType="separate"/>
      </w:r>
      <w:r w:rsidR="00885DE4">
        <w:rPr>
          <w:noProof/>
        </w:rPr>
        <w:t>25</w:t>
      </w:r>
      <w:r w:rsidR="00634D2D">
        <w:rPr>
          <w:noProof/>
        </w:rPr>
        <w:fldChar w:fldCharType="end"/>
      </w:r>
    </w:p>
    <w:p w14:paraId="7A4996B7" w14:textId="769D19D1"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1</w:t>
      </w:r>
      <w:r>
        <w:rPr>
          <w:noProof/>
        </w:rPr>
        <w:noBreakHyphen/>
        <w:t>2 Standardised layout for confusion matrixes. Relevant performance calculations are shown in the lowest and furthermost right cells.</w:t>
      </w:r>
      <w:r>
        <w:rPr>
          <w:noProof/>
        </w:rPr>
        <w:tab/>
      </w:r>
      <w:r>
        <w:rPr>
          <w:noProof/>
        </w:rPr>
        <w:fldChar w:fldCharType="begin"/>
      </w:r>
      <w:r>
        <w:rPr>
          <w:noProof/>
        </w:rPr>
        <w:instrText xml:space="preserve"> PAGEREF _Toc60597174 \h </w:instrText>
      </w:r>
      <w:r>
        <w:rPr>
          <w:noProof/>
        </w:rPr>
      </w:r>
      <w:r>
        <w:rPr>
          <w:noProof/>
        </w:rPr>
        <w:fldChar w:fldCharType="separate"/>
      </w:r>
      <w:r w:rsidR="00885DE4">
        <w:rPr>
          <w:noProof/>
        </w:rPr>
        <w:t>56</w:t>
      </w:r>
      <w:r>
        <w:rPr>
          <w:noProof/>
        </w:rPr>
        <w:fldChar w:fldCharType="end"/>
      </w:r>
    </w:p>
    <w:p w14:paraId="7427D10E" w14:textId="4EBB560D"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2</w:t>
      </w:r>
      <w:r>
        <w:rPr>
          <w:noProof/>
        </w:rPr>
        <w:noBreakHyphen/>
        <w:t>1 Numbers of samples included in each biomarker discovery cohort.</w:t>
      </w:r>
      <w:r>
        <w:rPr>
          <w:noProof/>
        </w:rPr>
        <w:tab/>
      </w:r>
      <w:r>
        <w:rPr>
          <w:noProof/>
        </w:rPr>
        <w:fldChar w:fldCharType="begin"/>
      </w:r>
      <w:r>
        <w:rPr>
          <w:noProof/>
        </w:rPr>
        <w:instrText xml:space="preserve"> PAGEREF _Toc60597175 \h </w:instrText>
      </w:r>
      <w:r>
        <w:rPr>
          <w:noProof/>
        </w:rPr>
      </w:r>
      <w:r>
        <w:rPr>
          <w:noProof/>
        </w:rPr>
        <w:fldChar w:fldCharType="separate"/>
      </w:r>
      <w:r w:rsidR="00885DE4">
        <w:rPr>
          <w:noProof/>
        </w:rPr>
        <w:t>66</w:t>
      </w:r>
      <w:r>
        <w:rPr>
          <w:noProof/>
        </w:rPr>
        <w:fldChar w:fldCharType="end"/>
      </w:r>
    </w:p>
    <w:p w14:paraId="368BF98D" w14:textId="6A5F337E"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2</w:t>
      </w:r>
      <w:r>
        <w:rPr>
          <w:noProof/>
        </w:rPr>
        <w:noBreakHyphen/>
        <w:t>2 Universal cDNA master mix with example calculations for 5 and 10 reactions.</w:t>
      </w:r>
      <w:r>
        <w:rPr>
          <w:noProof/>
        </w:rPr>
        <w:tab/>
      </w:r>
      <w:r>
        <w:rPr>
          <w:noProof/>
        </w:rPr>
        <w:fldChar w:fldCharType="begin"/>
      </w:r>
      <w:r>
        <w:rPr>
          <w:noProof/>
        </w:rPr>
        <w:instrText xml:space="preserve"> PAGEREF _Toc60597176 \h </w:instrText>
      </w:r>
      <w:r>
        <w:rPr>
          <w:noProof/>
        </w:rPr>
      </w:r>
      <w:r>
        <w:rPr>
          <w:noProof/>
        </w:rPr>
        <w:fldChar w:fldCharType="separate"/>
      </w:r>
      <w:r w:rsidR="00885DE4">
        <w:rPr>
          <w:noProof/>
        </w:rPr>
        <w:t>69</w:t>
      </w:r>
      <w:r>
        <w:rPr>
          <w:noProof/>
        </w:rPr>
        <w:fldChar w:fldCharType="end"/>
      </w:r>
    </w:p>
    <w:p w14:paraId="32F16C9E" w14:textId="08FB0E5F"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2</w:t>
      </w:r>
      <w:r>
        <w:rPr>
          <w:noProof/>
        </w:rPr>
        <w:noBreakHyphen/>
        <w:t>3 Real-time PCR reaction master mix with examples for 10 and 50 reactions including 10% overage</w:t>
      </w:r>
      <w:r>
        <w:rPr>
          <w:noProof/>
        </w:rPr>
        <w:tab/>
      </w:r>
      <w:r>
        <w:rPr>
          <w:noProof/>
        </w:rPr>
        <w:fldChar w:fldCharType="begin"/>
      </w:r>
      <w:r>
        <w:rPr>
          <w:noProof/>
        </w:rPr>
        <w:instrText xml:space="preserve"> PAGEREF _Toc60597177 \h </w:instrText>
      </w:r>
      <w:r>
        <w:rPr>
          <w:noProof/>
        </w:rPr>
      </w:r>
      <w:r>
        <w:rPr>
          <w:noProof/>
        </w:rPr>
        <w:fldChar w:fldCharType="separate"/>
      </w:r>
      <w:r w:rsidR="00885DE4">
        <w:rPr>
          <w:noProof/>
        </w:rPr>
        <w:t>70</w:t>
      </w:r>
      <w:r>
        <w:rPr>
          <w:noProof/>
        </w:rPr>
        <w:fldChar w:fldCharType="end"/>
      </w:r>
    </w:p>
    <w:p w14:paraId="72E0AD6E" w14:textId="4AC739A5"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3</w:t>
      </w:r>
      <w:r>
        <w:rPr>
          <w:noProof/>
        </w:rPr>
        <w:noBreakHyphen/>
        <w:t>1 Summary demographics of IPAH and HV samples used in the sample source cohort.  Sample distributions were tested using Shapiro-Wilk test, samples with a p-value &lt;= 0.05 were compared with the Mann Whitney U-test whilst a p-value &gt; 0.05 was compared using a Students t-test. Categorical data was testing with Chi-Squared.</w:t>
      </w:r>
      <w:r>
        <w:rPr>
          <w:noProof/>
        </w:rPr>
        <w:tab/>
      </w:r>
      <w:r>
        <w:rPr>
          <w:noProof/>
        </w:rPr>
        <w:fldChar w:fldCharType="begin"/>
      </w:r>
      <w:r>
        <w:rPr>
          <w:noProof/>
        </w:rPr>
        <w:instrText xml:space="preserve"> PAGEREF _Toc60597178 \h </w:instrText>
      </w:r>
      <w:r>
        <w:rPr>
          <w:noProof/>
        </w:rPr>
      </w:r>
      <w:r>
        <w:rPr>
          <w:noProof/>
        </w:rPr>
        <w:fldChar w:fldCharType="separate"/>
      </w:r>
      <w:r w:rsidR="00885DE4">
        <w:rPr>
          <w:noProof/>
        </w:rPr>
        <w:t>74</w:t>
      </w:r>
      <w:r>
        <w:rPr>
          <w:noProof/>
        </w:rPr>
        <w:fldChar w:fldCharType="end"/>
      </w:r>
    </w:p>
    <w:p w14:paraId="306A5278" w14:textId="5D355D10"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3</w:t>
      </w:r>
      <w:r>
        <w:rPr>
          <w:noProof/>
        </w:rPr>
        <w:noBreakHyphen/>
        <w:t>2 Number of miRNAs with a p-value &lt;0.05 both with and without adjusting for multiple testing Benjamini-Hochberg false discovery rate.</w:t>
      </w:r>
      <w:r>
        <w:rPr>
          <w:noProof/>
        </w:rPr>
        <w:tab/>
      </w:r>
      <w:r>
        <w:rPr>
          <w:noProof/>
        </w:rPr>
        <w:fldChar w:fldCharType="begin"/>
      </w:r>
      <w:r>
        <w:rPr>
          <w:noProof/>
        </w:rPr>
        <w:instrText xml:space="preserve"> PAGEREF _Toc60597179 \h </w:instrText>
      </w:r>
      <w:r>
        <w:rPr>
          <w:noProof/>
        </w:rPr>
      </w:r>
      <w:r>
        <w:rPr>
          <w:noProof/>
        </w:rPr>
        <w:fldChar w:fldCharType="separate"/>
      </w:r>
      <w:r w:rsidR="00885DE4">
        <w:rPr>
          <w:noProof/>
        </w:rPr>
        <w:t>75</w:t>
      </w:r>
      <w:r>
        <w:rPr>
          <w:noProof/>
        </w:rPr>
        <w:fldChar w:fldCharType="end"/>
      </w:r>
    </w:p>
    <w:p w14:paraId="79EA82A8" w14:textId="2A0BE6AE"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3</w:t>
      </w:r>
      <w:r>
        <w:rPr>
          <w:noProof/>
        </w:rPr>
        <w:noBreakHyphen/>
        <w:t xml:space="preserve">3 miRNAs significantly differentially expressed in RNA from plasma comparing IPAH vs HV (absolute log fold-change </w:t>
      </w:r>
      <w:r>
        <w:rPr>
          <w:noProof/>
        </w:rPr>
        <w:t>≥</w:t>
      </w:r>
      <w:r>
        <w:rPr>
          <w:noProof/>
        </w:rPr>
        <w:t xml:space="preserve"> 1.5 &amp; adjust p-value </w:t>
      </w:r>
      <w:r>
        <w:rPr>
          <w:noProof/>
        </w:rPr>
        <w:t>≤</w:t>
      </w:r>
      <w:r>
        <w:rPr>
          <w:noProof/>
        </w:rPr>
        <w:t xml:space="preserve"> 0.05).</w:t>
      </w:r>
      <w:r>
        <w:rPr>
          <w:noProof/>
        </w:rPr>
        <w:tab/>
      </w:r>
      <w:r>
        <w:rPr>
          <w:noProof/>
        </w:rPr>
        <w:fldChar w:fldCharType="begin"/>
      </w:r>
      <w:r>
        <w:rPr>
          <w:noProof/>
        </w:rPr>
        <w:instrText xml:space="preserve"> PAGEREF _Toc60597180 \h </w:instrText>
      </w:r>
      <w:r>
        <w:rPr>
          <w:noProof/>
        </w:rPr>
      </w:r>
      <w:r>
        <w:rPr>
          <w:noProof/>
        </w:rPr>
        <w:fldChar w:fldCharType="separate"/>
      </w:r>
      <w:r w:rsidR="00885DE4">
        <w:rPr>
          <w:noProof/>
        </w:rPr>
        <w:t>84</w:t>
      </w:r>
      <w:r>
        <w:rPr>
          <w:noProof/>
        </w:rPr>
        <w:fldChar w:fldCharType="end"/>
      </w:r>
    </w:p>
    <w:p w14:paraId="34A368A9" w14:textId="213984EE"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4</w:t>
      </w:r>
      <w:r>
        <w:rPr>
          <w:noProof/>
        </w:rPr>
        <w:noBreakHyphen/>
        <w:t>1</w:t>
      </w:r>
      <w:r w:rsidRPr="00C30282">
        <w:rPr>
          <w:b/>
          <w:noProof/>
        </w:rPr>
        <w:t xml:space="preserve"> </w:t>
      </w:r>
      <w:r>
        <w:rPr>
          <w:noProof/>
        </w:rPr>
        <w:t>Summary of patient and control numbers from Sheffield and Imperial College in the IPAH biomarker identification cohort.</w:t>
      </w:r>
      <w:r>
        <w:rPr>
          <w:noProof/>
        </w:rPr>
        <w:tab/>
      </w:r>
      <w:r>
        <w:rPr>
          <w:noProof/>
        </w:rPr>
        <w:fldChar w:fldCharType="begin"/>
      </w:r>
      <w:r>
        <w:rPr>
          <w:noProof/>
        </w:rPr>
        <w:instrText xml:space="preserve"> PAGEREF _Toc60597181 \h </w:instrText>
      </w:r>
      <w:r>
        <w:rPr>
          <w:noProof/>
        </w:rPr>
      </w:r>
      <w:r>
        <w:rPr>
          <w:noProof/>
        </w:rPr>
        <w:fldChar w:fldCharType="separate"/>
      </w:r>
      <w:r w:rsidR="00885DE4">
        <w:rPr>
          <w:noProof/>
        </w:rPr>
        <w:t>87</w:t>
      </w:r>
      <w:r>
        <w:rPr>
          <w:noProof/>
        </w:rPr>
        <w:fldChar w:fldCharType="end"/>
      </w:r>
    </w:p>
    <w:p w14:paraId="7BF2D828" w14:textId="32EDCD32"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sidRPr="00C30282">
        <w:rPr>
          <w:i/>
          <w:iCs/>
          <w:noProof/>
        </w:rPr>
        <w:t>Table 4</w:t>
      </w:r>
      <w:r w:rsidRPr="00C30282">
        <w:rPr>
          <w:i/>
          <w:iCs/>
          <w:noProof/>
        </w:rPr>
        <w:noBreakHyphen/>
        <w:t>2 Summary demographics of the Sheffield IPAH biomarker identification cohort. Normally distributed data shown as mean + standard deviation and comparisons made using Students t-test.  Non-normally distributed data shown as median + interquartile range and comparisons made using Mann Whitney U-test. Categorical data was tested with Chi-Squared.</w:t>
      </w:r>
      <w:r>
        <w:rPr>
          <w:noProof/>
        </w:rPr>
        <w:tab/>
      </w:r>
      <w:r>
        <w:rPr>
          <w:noProof/>
        </w:rPr>
        <w:fldChar w:fldCharType="begin"/>
      </w:r>
      <w:r>
        <w:rPr>
          <w:noProof/>
        </w:rPr>
        <w:instrText xml:space="preserve"> PAGEREF _Toc60597182 \h </w:instrText>
      </w:r>
      <w:r>
        <w:rPr>
          <w:noProof/>
        </w:rPr>
      </w:r>
      <w:r>
        <w:rPr>
          <w:noProof/>
        </w:rPr>
        <w:fldChar w:fldCharType="separate"/>
      </w:r>
      <w:r w:rsidR="00885DE4">
        <w:rPr>
          <w:noProof/>
        </w:rPr>
        <w:t>88</w:t>
      </w:r>
      <w:r>
        <w:rPr>
          <w:noProof/>
        </w:rPr>
        <w:fldChar w:fldCharType="end"/>
      </w:r>
    </w:p>
    <w:p w14:paraId="2E5B82A6" w14:textId="755C52DF"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4</w:t>
      </w:r>
      <w:r>
        <w:rPr>
          <w:noProof/>
        </w:rPr>
        <w:noBreakHyphen/>
        <w:t>3 Biomarkers identified by both the Boruta and LASSO algorithms.</w:t>
      </w:r>
      <w:r>
        <w:rPr>
          <w:noProof/>
        </w:rPr>
        <w:tab/>
      </w:r>
      <w:r>
        <w:rPr>
          <w:noProof/>
        </w:rPr>
        <w:fldChar w:fldCharType="begin"/>
      </w:r>
      <w:r>
        <w:rPr>
          <w:noProof/>
        </w:rPr>
        <w:instrText xml:space="preserve"> PAGEREF _Toc60597183 \h </w:instrText>
      </w:r>
      <w:r>
        <w:rPr>
          <w:noProof/>
        </w:rPr>
      </w:r>
      <w:r>
        <w:rPr>
          <w:noProof/>
        </w:rPr>
        <w:fldChar w:fldCharType="separate"/>
      </w:r>
      <w:r w:rsidR="00885DE4">
        <w:rPr>
          <w:noProof/>
        </w:rPr>
        <w:t>89</w:t>
      </w:r>
      <w:r>
        <w:rPr>
          <w:noProof/>
        </w:rPr>
        <w:fldChar w:fldCharType="end"/>
      </w:r>
    </w:p>
    <w:p w14:paraId="07AFE78F" w14:textId="57E09313"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4</w:t>
      </w:r>
      <w:r>
        <w:rPr>
          <w:noProof/>
        </w:rPr>
        <w:noBreakHyphen/>
        <w:t>4 Rpart decision tree performance metrics summarising the diagnostic power for the classification of IPAH from HV.</w:t>
      </w:r>
      <w:r>
        <w:rPr>
          <w:noProof/>
        </w:rPr>
        <w:tab/>
      </w:r>
      <w:r>
        <w:rPr>
          <w:noProof/>
        </w:rPr>
        <w:fldChar w:fldCharType="begin"/>
      </w:r>
      <w:r>
        <w:rPr>
          <w:noProof/>
        </w:rPr>
        <w:instrText xml:space="preserve"> PAGEREF _Toc60597184 \h </w:instrText>
      </w:r>
      <w:r>
        <w:rPr>
          <w:noProof/>
        </w:rPr>
      </w:r>
      <w:r>
        <w:rPr>
          <w:noProof/>
        </w:rPr>
        <w:fldChar w:fldCharType="separate"/>
      </w:r>
      <w:r w:rsidR="00885DE4">
        <w:rPr>
          <w:noProof/>
        </w:rPr>
        <w:t>90</w:t>
      </w:r>
      <w:r>
        <w:rPr>
          <w:noProof/>
        </w:rPr>
        <w:fldChar w:fldCharType="end"/>
      </w:r>
    </w:p>
    <w:p w14:paraId="025316D8" w14:textId="3C1AEB98"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sidRPr="00C30282">
        <w:rPr>
          <w:i/>
          <w:iCs/>
          <w:noProof/>
        </w:rPr>
        <w:t>Table 4</w:t>
      </w:r>
      <w:r w:rsidRPr="00C30282">
        <w:rPr>
          <w:i/>
          <w:iCs/>
          <w:noProof/>
        </w:rPr>
        <w:noBreakHyphen/>
        <w:t>5 Top 5 miRNA panels for diagnosing IPAH from HV and metrics for their diagnostic power. Performance metrics are shown as the mean and, in brackets, standard deviation from the cross-validation.</w:t>
      </w:r>
      <w:r>
        <w:rPr>
          <w:noProof/>
        </w:rPr>
        <w:tab/>
      </w:r>
      <w:r>
        <w:rPr>
          <w:noProof/>
        </w:rPr>
        <w:fldChar w:fldCharType="begin"/>
      </w:r>
      <w:r>
        <w:rPr>
          <w:noProof/>
        </w:rPr>
        <w:instrText xml:space="preserve"> PAGEREF _Toc60597185 \h </w:instrText>
      </w:r>
      <w:r>
        <w:rPr>
          <w:noProof/>
        </w:rPr>
      </w:r>
      <w:r>
        <w:rPr>
          <w:noProof/>
        </w:rPr>
        <w:fldChar w:fldCharType="separate"/>
      </w:r>
      <w:r w:rsidR="00885DE4">
        <w:rPr>
          <w:noProof/>
        </w:rPr>
        <w:t>91</w:t>
      </w:r>
      <w:r>
        <w:rPr>
          <w:noProof/>
        </w:rPr>
        <w:fldChar w:fldCharType="end"/>
      </w:r>
    </w:p>
    <w:p w14:paraId="48A0114B" w14:textId="25CA59A9"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5</w:t>
      </w:r>
      <w:r>
        <w:rPr>
          <w:noProof/>
        </w:rPr>
        <w:noBreakHyphen/>
        <w:t>1 Summary of patient and control demographics in the SSc with PAH biomarker identification cohort</w:t>
      </w:r>
      <w:r w:rsidRPr="00C30282">
        <w:rPr>
          <w:rFonts w:asciiTheme="minorHAnsi" w:eastAsiaTheme="minorHAnsi" w:hAnsiTheme="minorHAnsi" w:cstheme="minorBidi"/>
          <w:noProof/>
        </w:rPr>
        <w:t xml:space="preserve"> </w:t>
      </w:r>
      <w:r>
        <w:rPr>
          <w:noProof/>
        </w:rPr>
        <w:t xml:space="preserve">Normally distributed data shown as mean + standard deviation and comparisons made using Students t-test.  Non-normally distributed data shown as </w:t>
      </w:r>
      <w:r>
        <w:rPr>
          <w:noProof/>
        </w:rPr>
        <w:lastRenderedPageBreak/>
        <w:t>median + interquartile range and comparisons made using Mann Whitney U-test. Categorical data was tested with Chi-Squared.</w:t>
      </w:r>
      <w:r>
        <w:rPr>
          <w:noProof/>
        </w:rPr>
        <w:tab/>
      </w:r>
      <w:r>
        <w:rPr>
          <w:noProof/>
        </w:rPr>
        <w:fldChar w:fldCharType="begin"/>
      </w:r>
      <w:r>
        <w:rPr>
          <w:noProof/>
        </w:rPr>
        <w:instrText xml:space="preserve"> PAGEREF _Toc60597186 \h </w:instrText>
      </w:r>
      <w:r>
        <w:rPr>
          <w:noProof/>
        </w:rPr>
      </w:r>
      <w:r>
        <w:rPr>
          <w:noProof/>
        </w:rPr>
        <w:fldChar w:fldCharType="separate"/>
      </w:r>
      <w:r w:rsidR="00885DE4">
        <w:rPr>
          <w:noProof/>
        </w:rPr>
        <w:t>94</w:t>
      </w:r>
      <w:r>
        <w:rPr>
          <w:noProof/>
        </w:rPr>
        <w:fldChar w:fldCharType="end"/>
      </w:r>
    </w:p>
    <w:p w14:paraId="3FC44643" w14:textId="13EA4683"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5</w:t>
      </w:r>
      <w:r>
        <w:rPr>
          <w:noProof/>
        </w:rPr>
        <w:noBreakHyphen/>
        <w:t>2 Biomarkers identified by the Boruta feature selection algorithm.</w:t>
      </w:r>
      <w:r>
        <w:rPr>
          <w:noProof/>
        </w:rPr>
        <w:tab/>
      </w:r>
      <w:r>
        <w:rPr>
          <w:noProof/>
        </w:rPr>
        <w:fldChar w:fldCharType="begin"/>
      </w:r>
      <w:r>
        <w:rPr>
          <w:noProof/>
        </w:rPr>
        <w:instrText xml:space="preserve"> PAGEREF _Toc60597187 \h </w:instrText>
      </w:r>
      <w:r>
        <w:rPr>
          <w:noProof/>
        </w:rPr>
      </w:r>
      <w:r>
        <w:rPr>
          <w:noProof/>
        </w:rPr>
        <w:fldChar w:fldCharType="separate"/>
      </w:r>
      <w:r w:rsidR="00885DE4">
        <w:rPr>
          <w:noProof/>
        </w:rPr>
        <w:t>95</w:t>
      </w:r>
      <w:r>
        <w:rPr>
          <w:noProof/>
        </w:rPr>
        <w:fldChar w:fldCharType="end"/>
      </w:r>
    </w:p>
    <w:p w14:paraId="67C844EA" w14:textId="1904C712"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5</w:t>
      </w:r>
      <w:r>
        <w:rPr>
          <w:noProof/>
        </w:rPr>
        <w:noBreakHyphen/>
        <w:t>3 Rpart decision tree performance metrics summarising the diagnostic power for the classification of PAH within SSc.</w:t>
      </w:r>
      <w:r>
        <w:rPr>
          <w:noProof/>
        </w:rPr>
        <w:tab/>
      </w:r>
      <w:r>
        <w:rPr>
          <w:noProof/>
        </w:rPr>
        <w:fldChar w:fldCharType="begin"/>
      </w:r>
      <w:r>
        <w:rPr>
          <w:noProof/>
        </w:rPr>
        <w:instrText xml:space="preserve"> PAGEREF _Toc60597188 \h </w:instrText>
      </w:r>
      <w:r>
        <w:rPr>
          <w:noProof/>
        </w:rPr>
      </w:r>
      <w:r>
        <w:rPr>
          <w:noProof/>
        </w:rPr>
        <w:fldChar w:fldCharType="separate"/>
      </w:r>
      <w:r w:rsidR="00885DE4">
        <w:rPr>
          <w:noProof/>
        </w:rPr>
        <w:t>97</w:t>
      </w:r>
      <w:r>
        <w:rPr>
          <w:noProof/>
        </w:rPr>
        <w:fldChar w:fldCharType="end"/>
      </w:r>
    </w:p>
    <w:p w14:paraId="0908B747" w14:textId="5D3B3AB6"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sidRPr="00C30282">
        <w:rPr>
          <w:i/>
          <w:iCs/>
          <w:noProof/>
        </w:rPr>
        <w:t>Table 5</w:t>
      </w:r>
      <w:r w:rsidRPr="00C30282">
        <w:rPr>
          <w:i/>
          <w:iCs/>
          <w:noProof/>
        </w:rPr>
        <w:noBreakHyphen/>
        <w:t>4 Top two miRNA panels for determining PAH in SSc. Performance metrics are shown as the mean and, in brackets, standard deviation from the cross-validation.</w:t>
      </w:r>
      <w:r>
        <w:rPr>
          <w:noProof/>
        </w:rPr>
        <w:tab/>
      </w:r>
      <w:r>
        <w:rPr>
          <w:noProof/>
        </w:rPr>
        <w:fldChar w:fldCharType="begin"/>
      </w:r>
      <w:r>
        <w:rPr>
          <w:noProof/>
        </w:rPr>
        <w:instrText xml:space="preserve"> PAGEREF _Toc60597189 \h </w:instrText>
      </w:r>
      <w:r>
        <w:rPr>
          <w:noProof/>
        </w:rPr>
      </w:r>
      <w:r>
        <w:rPr>
          <w:noProof/>
        </w:rPr>
        <w:fldChar w:fldCharType="separate"/>
      </w:r>
      <w:r w:rsidR="00885DE4">
        <w:rPr>
          <w:noProof/>
        </w:rPr>
        <w:t>98</w:t>
      </w:r>
      <w:r>
        <w:rPr>
          <w:noProof/>
        </w:rPr>
        <w:fldChar w:fldCharType="end"/>
      </w:r>
    </w:p>
    <w:p w14:paraId="2E6BD258" w14:textId="217A8CA0"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6</w:t>
      </w:r>
      <w:r>
        <w:rPr>
          <w:noProof/>
        </w:rPr>
        <w:noBreakHyphen/>
        <w:t>1 miRNAs chosen for validation and their association with previously described disease panels.</w:t>
      </w:r>
      <w:r>
        <w:rPr>
          <w:noProof/>
        </w:rPr>
        <w:tab/>
      </w:r>
      <w:r>
        <w:rPr>
          <w:noProof/>
        </w:rPr>
        <w:fldChar w:fldCharType="begin"/>
      </w:r>
      <w:r>
        <w:rPr>
          <w:noProof/>
        </w:rPr>
        <w:instrText xml:space="preserve"> PAGEREF _Toc60597190 \h </w:instrText>
      </w:r>
      <w:r>
        <w:rPr>
          <w:noProof/>
        </w:rPr>
      </w:r>
      <w:r>
        <w:rPr>
          <w:noProof/>
        </w:rPr>
        <w:fldChar w:fldCharType="separate"/>
      </w:r>
      <w:r w:rsidR="00885DE4">
        <w:rPr>
          <w:noProof/>
        </w:rPr>
        <w:t>101</w:t>
      </w:r>
      <w:r>
        <w:rPr>
          <w:noProof/>
        </w:rPr>
        <w:fldChar w:fldCharType="end"/>
      </w:r>
    </w:p>
    <w:p w14:paraId="7971529B" w14:textId="226A8B95"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sidRPr="00C30282">
        <w:rPr>
          <w:i/>
          <w:iCs/>
          <w:noProof/>
        </w:rPr>
        <w:t>Table 6</w:t>
      </w:r>
      <w:r w:rsidRPr="00C30282">
        <w:rPr>
          <w:i/>
          <w:iCs/>
          <w:noProof/>
        </w:rPr>
        <w:noBreakHyphen/>
        <w:t>2 Demographics table for initial qPCR probe verification cohort of IPAH and HV samples.</w:t>
      </w:r>
      <w:r>
        <w:rPr>
          <w:noProof/>
        </w:rPr>
        <w:t xml:space="preserve">  </w:t>
      </w:r>
      <w:r w:rsidRPr="00C30282">
        <w:rPr>
          <w:i/>
          <w:iCs/>
          <w:noProof/>
        </w:rPr>
        <w:t>Normally distributed data shown as mean + standard deviation and comparisons made using Students t-test.  Non-normally distributed data shown as median + interquartile range and comparisons made using Mann Whitney U-test. Categorical data was tested with Chi-Squared.</w:t>
      </w:r>
      <w:r>
        <w:rPr>
          <w:noProof/>
        </w:rPr>
        <w:tab/>
      </w:r>
      <w:r>
        <w:rPr>
          <w:noProof/>
        </w:rPr>
        <w:fldChar w:fldCharType="begin"/>
      </w:r>
      <w:r>
        <w:rPr>
          <w:noProof/>
        </w:rPr>
        <w:instrText xml:space="preserve"> PAGEREF _Toc60597191 \h </w:instrText>
      </w:r>
      <w:r>
        <w:rPr>
          <w:noProof/>
        </w:rPr>
      </w:r>
      <w:r>
        <w:rPr>
          <w:noProof/>
        </w:rPr>
        <w:fldChar w:fldCharType="separate"/>
      </w:r>
      <w:r w:rsidR="00885DE4">
        <w:rPr>
          <w:noProof/>
        </w:rPr>
        <w:t>102</w:t>
      </w:r>
      <w:r>
        <w:rPr>
          <w:noProof/>
        </w:rPr>
        <w:fldChar w:fldCharType="end"/>
      </w:r>
    </w:p>
    <w:p w14:paraId="0B7AFFF2" w14:textId="0E642C04"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6</w:t>
      </w:r>
      <w:r>
        <w:rPr>
          <w:noProof/>
        </w:rPr>
        <w:noBreakHyphen/>
        <w:t>3 Summary of initial qPCR verification results following inspecting of amplification curves.</w:t>
      </w:r>
      <w:r>
        <w:rPr>
          <w:noProof/>
        </w:rPr>
        <w:tab/>
      </w:r>
      <w:r>
        <w:rPr>
          <w:noProof/>
        </w:rPr>
        <w:fldChar w:fldCharType="begin"/>
      </w:r>
      <w:r>
        <w:rPr>
          <w:noProof/>
        </w:rPr>
        <w:instrText xml:space="preserve"> PAGEREF _Toc60597192 \h </w:instrText>
      </w:r>
      <w:r>
        <w:rPr>
          <w:noProof/>
        </w:rPr>
      </w:r>
      <w:r>
        <w:rPr>
          <w:noProof/>
        </w:rPr>
        <w:fldChar w:fldCharType="separate"/>
      </w:r>
      <w:r w:rsidR="00885DE4">
        <w:rPr>
          <w:noProof/>
        </w:rPr>
        <w:t>103</w:t>
      </w:r>
      <w:r>
        <w:rPr>
          <w:noProof/>
        </w:rPr>
        <w:fldChar w:fldCharType="end"/>
      </w:r>
    </w:p>
    <w:p w14:paraId="08B98F4E" w14:textId="7FAE8A44"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sidRPr="00C30282">
        <w:rPr>
          <w:i/>
          <w:iCs/>
          <w:noProof/>
        </w:rPr>
        <w:t>Table 6</w:t>
      </w:r>
      <w:r w:rsidRPr="00C30282">
        <w:rPr>
          <w:i/>
          <w:iCs/>
          <w:noProof/>
        </w:rPr>
        <w:noBreakHyphen/>
        <w:t>4 Additional panel of miRNAs for determining SSc-PAH from SSc. Performance metrics are shown as the mean and, in brackets, standard deviation from the cross-validation.</w:t>
      </w:r>
      <w:r>
        <w:rPr>
          <w:noProof/>
        </w:rPr>
        <w:tab/>
      </w:r>
      <w:r>
        <w:rPr>
          <w:noProof/>
        </w:rPr>
        <w:fldChar w:fldCharType="begin"/>
      </w:r>
      <w:r>
        <w:rPr>
          <w:noProof/>
        </w:rPr>
        <w:instrText xml:space="preserve"> PAGEREF _Toc60597193 \h </w:instrText>
      </w:r>
      <w:r>
        <w:rPr>
          <w:noProof/>
        </w:rPr>
      </w:r>
      <w:r>
        <w:rPr>
          <w:noProof/>
        </w:rPr>
        <w:fldChar w:fldCharType="separate"/>
      </w:r>
      <w:r w:rsidR="00885DE4">
        <w:rPr>
          <w:noProof/>
        </w:rPr>
        <w:t>104</w:t>
      </w:r>
      <w:r>
        <w:rPr>
          <w:noProof/>
        </w:rPr>
        <w:fldChar w:fldCharType="end"/>
      </w:r>
    </w:p>
    <w:p w14:paraId="51BB5324" w14:textId="72CE40E0"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6</w:t>
      </w:r>
      <w:r>
        <w:rPr>
          <w:noProof/>
        </w:rPr>
        <w:noBreakHyphen/>
        <w:t>5 Demographics table for SSc-PAH from SSc qPCR diagnostic test.  Normally distributed data shown as mean + standard deviation and comparisons made using Students t-test.  Non-normally distributed data shown as median + interquartile range and comparisons made using Mann Whitney U-test. Categorical data was tested with Chi-Squared.</w:t>
      </w:r>
      <w:r>
        <w:rPr>
          <w:noProof/>
        </w:rPr>
        <w:tab/>
      </w:r>
      <w:r>
        <w:rPr>
          <w:noProof/>
        </w:rPr>
        <w:fldChar w:fldCharType="begin"/>
      </w:r>
      <w:r>
        <w:rPr>
          <w:noProof/>
        </w:rPr>
        <w:instrText xml:space="preserve"> PAGEREF _Toc60597194 \h </w:instrText>
      </w:r>
      <w:r>
        <w:rPr>
          <w:noProof/>
        </w:rPr>
      </w:r>
      <w:r>
        <w:rPr>
          <w:noProof/>
        </w:rPr>
        <w:fldChar w:fldCharType="separate"/>
      </w:r>
      <w:r w:rsidR="00885DE4">
        <w:rPr>
          <w:noProof/>
        </w:rPr>
        <w:t>105</w:t>
      </w:r>
      <w:r>
        <w:rPr>
          <w:noProof/>
        </w:rPr>
        <w:fldChar w:fldCharType="end"/>
      </w:r>
    </w:p>
    <w:p w14:paraId="1A716193" w14:textId="0AA1F086"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6</w:t>
      </w:r>
      <w:r>
        <w:rPr>
          <w:noProof/>
        </w:rPr>
        <w:noBreakHyphen/>
        <w:t>6 Results of Spearman</w:t>
      </w:r>
      <w:r>
        <w:rPr>
          <w:noProof/>
        </w:rPr>
        <w:t>’</w:t>
      </w:r>
      <w:r>
        <w:rPr>
          <w:noProof/>
        </w:rPr>
        <w:t>s Rho correlation of real-time PCR expression with microarray expression.</w:t>
      </w:r>
      <w:r>
        <w:rPr>
          <w:noProof/>
        </w:rPr>
        <w:tab/>
      </w:r>
      <w:r>
        <w:rPr>
          <w:noProof/>
        </w:rPr>
        <w:fldChar w:fldCharType="begin"/>
      </w:r>
      <w:r>
        <w:rPr>
          <w:noProof/>
        </w:rPr>
        <w:instrText xml:space="preserve"> PAGEREF _Toc60597195 \h </w:instrText>
      </w:r>
      <w:r>
        <w:rPr>
          <w:noProof/>
        </w:rPr>
      </w:r>
      <w:r>
        <w:rPr>
          <w:noProof/>
        </w:rPr>
        <w:fldChar w:fldCharType="separate"/>
      </w:r>
      <w:r w:rsidR="00885DE4">
        <w:rPr>
          <w:noProof/>
        </w:rPr>
        <w:t>107</w:t>
      </w:r>
      <w:r>
        <w:rPr>
          <w:noProof/>
        </w:rPr>
        <w:fldChar w:fldCharType="end"/>
      </w:r>
    </w:p>
    <w:p w14:paraId="0AB9018C" w14:textId="4AC76ACA"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6</w:t>
      </w:r>
      <w:r>
        <w:rPr>
          <w:noProof/>
        </w:rPr>
        <w:noBreakHyphen/>
        <w:t>7 Summary results from Mann-Whitney U test comparisons of SSc miRNA panel adjustment for multiple comparisons by Bonferroni.</w:t>
      </w:r>
      <w:r>
        <w:rPr>
          <w:noProof/>
        </w:rPr>
        <w:tab/>
      </w:r>
      <w:r>
        <w:rPr>
          <w:noProof/>
        </w:rPr>
        <w:fldChar w:fldCharType="begin"/>
      </w:r>
      <w:r>
        <w:rPr>
          <w:noProof/>
        </w:rPr>
        <w:instrText xml:space="preserve"> PAGEREF _Toc60597196 \h </w:instrText>
      </w:r>
      <w:r>
        <w:rPr>
          <w:noProof/>
        </w:rPr>
      </w:r>
      <w:r>
        <w:rPr>
          <w:noProof/>
        </w:rPr>
        <w:fldChar w:fldCharType="separate"/>
      </w:r>
      <w:r w:rsidR="00885DE4">
        <w:rPr>
          <w:noProof/>
        </w:rPr>
        <w:t>108</w:t>
      </w:r>
      <w:r>
        <w:rPr>
          <w:noProof/>
        </w:rPr>
        <w:fldChar w:fldCharType="end"/>
      </w:r>
    </w:p>
    <w:p w14:paraId="767D13B9" w14:textId="66F71BCA"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Table 6</w:t>
      </w:r>
      <w:r>
        <w:rPr>
          <w:noProof/>
        </w:rPr>
        <w:noBreakHyphen/>
        <w:t>8 Rpart decision tree performance metrics summarising the diagnostic power for the classification of PAH within SSc.</w:t>
      </w:r>
      <w:r>
        <w:rPr>
          <w:noProof/>
        </w:rPr>
        <w:tab/>
      </w:r>
      <w:r>
        <w:rPr>
          <w:noProof/>
        </w:rPr>
        <w:fldChar w:fldCharType="begin"/>
      </w:r>
      <w:r>
        <w:rPr>
          <w:noProof/>
        </w:rPr>
        <w:instrText xml:space="preserve"> PAGEREF _Toc60597197 \h </w:instrText>
      </w:r>
      <w:r>
        <w:rPr>
          <w:noProof/>
        </w:rPr>
      </w:r>
      <w:r>
        <w:rPr>
          <w:noProof/>
        </w:rPr>
        <w:fldChar w:fldCharType="separate"/>
      </w:r>
      <w:r w:rsidR="00885DE4">
        <w:rPr>
          <w:noProof/>
        </w:rPr>
        <w:t>109</w:t>
      </w:r>
      <w:r>
        <w:rPr>
          <w:noProof/>
        </w:rPr>
        <w:fldChar w:fldCharType="end"/>
      </w:r>
    </w:p>
    <w:p w14:paraId="376AA56E" w14:textId="4DCB212E"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sidRPr="00C30282">
        <w:rPr>
          <w:i/>
          <w:iCs/>
          <w:noProof/>
        </w:rPr>
        <w:t>Table 6</w:t>
      </w:r>
      <w:r w:rsidRPr="00C30282">
        <w:rPr>
          <w:i/>
          <w:iCs/>
          <w:noProof/>
        </w:rPr>
        <w:noBreakHyphen/>
        <w:t>9 All possible panel combinations of the miRNAs used in qPCR validation and performance metrics summarising the diagnostic power in determining PAH. Performance metrics are shown as the mean and, in brackets, standard deviation from the cross-validation.</w:t>
      </w:r>
      <w:r>
        <w:rPr>
          <w:noProof/>
        </w:rPr>
        <w:tab/>
      </w:r>
      <w:r>
        <w:rPr>
          <w:noProof/>
        </w:rPr>
        <w:fldChar w:fldCharType="begin"/>
      </w:r>
      <w:r>
        <w:rPr>
          <w:noProof/>
        </w:rPr>
        <w:instrText xml:space="preserve"> PAGEREF _Toc60597198 \h </w:instrText>
      </w:r>
      <w:r>
        <w:rPr>
          <w:noProof/>
        </w:rPr>
      </w:r>
      <w:r>
        <w:rPr>
          <w:noProof/>
        </w:rPr>
        <w:fldChar w:fldCharType="separate"/>
      </w:r>
      <w:r w:rsidR="00885DE4">
        <w:rPr>
          <w:noProof/>
        </w:rPr>
        <w:t>110</w:t>
      </w:r>
      <w:r>
        <w:rPr>
          <w:noProof/>
        </w:rPr>
        <w:fldChar w:fldCharType="end"/>
      </w:r>
    </w:p>
    <w:p w14:paraId="08A52806" w14:textId="54300D82" w:rsidR="00604EEF" w:rsidRPr="00E5229C" w:rsidRDefault="00740D87" w:rsidP="007937FE">
      <w:pPr>
        <w:pStyle w:val="abstract"/>
        <w:numPr>
          <w:ilvl w:val="0"/>
          <w:numId w:val="0"/>
        </w:numPr>
        <w:ind w:left="432" w:hanging="432"/>
        <w:sectPr w:rsidR="00604EEF" w:rsidRPr="00E5229C" w:rsidSect="0063593C">
          <w:type w:val="continuous"/>
          <w:pgSz w:w="11900" w:h="16840"/>
          <w:pgMar w:top="1411" w:right="1411" w:bottom="1411" w:left="1411" w:header="706" w:footer="706" w:gutter="0"/>
          <w:pgNumType w:fmt="lowerRoman"/>
          <w:cols w:space="708"/>
          <w:titlePg/>
          <w:docGrid w:linePitch="360"/>
        </w:sectPr>
      </w:pPr>
      <w:r w:rsidRPr="00E5229C">
        <w:fldChar w:fldCharType="end"/>
      </w:r>
      <w:bookmarkStart w:id="20" w:name="_Toc297817809"/>
      <w:bookmarkStart w:id="21" w:name="_Toc297818216"/>
      <w:bookmarkStart w:id="22" w:name="_Toc297818543"/>
    </w:p>
    <w:p w14:paraId="0D2A1521" w14:textId="35A85463" w:rsidR="00740D87" w:rsidRPr="00E5229C" w:rsidRDefault="00DF1333" w:rsidP="00740D87">
      <w:pPr>
        <w:pStyle w:val="abstract"/>
        <w:numPr>
          <w:ilvl w:val="0"/>
          <w:numId w:val="0"/>
        </w:numPr>
      </w:pPr>
      <w:bookmarkStart w:id="23" w:name="_Toc60773842"/>
      <w:r w:rsidRPr="00E5229C">
        <w:lastRenderedPageBreak/>
        <w:t xml:space="preserve">List of </w:t>
      </w:r>
      <w:r w:rsidR="00BA43B3" w:rsidRPr="00E5229C">
        <w:t>Figures</w:t>
      </w:r>
      <w:bookmarkStart w:id="24" w:name="_Toc1"/>
      <w:bookmarkStart w:id="25" w:name="_Toc246066896"/>
      <w:bookmarkStart w:id="26" w:name="_Toc297817810"/>
      <w:bookmarkStart w:id="27" w:name="_Toc297818217"/>
      <w:bookmarkStart w:id="28" w:name="_Toc297818544"/>
      <w:bookmarkEnd w:id="20"/>
      <w:bookmarkEnd w:id="21"/>
      <w:bookmarkEnd w:id="22"/>
      <w:bookmarkEnd w:id="23"/>
    </w:p>
    <w:p w14:paraId="1531207E" w14:textId="08A415AF" w:rsidR="00634D2D" w:rsidRDefault="00740D87">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sidRPr="00E5229C">
        <w:rPr>
          <w:highlight w:val="yellow"/>
        </w:rPr>
        <w:fldChar w:fldCharType="begin"/>
      </w:r>
      <w:r w:rsidRPr="00E5229C">
        <w:rPr>
          <w:highlight w:val="yellow"/>
        </w:rPr>
        <w:instrText xml:space="preserve"> TOC \c "Figure" </w:instrText>
      </w:r>
      <w:r w:rsidRPr="00E5229C">
        <w:rPr>
          <w:highlight w:val="yellow"/>
        </w:rPr>
        <w:fldChar w:fldCharType="separate"/>
      </w:r>
      <w:r w:rsidR="00634D2D">
        <w:rPr>
          <w:noProof/>
        </w:rPr>
        <w:t>Figure 2</w:t>
      </w:r>
      <w:r w:rsidR="00634D2D">
        <w:rPr>
          <w:noProof/>
        </w:rPr>
        <w:noBreakHyphen/>
        <w:t>1 Metrics determined from Nanodrop data A) RNA concentration B) 260/280 ratio B) C)260/230 ratio</w:t>
      </w:r>
      <w:r w:rsidR="00634D2D">
        <w:rPr>
          <w:noProof/>
        </w:rPr>
        <w:tab/>
      </w:r>
      <w:r w:rsidR="00634D2D">
        <w:rPr>
          <w:noProof/>
        </w:rPr>
        <w:fldChar w:fldCharType="begin"/>
      </w:r>
      <w:r w:rsidR="00634D2D">
        <w:rPr>
          <w:noProof/>
        </w:rPr>
        <w:instrText xml:space="preserve"> PAGEREF _Toc60597199 \h </w:instrText>
      </w:r>
      <w:r w:rsidR="00634D2D">
        <w:rPr>
          <w:noProof/>
        </w:rPr>
      </w:r>
      <w:r w:rsidR="00634D2D">
        <w:rPr>
          <w:noProof/>
        </w:rPr>
        <w:fldChar w:fldCharType="separate"/>
      </w:r>
      <w:r w:rsidR="00885DE4">
        <w:rPr>
          <w:noProof/>
        </w:rPr>
        <w:t>61</w:t>
      </w:r>
      <w:r w:rsidR="00634D2D">
        <w:rPr>
          <w:noProof/>
        </w:rPr>
        <w:fldChar w:fldCharType="end"/>
      </w:r>
    </w:p>
    <w:p w14:paraId="18B82C09" w14:textId="59261E54"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2</w:t>
      </w:r>
      <w:r>
        <w:rPr>
          <w:noProof/>
        </w:rPr>
        <w:noBreakHyphen/>
        <w:t>2 Nanodrop absorbance spectra from plasma RNA samples showing the overall (A), high purity samples (B), high sloping samples (C) and low sloping samples (D).</w:t>
      </w:r>
      <w:r>
        <w:rPr>
          <w:noProof/>
        </w:rPr>
        <w:tab/>
      </w:r>
      <w:r>
        <w:rPr>
          <w:noProof/>
        </w:rPr>
        <w:fldChar w:fldCharType="begin"/>
      </w:r>
      <w:r>
        <w:rPr>
          <w:noProof/>
        </w:rPr>
        <w:instrText xml:space="preserve"> PAGEREF _Toc60597200 \h </w:instrText>
      </w:r>
      <w:r>
        <w:rPr>
          <w:noProof/>
        </w:rPr>
      </w:r>
      <w:r>
        <w:rPr>
          <w:noProof/>
        </w:rPr>
        <w:fldChar w:fldCharType="separate"/>
      </w:r>
      <w:r w:rsidR="00885DE4">
        <w:rPr>
          <w:noProof/>
        </w:rPr>
        <w:t>63</w:t>
      </w:r>
      <w:r>
        <w:rPr>
          <w:noProof/>
        </w:rPr>
        <w:fldChar w:fldCharType="end"/>
      </w:r>
    </w:p>
    <w:p w14:paraId="6C7E19D4" w14:textId="42F125DB"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2</w:t>
      </w:r>
      <w:r>
        <w:rPr>
          <w:noProof/>
        </w:rPr>
        <w:noBreakHyphen/>
        <w:t>3 Boxplots demonstrating that arrays failing either due to under or over hybridization have clearly different data distributions that can be easily identified.</w:t>
      </w:r>
      <w:r>
        <w:rPr>
          <w:noProof/>
        </w:rPr>
        <w:tab/>
      </w:r>
      <w:r>
        <w:rPr>
          <w:noProof/>
        </w:rPr>
        <w:fldChar w:fldCharType="begin"/>
      </w:r>
      <w:r>
        <w:rPr>
          <w:noProof/>
        </w:rPr>
        <w:instrText xml:space="preserve"> PAGEREF _Toc60597201 \h </w:instrText>
      </w:r>
      <w:r>
        <w:rPr>
          <w:noProof/>
        </w:rPr>
      </w:r>
      <w:r>
        <w:rPr>
          <w:noProof/>
        </w:rPr>
        <w:fldChar w:fldCharType="separate"/>
      </w:r>
      <w:r w:rsidR="00885DE4">
        <w:rPr>
          <w:noProof/>
        </w:rPr>
        <w:t>65</w:t>
      </w:r>
      <w:r>
        <w:rPr>
          <w:noProof/>
        </w:rPr>
        <w:fldChar w:fldCharType="end"/>
      </w:r>
    </w:p>
    <w:p w14:paraId="3CB1BB93" w14:textId="7315B9BC"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2</w:t>
      </w:r>
      <w:r>
        <w:rPr>
          <w:noProof/>
        </w:rPr>
        <w:noBreakHyphen/>
        <w:t>4 Example dissociation curves for 4 miRs of varying quality. Individual qPCR reactions are shown in grey whilst the blue line is a loess best fit.</w:t>
      </w:r>
      <w:r>
        <w:rPr>
          <w:noProof/>
        </w:rPr>
        <w:tab/>
      </w:r>
      <w:r>
        <w:rPr>
          <w:noProof/>
        </w:rPr>
        <w:fldChar w:fldCharType="begin"/>
      </w:r>
      <w:r>
        <w:rPr>
          <w:noProof/>
        </w:rPr>
        <w:instrText xml:space="preserve"> PAGEREF _Toc60597202 \h </w:instrText>
      </w:r>
      <w:r>
        <w:rPr>
          <w:noProof/>
        </w:rPr>
      </w:r>
      <w:r>
        <w:rPr>
          <w:noProof/>
        </w:rPr>
        <w:fldChar w:fldCharType="separate"/>
      </w:r>
      <w:r w:rsidR="00885DE4">
        <w:rPr>
          <w:noProof/>
        </w:rPr>
        <w:t>72</w:t>
      </w:r>
      <w:r>
        <w:rPr>
          <w:noProof/>
        </w:rPr>
        <w:fldChar w:fldCharType="end"/>
      </w:r>
    </w:p>
    <w:p w14:paraId="0975BD10" w14:textId="00FB6BF1"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3</w:t>
      </w:r>
      <w:r>
        <w:rPr>
          <w:noProof/>
        </w:rPr>
        <w:noBreakHyphen/>
        <w:t xml:space="preserve">1 Volcano plot visualising the differences between miRNA expression and p-value for both plasma (red) and whole blood (green) miRNA microarrays. Whole blood miRNAS with an adjusted p-value </w:t>
      </w:r>
      <w:r>
        <w:rPr>
          <w:noProof/>
        </w:rPr>
        <w:t>≤</w:t>
      </w:r>
      <w:r>
        <w:rPr>
          <w:noProof/>
        </w:rPr>
        <w:t xml:space="preserve"> 0.05 are labelled. For clarity in plasma miRNAS with a log fold change </w:t>
      </w:r>
      <w:r>
        <w:rPr>
          <w:noProof/>
        </w:rPr>
        <w:t>≥</w:t>
      </w:r>
      <w:r>
        <w:rPr>
          <w:noProof/>
        </w:rPr>
        <w:t xml:space="preserve"> 1.0 and an adjusted p-value </w:t>
      </w:r>
      <w:r>
        <w:rPr>
          <w:noProof/>
        </w:rPr>
        <w:t>≤</w:t>
      </w:r>
      <w:r>
        <w:rPr>
          <w:noProof/>
        </w:rPr>
        <w:t xml:space="preserve"> 0.05 are labelled.</w:t>
      </w:r>
      <w:r>
        <w:rPr>
          <w:noProof/>
        </w:rPr>
        <w:tab/>
      </w:r>
      <w:r>
        <w:rPr>
          <w:noProof/>
        </w:rPr>
        <w:fldChar w:fldCharType="begin"/>
      </w:r>
      <w:r>
        <w:rPr>
          <w:noProof/>
        </w:rPr>
        <w:instrText xml:space="preserve"> PAGEREF _Toc60597203 \h </w:instrText>
      </w:r>
      <w:r>
        <w:rPr>
          <w:noProof/>
        </w:rPr>
      </w:r>
      <w:r>
        <w:rPr>
          <w:noProof/>
        </w:rPr>
        <w:fldChar w:fldCharType="separate"/>
      </w:r>
      <w:r w:rsidR="00885DE4">
        <w:rPr>
          <w:noProof/>
        </w:rPr>
        <w:t>76</w:t>
      </w:r>
      <w:r>
        <w:rPr>
          <w:noProof/>
        </w:rPr>
        <w:fldChar w:fldCharType="end"/>
      </w:r>
    </w:p>
    <w:p w14:paraId="04E2CD4E" w14:textId="70478FF8"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3</w:t>
      </w:r>
      <w:r>
        <w:rPr>
          <w:noProof/>
        </w:rPr>
        <w:noBreakHyphen/>
        <w:t>2 Number of miRNAs confirmed (light blue) or tentatively (dark blue) identified as important in the classification between IPAH and HV in the Boruta feature selection model.</w:t>
      </w:r>
      <w:r>
        <w:rPr>
          <w:noProof/>
        </w:rPr>
        <w:tab/>
      </w:r>
      <w:r>
        <w:rPr>
          <w:noProof/>
        </w:rPr>
        <w:fldChar w:fldCharType="begin"/>
      </w:r>
      <w:r>
        <w:rPr>
          <w:noProof/>
        </w:rPr>
        <w:instrText xml:space="preserve"> PAGEREF _Toc60597204 \h </w:instrText>
      </w:r>
      <w:r>
        <w:rPr>
          <w:noProof/>
        </w:rPr>
      </w:r>
      <w:r>
        <w:rPr>
          <w:noProof/>
        </w:rPr>
        <w:fldChar w:fldCharType="separate"/>
      </w:r>
      <w:r w:rsidR="00885DE4">
        <w:rPr>
          <w:noProof/>
        </w:rPr>
        <w:t>77</w:t>
      </w:r>
      <w:r>
        <w:rPr>
          <w:noProof/>
        </w:rPr>
        <w:fldChar w:fldCharType="end"/>
      </w:r>
    </w:p>
    <w:p w14:paraId="0BEAEF8C" w14:textId="186D2B1B"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3</w:t>
      </w:r>
      <w:r>
        <w:rPr>
          <w:noProof/>
        </w:rPr>
        <w:noBreakHyphen/>
        <w:t>3 Density distribution plots of the standard deviation of measured miRNAs for IPAH and HV groups and sample types.</w:t>
      </w:r>
      <w:r>
        <w:rPr>
          <w:noProof/>
        </w:rPr>
        <w:tab/>
      </w:r>
      <w:r>
        <w:rPr>
          <w:noProof/>
        </w:rPr>
        <w:fldChar w:fldCharType="begin"/>
      </w:r>
      <w:r>
        <w:rPr>
          <w:noProof/>
        </w:rPr>
        <w:instrText xml:space="preserve"> PAGEREF _Toc60597205 \h </w:instrText>
      </w:r>
      <w:r>
        <w:rPr>
          <w:noProof/>
        </w:rPr>
      </w:r>
      <w:r>
        <w:rPr>
          <w:noProof/>
        </w:rPr>
        <w:fldChar w:fldCharType="separate"/>
      </w:r>
      <w:r w:rsidR="00885DE4">
        <w:rPr>
          <w:noProof/>
        </w:rPr>
        <w:t>78</w:t>
      </w:r>
      <w:r>
        <w:rPr>
          <w:noProof/>
        </w:rPr>
        <w:fldChar w:fldCharType="end"/>
      </w:r>
    </w:p>
    <w:p w14:paraId="4EF488E7" w14:textId="49EE31D1"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3</w:t>
      </w:r>
      <w:r>
        <w:rPr>
          <w:noProof/>
        </w:rPr>
        <w:noBreakHyphen/>
        <w:t xml:space="preserve">4 Bar plot showing the 16 miRNAs from the plasma microarray with a standard deviation </w:t>
      </w:r>
      <w:r>
        <w:rPr>
          <w:noProof/>
        </w:rPr>
        <w:t>≥</w:t>
      </w:r>
      <w:r>
        <w:rPr>
          <w:noProof/>
        </w:rPr>
        <w:t xml:space="preserve"> 1.00.</w:t>
      </w:r>
      <w:r>
        <w:rPr>
          <w:noProof/>
        </w:rPr>
        <w:tab/>
      </w:r>
      <w:r>
        <w:rPr>
          <w:noProof/>
        </w:rPr>
        <w:fldChar w:fldCharType="begin"/>
      </w:r>
      <w:r>
        <w:rPr>
          <w:noProof/>
        </w:rPr>
        <w:instrText xml:space="preserve"> PAGEREF _Toc60597206 \h </w:instrText>
      </w:r>
      <w:r>
        <w:rPr>
          <w:noProof/>
        </w:rPr>
      </w:r>
      <w:r>
        <w:rPr>
          <w:noProof/>
        </w:rPr>
        <w:fldChar w:fldCharType="separate"/>
      </w:r>
      <w:r w:rsidR="00885DE4">
        <w:rPr>
          <w:noProof/>
        </w:rPr>
        <w:t>79</w:t>
      </w:r>
      <w:r>
        <w:rPr>
          <w:noProof/>
        </w:rPr>
        <w:fldChar w:fldCharType="end"/>
      </w:r>
    </w:p>
    <w:p w14:paraId="1634E4DB" w14:textId="001C4E1C"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3</w:t>
      </w:r>
      <w:r>
        <w:rPr>
          <w:noProof/>
        </w:rPr>
        <w:noBreakHyphen/>
        <w:t>5 Search string template used to identify specific miRNA related PAH publications.</w:t>
      </w:r>
      <w:r>
        <w:rPr>
          <w:noProof/>
        </w:rPr>
        <w:tab/>
      </w:r>
      <w:r>
        <w:rPr>
          <w:noProof/>
        </w:rPr>
        <w:fldChar w:fldCharType="begin"/>
      </w:r>
      <w:r>
        <w:rPr>
          <w:noProof/>
        </w:rPr>
        <w:instrText xml:space="preserve"> PAGEREF _Toc60597207 \h </w:instrText>
      </w:r>
      <w:r>
        <w:rPr>
          <w:noProof/>
        </w:rPr>
      </w:r>
      <w:r>
        <w:rPr>
          <w:noProof/>
        </w:rPr>
        <w:fldChar w:fldCharType="separate"/>
      </w:r>
      <w:r w:rsidR="00885DE4">
        <w:rPr>
          <w:noProof/>
        </w:rPr>
        <w:t>85</w:t>
      </w:r>
      <w:r>
        <w:rPr>
          <w:noProof/>
        </w:rPr>
        <w:fldChar w:fldCharType="end"/>
      </w:r>
    </w:p>
    <w:p w14:paraId="063C5E5C" w14:textId="1EA91168"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3</w:t>
      </w:r>
      <w:r>
        <w:rPr>
          <w:noProof/>
        </w:rPr>
        <w:noBreakHyphen/>
        <w:t>6 Comparison of miRNA microarray relative expression of platelet related miRNAs in Mitchel et al., to the two most highly differentially expressed miRNAs in HV vs IPAH plasma samples.</w:t>
      </w:r>
      <w:r>
        <w:rPr>
          <w:noProof/>
        </w:rPr>
        <w:tab/>
      </w:r>
      <w:r>
        <w:rPr>
          <w:noProof/>
        </w:rPr>
        <w:fldChar w:fldCharType="begin"/>
      </w:r>
      <w:r>
        <w:rPr>
          <w:noProof/>
        </w:rPr>
        <w:instrText xml:space="preserve"> PAGEREF _Toc60597208 \h </w:instrText>
      </w:r>
      <w:r>
        <w:rPr>
          <w:noProof/>
        </w:rPr>
      </w:r>
      <w:r>
        <w:rPr>
          <w:noProof/>
        </w:rPr>
        <w:fldChar w:fldCharType="separate"/>
      </w:r>
      <w:r w:rsidR="00885DE4">
        <w:rPr>
          <w:noProof/>
        </w:rPr>
        <w:t>86</w:t>
      </w:r>
      <w:r>
        <w:rPr>
          <w:noProof/>
        </w:rPr>
        <w:fldChar w:fldCharType="end"/>
      </w:r>
    </w:p>
    <w:p w14:paraId="54FC96C2" w14:textId="3A873343"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4</w:t>
      </w:r>
      <w:r>
        <w:rPr>
          <w:noProof/>
        </w:rPr>
        <w:noBreakHyphen/>
        <w:t>1 Rpart decision tree for separating IPAH from HV. Each terminal node represents the assigned classification with the fraction of correctly classified samples given below.</w:t>
      </w:r>
      <w:r>
        <w:rPr>
          <w:noProof/>
        </w:rPr>
        <w:tab/>
      </w:r>
      <w:r>
        <w:rPr>
          <w:noProof/>
        </w:rPr>
        <w:fldChar w:fldCharType="begin"/>
      </w:r>
      <w:r>
        <w:rPr>
          <w:noProof/>
        </w:rPr>
        <w:instrText xml:space="preserve"> PAGEREF _Toc60597209 \h </w:instrText>
      </w:r>
      <w:r>
        <w:rPr>
          <w:noProof/>
        </w:rPr>
      </w:r>
      <w:r>
        <w:rPr>
          <w:noProof/>
        </w:rPr>
        <w:fldChar w:fldCharType="separate"/>
      </w:r>
      <w:r w:rsidR="00885DE4">
        <w:rPr>
          <w:noProof/>
        </w:rPr>
        <w:t>90</w:t>
      </w:r>
      <w:r>
        <w:rPr>
          <w:noProof/>
        </w:rPr>
        <w:fldChar w:fldCharType="end"/>
      </w:r>
    </w:p>
    <w:p w14:paraId="7930782D" w14:textId="281F0B80"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4</w:t>
      </w:r>
      <w:r>
        <w:rPr>
          <w:noProof/>
        </w:rPr>
        <w:noBreakHyphen/>
        <w:t>2 ROC curves for top ROC threshold panel, Rpart model in black, their constituent miRNAs and NTproBNP reference in purple.</w:t>
      </w:r>
      <w:r>
        <w:rPr>
          <w:noProof/>
        </w:rPr>
        <w:tab/>
      </w:r>
      <w:r>
        <w:rPr>
          <w:noProof/>
        </w:rPr>
        <w:fldChar w:fldCharType="begin"/>
      </w:r>
      <w:r>
        <w:rPr>
          <w:noProof/>
        </w:rPr>
        <w:instrText xml:space="preserve"> PAGEREF _Toc60597210 \h </w:instrText>
      </w:r>
      <w:r>
        <w:rPr>
          <w:noProof/>
        </w:rPr>
      </w:r>
      <w:r>
        <w:rPr>
          <w:noProof/>
        </w:rPr>
        <w:fldChar w:fldCharType="separate"/>
      </w:r>
      <w:r w:rsidR="00885DE4">
        <w:rPr>
          <w:noProof/>
        </w:rPr>
        <w:t>92</w:t>
      </w:r>
      <w:r>
        <w:rPr>
          <w:noProof/>
        </w:rPr>
        <w:fldChar w:fldCharType="end"/>
      </w:r>
    </w:p>
    <w:p w14:paraId="537F3F2C" w14:textId="53BC90B2"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sidRPr="00655ACC">
        <w:rPr>
          <w:i/>
          <w:noProof/>
        </w:rPr>
        <w:t>Figure 5</w:t>
      </w:r>
      <w:r w:rsidRPr="00655ACC">
        <w:rPr>
          <w:i/>
          <w:noProof/>
        </w:rPr>
        <w:noBreakHyphen/>
        <w:t>1 Rpart decision tree for separating SSc with PAH from SSc. Each terminal node represents the assigned classification with the fraction of correctly classified samples given below.</w:t>
      </w:r>
      <w:r>
        <w:rPr>
          <w:noProof/>
        </w:rPr>
        <w:tab/>
      </w:r>
      <w:r>
        <w:rPr>
          <w:noProof/>
        </w:rPr>
        <w:fldChar w:fldCharType="begin"/>
      </w:r>
      <w:r>
        <w:rPr>
          <w:noProof/>
        </w:rPr>
        <w:instrText xml:space="preserve"> PAGEREF _Toc60597211 \h </w:instrText>
      </w:r>
      <w:r>
        <w:rPr>
          <w:noProof/>
        </w:rPr>
      </w:r>
      <w:r>
        <w:rPr>
          <w:noProof/>
        </w:rPr>
        <w:fldChar w:fldCharType="separate"/>
      </w:r>
      <w:r w:rsidR="00885DE4">
        <w:rPr>
          <w:noProof/>
        </w:rPr>
        <w:t>97</w:t>
      </w:r>
      <w:r>
        <w:rPr>
          <w:noProof/>
        </w:rPr>
        <w:fldChar w:fldCharType="end"/>
      </w:r>
    </w:p>
    <w:p w14:paraId="53A75951" w14:textId="3D0495CB"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lastRenderedPageBreak/>
        <w:t>Figure 5</w:t>
      </w:r>
      <w:r>
        <w:rPr>
          <w:noProof/>
        </w:rPr>
        <w:noBreakHyphen/>
        <w:t>2 ROC curves for top ROC threshold panel, Rpart model in black, their constituent miRNAs and NTproBNP reference in purple.</w:t>
      </w:r>
      <w:r>
        <w:rPr>
          <w:noProof/>
        </w:rPr>
        <w:tab/>
      </w:r>
      <w:r>
        <w:rPr>
          <w:noProof/>
        </w:rPr>
        <w:fldChar w:fldCharType="begin"/>
      </w:r>
      <w:r>
        <w:rPr>
          <w:noProof/>
        </w:rPr>
        <w:instrText xml:space="preserve"> PAGEREF _Toc60597212 \h </w:instrText>
      </w:r>
      <w:r>
        <w:rPr>
          <w:noProof/>
        </w:rPr>
      </w:r>
      <w:r>
        <w:rPr>
          <w:noProof/>
        </w:rPr>
        <w:fldChar w:fldCharType="separate"/>
      </w:r>
      <w:r w:rsidR="00885DE4">
        <w:rPr>
          <w:noProof/>
        </w:rPr>
        <w:t>99</w:t>
      </w:r>
      <w:r>
        <w:rPr>
          <w:noProof/>
        </w:rPr>
        <w:fldChar w:fldCharType="end"/>
      </w:r>
    </w:p>
    <w:p w14:paraId="561A6C90" w14:textId="5A37EB3C"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6</w:t>
      </w:r>
      <w:r>
        <w:rPr>
          <w:noProof/>
        </w:rPr>
        <w:noBreakHyphen/>
        <w:t>1 Real-time PCR concordance with microarray expression blue loess trendline with 95% confidence boundary shown in grey.</w:t>
      </w:r>
      <w:r>
        <w:rPr>
          <w:noProof/>
        </w:rPr>
        <w:tab/>
      </w:r>
      <w:r>
        <w:rPr>
          <w:noProof/>
        </w:rPr>
        <w:fldChar w:fldCharType="begin"/>
      </w:r>
      <w:r>
        <w:rPr>
          <w:noProof/>
        </w:rPr>
        <w:instrText xml:space="preserve"> PAGEREF _Toc60597213 \h </w:instrText>
      </w:r>
      <w:r>
        <w:rPr>
          <w:noProof/>
        </w:rPr>
      </w:r>
      <w:r>
        <w:rPr>
          <w:noProof/>
        </w:rPr>
        <w:fldChar w:fldCharType="separate"/>
      </w:r>
      <w:r w:rsidR="00885DE4">
        <w:rPr>
          <w:noProof/>
        </w:rPr>
        <w:t>106</w:t>
      </w:r>
      <w:r>
        <w:rPr>
          <w:noProof/>
        </w:rPr>
        <w:fldChar w:fldCharType="end"/>
      </w:r>
    </w:p>
    <w:p w14:paraId="4EC3BEFB" w14:textId="2461D182"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6</w:t>
      </w:r>
      <w:r>
        <w:rPr>
          <w:noProof/>
        </w:rPr>
        <w:noBreakHyphen/>
        <w:t>2 miRNA expression analysis by real-time PCR. After correction for multiple testing there are no significant differences. Mann-Whitney U test with Bonferroni correction.</w:t>
      </w:r>
      <w:r>
        <w:rPr>
          <w:noProof/>
        </w:rPr>
        <w:tab/>
      </w:r>
      <w:r>
        <w:rPr>
          <w:noProof/>
        </w:rPr>
        <w:fldChar w:fldCharType="begin"/>
      </w:r>
      <w:r>
        <w:rPr>
          <w:noProof/>
        </w:rPr>
        <w:instrText xml:space="preserve"> PAGEREF _Toc60597214 \h </w:instrText>
      </w:r>
      <w:r>
        <w:rPr>
          <w:noProof/>
        </w:rPr>
      </w:r>
      <w:r>
        <w:rPr>
          <w:noProof/>
        </w:rPr>
        <w:fldChar w:fldCharType="separate"/>
      </w:r>
      <w:r w:rsidR="00885DE4">
        <w:rPr>
          <w:noProof/>
        </w:rPr>
        <w:t>107</w:t>
      </w:r>
      <w:r>
        <w:rPr>
          <w:noProof/>
        </w:rPr>
        <w:fldChar w:fldCharType="end"/>
      </w:r>
    </w:p>
    <w:p w14:paraId="468287E3" w14:textId="76DA36A0"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6</w:t>
      </w:r>
      <w:r>
        <w:rPr>
          <w:noProof/>
        </w:rPr>
        <w:noBreakHyphen/>
        <w:t>3 Rpart decision tree for separating SSc with PAH from SSc. Each terminal node represents the assigned classification with the fraction of correctly classified samples given below.</w:t>
      </w:r>
      <w:r>
        <w:rPr>
          <w:noProof/>
        </w:rPr>
        <w:tab/>
      </w:r>
      <w:r>
        <w:rPr>
          <w:noProof/>
        </w:rPr>
        <w:fldChar w:fldCharType="begin"/>
      </w:r>
      <w:r>
        <w:rPr>
          <w:noProof/>
        </w:rPr>
        <w:instrText xml:space="preserve"> PAGEREF _Toc60597215 \h </w:instrText>
      </w:r>
      <w:r>
        <w:rPr>
          <w:noProof/>
        </w:rPr>
      </w:r>
      <w:r>
        <w:rPr>
          <w:noProof/>
        </w:rPr>
        <w:fldChar w:fldCharType="separate"/>
      </w:r>
      <w:r w:rsidR="00885DE4">
        <w:rPr>
          <w:noProof/>
        </w:rPr>
        <w:t>109</w:t>
      </w:r>
      <w:r>
        <w:rPr>
          <w:noProof/>
        </w:rPr>
        <w:fldChar w:fldCharType="end"/>
      </w:r>
    </w:p>
    <w:p w14:paraId="18A3EE1A" w14:textId="27473DC0"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6</w:t>
      </w:r>
      <w:r>
        <w:rPr>
          <w:noProof/>
        </w:rPr>
        <w:noBreakHyphen/>
        <w:t>4 ROC curves for top ROC threshold panel, Rpart model in black, their constituent miRNAs and NTproBNP reference in purple.</w:t>
      </w:r>
      <w:r>
        <w:rPr>
          <w:noProof/>
        </w:rPr>
        <w:tab/>
      </w:r>
      <w:r>
        <w:rPr>
          <w:noProof/>
        </w:rPr>
        <w:fldChar w:fldCharType="begin"/>
      </w:r>
      <w:r>
        <w:rPr>
          <w:noProof/>
        </w:rPr>
        <w:instrText xml:space="preserve"> PAGEREF _Toc60597216 \h </w:instrText>
      </w:r>
      <w:r>
        <w:rPr>
          <w:noProof/>
        </w:rPr>
      </w:r>
      <w:r>
        <w:rPr>
          <w:noProof/>
        </w:rPr>
        <w:fldChar w:fldCharType="separate"/>
      </w:r>
      <w:r w:rsidR="00885DE4">
        <w:rPr>
          <w:noProof/>
        </w:rPr>
        <w:t>111</w:t>
      </w:r>
      <w:r>
        <w:rPr>
          <w:noProof/>
        </w:rPr>
        <w:fldChar w:fldCharType="end"/>
      </w:r>
    </w:p>
    <w:p w14:paraId="63F21EBB" w14:textId="16E2D0E7"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7</w:t>
      </w:r>
      <w:r>
        <w:rPr>
          <w:noProof/>
        </w:rPr>
        <w:noBreakHyphen/>
        <w:t>1 Publications tagged with the MeSH term biomarkers within a corpus of PAH publications.</w:t>
      </w:r>
      <w:r>
        <w:rPr>
          <w:noProof/>
        </w:rPr>
        <w:tab/>
      </w:r>
      <w:r>
        <w:rPr>
          <w:noProof/>
        </w:rPr>
        <w:fldChar w:fldCharType="begin"/>
      </w:r>
      <w:r>
        <w:rPr>
          <w:noProof/>
        </w:rPr>
        <w:instrText xml:space="preserve"> PAGEREF _Toc60597217 \h </w:instrText>
      </w:r>
      <w:r>
        <w:rPr>
          <w:noProof/>
        </w:rPr>
      </w:r>
      <w:r>
        <w:rPr>
          <w:noProof/>
        </w:rPr>
        <w:fldChar w:fldCharType="separate"/>
      </w:r>
      <w:r w:rsidR="00885DE4">
        <w:rPr>
          <w:noProof/>
        </w:rPr>
        <w:t>116</w:t>
      </w:r>
      <w:r>
        <w:rPr>
          <w:noProof/>
        </w:rPr>
        <w:fldChar w:fldCharType="end"/>
      </w:r>
    </w:p>
    <w:p w14:paraId="5A91CA1E" w14:textId="2044CB58"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sidRPr="00655ACC">
        <w:rPr>
          <w:i/>
          <w:iCs/>
          <w:noProof/>
        </w:rPr>
        <w:t>Figure 7</w:t>
      </w:r>
      <w:r w:rsidRPr="00655ACC">
        <w:rPr>
          <w:i/>
          <w:iCs/>
          <w:noProof/>
        </w:rPr>
        <w:noBreakHyphen/>
        <w:t>2 Bar chart summarising disease MeSH terms used in publications mentioning miRNA-486-5p.</w:t>
      </w:r>
      <w:r>
        <w:rPr>
          <w:noProof/>
        </w:rPr>
        <w:tab/>
      </w:r>
      <w:r>
        <w:rPr>
          <w:noProof/>
        </w:rPr>
        <w:fldChar w:fldCharType="begin"/>
      </w:r>
      <w:r>
        <w:rPr>
          <w:noProof/>
        </w:rPr>
        <w:instrText xml:space="preserve"> PAGEREF _Toc60597218 \h </w:instrText>
      </w:r>
      <w:r>
        <w:rPr>
          <w:noProof/>
        </w:rPr>
      </w:r>
      <w:r>
        <w:rPr>
          <w:noProof/>
        </w:rPr>
        <w:fldChar w:fldCharType="separate"/>
      </w:r>
      <w:r w:rsidR="00885DE4">
        <w:rPr>
          <w:noProof/>
        </w:rPr>
        <w:t>120</w:t>
      </w:r>
      <w:r>
        <w:rPr>
          <w:noProof/>
        </w:rPr>
        <w:fldChar w:fldCharType="end"/>
      </w:r>
    </w:p>
    <w:p w14:paraId="2603C71A" w14:textId="626FA62F" w:rsidR="00634D2D" w:rsidRDefault="00634D2D">
      <w:pPr>
        <w:pStyle w:val="TableofFigures"/>
        <w:tabs>
          <w:tab w:val="right" w:leader="dot" w:pos="9068"/>
        </w:tabs>
        <w:rPr>
          <w:rFonts w:asciiTheme="minorHAnsi" w:eastAsiaTheme="minorEastAsia" w:hAnsiTheme="minorHAnsi" w:cstheme="minorBidi"/>
          <w:noProof/>
          <w:color w:val="auto"/>
          <w:sz w:val="24"/>
          <w:szCs w:val="24"/>
          <w:bdr w:val="none" w:sz="0" w:space="0" w:color="auto"/>
          <w:lang w:eastAsia="en-GB"/>
        </w:rPr>
      </w:pPr>
      <w:r>
        <w:rPr>
          <w:noProof/>
        </w:rPr>
        <w:t>Figure 7</w:t>
      </w:r>
      <w:r>
        <w:rPr>
          <w:noProof/>
        </w:rPr>
        <w:noBreakHyphen/>
        <w:t>3 Variance between replicates shown at the mean expression of each replicate for both healthy volunteers and both extraction methods. 0.5 log fold-change is shown on the chart as a light grey line for reference.</w:t>
      </w:r>
      <w:r>
        <w:rPr>
          <w:noProof/>
        </w:rPr>
        <w:tab/>
      </w:r>
      <w:r>
        <w:rPr>
          <w:noProof/>
        </w:rPr>
        <w:fldChar w:fldCharType="begin"/>
      </w:r>
      <w:r>
        <w:rPr>
          <w:noProof/>
        </w:rPr>
        <w:instrText xml:space="preserve"> PAGEREF _Toc60597219 \h </w:instrText>
      </w:r>
      <w:r>
        <w:rPr>
          <w:noProof/>
        </w:rPr>
      </w:r>
      <w:r>
        <w:rPr>
          <w:noProof/>
        </w:rPr>
        <w:fldChar w:fldCharType="separate"/>
      </w:r>
      <w:r w:rsidR="00885DE4">
        <w:rPr>
          <w:noProof/>
        </w:rPr>
        <w:t>127</w:t>
      </w:r>
      <w:r>
        <w:rPr>
          <w:noProof/>
        </w:rPr>
        <w:fldChar w:fldCharType="end"/>
      </w:r>
    </w:p>
    <w:p w14:paraId="1E891586" w14:textId="79FA00FD" w:rsidR="00740D87" w:rsidRPr="00E5229C" w:rsidRDefault="00740D87" w:rsidP="00740D87">
      <w:pPr>
        <w:pStyle w:val="abstract"/>
        <w:numPr>
          <w:ilvl w:val="0"/>
          <w:numId w:val="0"/>
        </w:numPr>
        <w:sectPr w:rsidR="00740D87" w:rsidRPr="00E5229C" w:rsidSect="0063593C">
          <w:type w:val="continuous"/>
          <w:pgSz w:w="11900" w:h="16840"/>
          <w:pgMar w:top="1411" w:right="1411" w:bottom="1411" w:left="1411" w:header="706" w:footer="706" w:gutter="0"/>
          <w:pgNumType w:fmt="lowerRoman"/>
          <w:cols w:space="708"/>
          <w:titlePg/>
          <w:docGrid w:linePitch="360"/>
        </w:sectPr>
      </w:pPr>
      <w:r w:rsidRPr="00E5229C">
        <w:fldChar w:fldCharType="end"/>
      </w:r>
    </w:p>
    <w:p w14:paraId="02B5F282" w14:textId="77777777" w:rsidR="00815667" w:rsidRDefault="00815667">
      <w:pPr>
        <w:rPr>
          <w:rFonts w:ascii="Helvetica" w:eastAsia="Helvetica" w:hAnsi="Helvetica" w:cs="Helvetica"/>
          <w:b/>
          <w:bCs/>
          <w:color w:val="000000"/>
          <w:sz w:val="36"/>
          <w:szCs w:val="36"/>
          <w:bdr w:val="nil"/>
        </w:rPr>
      </w:pPr>
      <w:r>
        <w:br w:type="page"/>
      </w:r>
    </w:p>
    <w:p w14:paraId="3262C2CF" w14:textId="78FFA6FB" w:rsidR="00D91068" w:rsidRDefault="00BA43B3" w:rsidP="00B52CE0">
      <w:pPr>
        <w:pStyle w:val="abstract"/>
        <w:numPr>
          <w:ilvl w:val="0"/>
          <w:numId w:val="0"/>
        </w:numPr>
      </w:pPr>
      <w:bookmarkStart w:id="29" w:name="_Toc60773843"/>
      <w:r w:rsidRPr="00E5229C">
        <w:lastRenderedPageBreak/>
        <w:t>Abbreviations</w:t>
      </w:r>
      <w:bookmarkEnd w:id="9"/>
      <w:bookmarkEnd w:id="24"/>
      <w:bookmarkEnd w:id="25"/>
      <w:bookmarkEnd w:id="26"/>
      <w:bookmarkEnd w:id="27"/>
      <w:bookmarkEnd w:id="28"/>
      <w:bookmarkEnd w:id="29"/>
    </w:p>
    <w:tbl>
      <w:tblPr>
        <w:tblW w:w="5000" w:type="pct"/>
        <w:tblLook w:val="04A0" w:firstRow="1" w:lastRow="0" w:firstColumn="1" w:lastColumn="0" w:noHBand="0" w:noVBand="1"/>
      </w:tblPr>
      <w:tblGrid>
        <w:gridCol w:w="8856"/>
        <w:gridCol w:w="222"/>
      </w:tblGrid>
      <w:tr w:rsidR="00A70641" w:rsidRPr="00D14367" w14:paraId="10878DB8" w14:textId="77777777" w:rsidTr="00D14367">
        <w:trPr>
          <w:trHeight w:val="300"/>
        </w:trPr>
        <w:tc>
          <w:tcPr>
            <w:tcW w:w="915" w:type="pct"/>
            <w:tcBorders>
              <w:top w:val="nil"/>
              <w:left w:val="nil"/>
              <w:bottom w:val="nil"/>
              <w:right w:val="nil"/>
            </w:tcBorders>
            <w:shd w:val="clear" w:color="auto" w:fill="auto"/>
            <w:noWrap/>
            <w:vAlign w:val="center"/>
            <w:hideMark/>
          </w:tcPr>
          <w:tbl>
            <w:tblPr>
              <w:tblW w:w="8641" w:type="dxa"/>
              <w:tblLook w:val="04A0" w:firstRow="1" w:lastRow="0" w:firstColumn="1" w:lastColumn="0" w:noHBand="0" w:noVBand="1"/>
            </w:tblPr>
            <w:tblGrid>
              <w:gridCol w:w="1739"/>
              <w:gridCol w:w="6901"/>
            </w:tblGrid>
            <w:tr w:rsidR="007F3F4E" w14:paraId="0699F4FE" w14:textId="77777777" w:rsidTr="007F3F4E">
              <w:trPr>
                <w:trHeight w:val="320"/>
              </w:trPr>
              <w:tc>
                <w:tcPr>
                  <w:tcW w:w="1739" w:type="dxa"/>
                  <w:tcBorders>
                    <w:top w:val="nil"/>
                    <w:left w:val="nil"/>
                    <w:bottom w:val="nil"/>
                    <w:right w:val="nil"/>
                  </w:tcBorders>
                  <w:shd w:val="clear" w:color="auto" w:fill="auto"/>
                  <w:noWrap/>
                  <w:vAlign w:val="bottom"/>
                  <w:hideMark/>
                </w:tcPr>
                <w:p w14:paraId="1A9EA83B" w14:textId="77777777" w:rsidR="007F3F4E" w:rsidRDefault="007F3F4E" w:rsidP="007F3F4E">
                  <w:pPr>
                    <w:pStyle w:val="Body"/>
                  </w:pPr>
                  <w:r>
                    <w:t>6MWT</w:t>
                  </w:r>
                </w:p>
              </w:tc>
              <w:tc>
                <w:tcPr>
                  <w:tcW w:w="6902" w:type="dxa"/>
                  <w:tcBorders>
                    <w:top w:val="nil"/>
                    <w:left w:val="nil"/>
                    <w:bottom w:val="nil"/>
                    <w:right w:val="nil"/>
                  </w:tcBorders>
                  <w:shd w:val="clear" w:color="auto" w:fill="auto"/>
                  <w:noWrap/>
                  <w:vAlign w:val="bottom"/>
                  <w:hideMark/>
                </w:tcPr>
                <w:p w14:paraId="53A89CF3" w14:textId="77777777" w:rsidR="007F3F4E" w:rsidRDefault="007F3F4E" w:rsidP="007F3F4E">
                  <w:pPr>
                    <w:pStyle w:val="Body"/>
                  </w:pPr>
                  <w:proofErr w:type="gramStart"/>
                  <w:r>
                    <w:t>6 minute</w:t>
                  </w:r>
                  <w:proofErr w:type="gramEnd"/>
                  <w:r>
                    <w:t xml:space="preserve"> walk test</w:t>
                  </w:r>
                </w:p>
              </w:tc>
            </w:tr>
            <w:tr w:rsidR="00B82FAB" w14:paraId="68A4CA99" w14:textId="77777777" w:rsidTr="007F3F4E">
              <w:trPr>
                <w:trHeight w:val="320"/>
              </w:trPr>
              <w:tc>
                <w:tcPr>
                  <w:tcW w:w="1739" w:type="dxa"/>
                  <w:tcBorders>
                    <w:top w:val="nil"/>
                    <w:left w:val="nil"/>
                    <w:bottom w:val="nil"/>
                    <w:right w:val="nil"/>
                  </w:tcBorders>
                  <w:shd w:val="clear" w:color="auto" w:fill="auto"/>
                  <w:noWrap/>
                  <w:vAlign w:val="bottom"/>
                </w:tcPr>
                <w:p w14:paraId="2A1CEB25" w14:textId="45646019" w:rsidR="00B82FAB" w:rsidRDefault="00B82FAB" w:rsidP="007F3F4E">
                  <w:pPr>
                    <w:pStyle w:val="Body"/>
                  </w:pPr>
                  <w:r>
                    <w:t>AGO</w:t>
                  </w:r>
                </w:p>
              </w:tc>
              <w:tc>
                <w:tcPr>
                  <w:tcW w:w="6902" w:type="dxa"/>
                  <w:tcBorders>
                    <w:top w:val="nil"/>
                    <w:left w:val="nil"/>
                    <w:bottom w:val="nil"/>
                    <w:right w:val="nil"/>
                  </w:tcBorders>
                  <w:shd w:val="clear" w:color="auto" w:fill="auto"/>
                  <w:noWrap/>
                  <w:vAlign w:val="bottom"/>
                </w:tcPr>
                <w:p w14:paraId="3275B4C5" w14:textId="2BFE0231" w:rsidR="00B82FAB" w:rsidRDefault="00B82FAB" w:rsidP="007F3F4E">
                  <w:pPr>
                    <w:pStyle w:val="Body"/>
                  </w:pPr>
                  <w:proofErr w:type="spellStart"/>
                  <w:r>
                    <w:t>Argonaught</w:t>
                  </w:r>
                  <w:proofErr w:type="spellEnd"/>
                  <w:r>
                    <w:t xml:space="preserve"> proteins</w:t>
                  </w:r>
                </w:p>
              </w:tc>
            </w:tr>
            <w:tr w:rsidR="007F3F4E" w14:paraId="61E0B95D" w14:textId="77777777" w:rsidTr="007F3F4E">
              <w:trPr>
                <w:trHeight w:val="320"/>
              </w:trPr>
              <w:tc>
                <w:tcPr>
                  <w:tcW w:w="1739" w:type="dxa"/>
                  <w:tcBorders>
                    <w:top w:val="nil"/>
                    <w:left w:val="nil"/>
                    <w:bottom w:val="nil"/>
                    <w:right w:val="nil"/>
                  </w:tcBorders>
                  <w:shd w:val="clear" w:color="auto" w:fill="auto"/>
                  <w:noWrap/>
                  <w:vAlign w:val="bottom"/>
                  <w:hideMark/>
                </w:tcPr>
                <w:p w14:paraId="5B58582A" w14:textId="77777777" w:rsidR="007F3F4E" w:rsidRDefault="007F3F4E" w:rsidP="007F3F4E">
                  <w:pPr>
                    <w:pStyle w:val="Body"/>
                  </w:pPr>
                  <w:r>
                    <w:t>AIC</w:t>
                  </w:r>
                </w:p>
              </w:tc>
              <w:tc>
                <w:tcPr>
                  <w:tcW w:w="6902" w:type="dxa"/>
                  <w:tcBorders>
                    <w:top w:val="nil"/>
                    <w:left w:val="nil"/>
                    <w:bottom w:val="nil"/>
                    <w:right w:val="nil"/>
                  </w:tcBorders>
                  <w:shd w:val="clear" w:color="auto" w:fill="auto"/>
                  <w:noWrap/>
                  <w:vAlign w:val="bottom"/>
                  <w:hideMark/>
                </w:tcPr>
                <w:p w14:paraId="673B1D52" w14:textId="77777777" w:rsidR="007F3F4E" w:rsidRDefault="007F3F4E" w:rsidP="007F3F4E">
                  <w:pPr>
                    <w:pStyle w:val="Body"/>
                  </w:pPr>
                  <w:r>
                    <w:t>Akaike information criterion</w:t>
                  </w:r>
                </w:p>
              </w:tc>
            </w:tr>
            <w:tr w:rsidR="00912D40" w14:paraId="3E7A708C" w14:textId="77777777" w:rsidTr="007F3F4E">
              <w:trPr>
                <w:trHeight w:val="320"/>
              </w:trPr>
              <w:tc>
                <w:tcPr>
                  <w:tcW w:w="1739" w:type="dxa"/>
                  <w:tcBorders>
                    <w:top w:val="nil"/>
                    <w:left w:val="nil"/>
                    <w:bottom w:val="nil"/>
                    <w:right w:val="nil"/>
                  </w:tcBorders>
                  <w:shd w:val="clear" w:color="auto" w:fill="auto"/>
                  <w:noWrap/>
                  <w:vAlign w:val="bottom"/>
                </w:tcPr>
                <w:p w14:paraId="0C8A7DF8" w14:textId="11FAD318" w:rsidR="00912D40" w:rsidRDefault="00912D40" w:rsidP="007F3F4E">
                  <w:pPr>
                    <w:pStyle w:val="Body"/>
                  </w:pPr>
                  <w:r>
                    <w:t>AMI</w:t>
                  </w:r>
                </w:p>
              </w:tc>
              <w:tc>
                <w:tcPr>
                  <w:tcW w:w="6902" w:type="dxa"/>
                  <w:tcBorders>
                    <w:top w:val="nil"/>
                    <w:left w:val="nil"/>
                    <w:bottom w:val="nil"/>
                    <w:right w:val="nil"/>
                  </w:tcBorders>
                  <w:shd w:val="clear" w:color="auto" w:fill="auto"/>
                  <w:noWrap/>
                  <w:vAlign w:val="bottom"/>
                </w:tcPr>
                <w:p w14:paraId="380F4FF0" w14:textId="52AEAC9A" w:rsidR="00912D40" w:rsidRDefault="00912D40" w:rsidP="007F3F4E">
                  <w:pPr>
                    <w:pStyle w:val="Body"/>
                  </w:pPr>
                  <w:r>
                    <w:t>Acute myocardial infarction</w:t>
                  </w:r>
                </w:p>
              </w:tc>
            </w:tr>
            <w:tr w:rsidR="007F3F4E" w14:paraId="4BCEA537" w14:textId="77777777" w:rsidTr="007F3F4E">
              <w:trPr>
                <w:trHeight w:val="320"/>
              </w:trPr>
              <w:tc>
                <w:tcPr>
                  <w:tcW w:w="1739" w:type="dxa"/>
                  <w:tcBorders>
                    <w:top w:val="nil"/>
                    <w:left w:val="nil"/>
                    <w:bottom w:val="nil"/>
                    <w:right w:val="nil"/>
                  </w:tcBorders>
                  <w:shd w:val="clear" w:color="auto" w:fill="auto"/>
                  <w:noWrap/>
                  <w:vAlign w:val="bottom"/>
                  <w:hideMark/>
                </w:tcPr>
                <w:p w14:paraId="0534182E" w14:textId="77777777" w:rsidR="007F3F4E" w:rsidRDefault="007F3F4E" w:rsidP="007F3F4E">
                  <w:pPr>
                    <w:pStyle w:val="Body"/>
                  </w:pPr>
                  <w:r>
                    <w:t>AUC</w:t>
                  </w:r>
                </w:p>
              </w:tc>
              <w:tc>
                <w:tcPr>
                  <w:tcW w:w="6902" w:type="dxa"/>
                  <w:tcBorders>
                    <w:top w:val="nil"/>
                    <w:left w:val="nil"/>
                    <w:bottom w:val="nil"/>
                    <w:right w:val="nil"/>
                  </w:tcBorders>
                  <w:shd w:val="clear" w:color="auto" w:fill="auto"/>
                  <w:noWrap/>
                  <w:vAlign w:val="bottom"/>
                  <w:hideMark/>
                </w:tcPr>
                <w:p w14:paraId="3A9045B3" w14:textId="77777777" w:rsidR="007F3F4E" w:rsidRDefault="007F3F4E" w:rsidP="007F3F4E">
                  <w:pPr>
                    <w:pStyle w:val="Body"/>
                  </w:pPr>
                  <w:r>
                    <w:t>Area under the curve</w:t>
                  </w:r>
                </w:p>
              </w:tc>
            </w:tr>
            <w:tr w:rsidR="007F3F4E" w14:paraId="7E734E39" w14:textId="77777777" w:rsidTr="007F3F4E">
              <w:trPr>
                <w:trHeight w:val="320"/>
              </w:trPr>
              <w:tc>
                <w:tcPr>
                  <w:tcW w:w="1739" w:type="dxa"/>
                  <w:tcBorders>
                    <w:top w:val="nil"/>
                    <w:left w:val="nil"/>
                    <w:bottom w:val="nil"/>
                    <w:right w:val="nil"/>
                  </w:tcBorders>
                  <w:shd w:val="clear" w:color="auto" w:fill="auto"/>
                  <w:noWrap/>
                  <w:vAlign w:val="bottom"/>
                  <w:hideMark/>
                </w:tcPr>
                <w:p w14:paraId="51A509DE" w14:textId="77777777" w:rsidR="007F3F4E" w:rsidRDefault="007F3F4E" w:rsidP="007F3F4E">
                  <w:pPr>
                    <w:pStyle w:val="Body"/>
                  </w:pPr>
                  <w:r>
                    <w:t>BNP</w:t>
                  </w:r>
                </w:p>
              </w:tc>
              <w:tc>
                <w:tcPr>
                  <w:tcW w:w="6902" w:type="dxa"/>
                  <w:tcBorders>
                    <w:top w:val="nil"/>
                    <w:left w:val="nil"/>
                    <w:bottom w:val="nil"/>
                    <w:right w:val="nil"/>
                  </w:tcBorders>
                  <w:shd w:val="clear" w:color="auto" w:fill="auto"/>
                  <w:noWrap/>
                  <w:vAlign w:val="bottom"/>
                  <w:hideMark/>
                </w:tcPr>
                <w:p w14:paraId="43787027" w14:textId="77777777" w:rsidR="007F3F4E" w:rsidRDefault="007F3F4E" w:rsidP="007F3F4E">
                  <w:pPr>
                    <w:pStyle w:val="Body"/>
                  </w:pPr>
                  <w:r>
                    <w:t>Brain natriuretic peptide</w:t>
                  </w:r>
                </w:p>
              </w:tc>
            </w:tr>
            <w:tr w:rsidR="007F3F4E" w14:paraId="6BF8BFD9" w14:textId="77777777" w:rsidTr="007F3F4E">
              <w:trPr>
                <w:trHeight w:val="320"/>
              </w:trPr>
              <w:tc>
                <w:tcPr>
                  <w:tcW w:w="1739" w:type="dxa"/>
                  <w:tcBorders>
                    <w:top w:val="nil"/>
                    <w:left w:val="nil"/>
                    <w:bottom w:val="nil"/>
                    <w:right w:val="nil"/>
                  </w:tcBorders>
                  <w:shd w:val="clear" w:color="auto" w:fill="auto"/>
                  <w:noWrap/>
                  <w:vAlign w:val="bottom"/>
                  <w:hideMark/>
                </w:tcPr>
                <w:p w14:paraId="288CDA8B" w14:textId="77777777" w:rsidR="007F3F4E" w:rsidRDefault="007F3F4E" w:rsidP="007F3F4E">
                  <w:pPr>
                    <w:pStyle w:val="Body"/>
                  </w:pPr>
                  <w:r>
                    <w:t>cDNA</w:t>
                  </w:r>
                </w:p>
              </w:tc>
              <w:tc>
                <w:tcPr>
                  <w:tcW w:w="6902" w:type="dxa"/>
                  <w:tcBorders>
                    <w:top w:val="nil"/>
                    <w:left w:val="nil"/>
                    <w:bottom w:val="nil"/>
                    <w:right w:val="nil"/>
                  </w:tcBorders>
                  <w:shd w:val="clear" w:color="auto" w:fill="auto"/>
                  <w:noWrap/>
                  <w:vAlign w:val="bottom"/>
                  <w:hideMark/>
                </w:tcPr>
                <w:p w14:paraId="3EA8C776" w14:textId="77777777" w:rsidR="007F3F4E" w:rsidRDefault="007F3F4E" w:rsidP="007F3F4E">
                  <w:pPr>
                    <w:pStyle w:val="Body"/>
                  </w:pPr>
                  <w:r>
                    <w:t>Complementary deoxyribonucleic acid</w:t>
                  </w:r>
                </w:p>
              </w:tc>
            </w:tr>
            <w:tr w:rsidR="0034375A" w14:paraId="4A829377" w14:textId="77777777" w:rsidTr="007F3F4E">
              <w:trPr>
                <w:trHeight w:val="320"/>
              </w:trPr>
              <w:tc>
                <w:tcPr>
                  <w:tcW w:w="1739" w:type="dxa"/>
                  <w:tcBorders>
                    <w:top w:val="nil"/>
                    <w:left w:val="nil"/>
                    <w:bottom w:val="nil"/>
                    <w:right w:val="nil"/>
                  </w:tcBorders>
                  <w:shd w:val="clear" w:color="auto" w:fill="auto"/>
                  <w:noWrap/>
                  <w:vAlign w:val="bottom"/>
                </w:tcPr>
                <w:p w14:paraId="0B703F32" w14:textId="19F8E2A8" w:rsidR="0034375A" w:rsidRDefault="0034375A" w:rsidP="007F3F4E">
                  <w:pPr>
                    <w:pStyle w:val="Body"/>
                  </w:pPr>
                  <w:r>
                    <w:t>CF</w:t>
                  </w:r>
                </w:p>
              </w:tc>
              <w:tc>
                <w:tcPr>
                  <w:tcW w:w="6902" w:type="dxa"/>
                  <w:tcBorders>
                    <w:top w:val="nil"/>
                    <w:left w:val="nil"/>
                    <w:bottom w:val="nil"/>
                    <w:right w:val="nil"/>
                  </w:tcBorders>
                  <w:shd w:val="clear" w:color="auto" w:fill="auto"/>
                  <w:noWrap/>
                  <w:vAlign w:val="bottom"/>
                </w:tcPr>
                <w:p w14:paraId="6C350EB8" w14:textId="52F74C33" w:rsidR="0034375A" w:rsidRDefault="0034375A" w:rsidP="007F3F4E">
                  <w:pPr>
                    <w:pStyle w:val="Body"/>
                  </w:pPr>
                  <w:r>
                    <w:t>Cystic fibrosis</w:t>
                  </w:r>
                </w:p>
              </w:tc>
            </w:tr>
            <w:tr w:rsidR="0034375A" w14:paraId="3D137D7D" w14:textId="77777777" w:rsidTr="007F3F4E">
              <w:trPr>
                <w:trHeight w:val="320"/>
              </w:trPr>
              <w:tc>
                <w:tcPr>
                  <w:tcW w:w="1739" w:type="dxa"/>
                  <w:tcBorders>
                    <w:top w:val="nil"/>
                    <w:left w:val="nil"/>
                    <w:bottom w:val="nil"/>
                    <w:right w:val="nil"/>
                  </w:tcBorders>
                  <w:shd w:val="clear" w:color="auto" w:fill="auto"/>
                  <w:noWrap/>
                  <w:vAlign w:val="bottom"/>
                </w:tcPr>
                <w:p w14:paraId="4165FCD3" w14:textId="08DEEDD3" w:rsidR="0034375A" w:rsidRDefault="0034375A" w:rsidP="007F3F4E">
                  <w:pPr>
                    <w:pStyle w:val="Body"/>
                  </w:pPr>
                  <w:r>
                    <w:t>CFTR</w:t>
                  </w:r>
                </w:p>
              </w:tc>
              <w:tc>
                <w:tcPr>
                  <w:tcW w:w="6902" w:type="dxa"/>
                  <w:tcBorders>
                    <w:top w:val="nil"/>
                    <w:left w:val="nil"/>
                    <w:bottom w:val="nil"/>
                    <w:right w:val="nil"/>
                  </w:tcBorders>
                  <w:shd w:val="clear" w:color="auto" w:fill="auto"/>
                  <w:noWrap/>
                  <w:vAlign w:val="bottom"/>
                </w:tcPr>
                <w:p w14:paraId="00A10A44" w14:textId="08567EE0" w:rsidR="0034375A" w:rsidRDefault="0034375A" w:rsidP="007F3F4E">
                  <w:pPr>
                    <w:pStyle w:val="Body"/>
                  </w:pPr>
                  <w:r>
                    <w:t>Cystic fibrosis transmembrane conductance regulator</w:t>
                  </w:r>
                </w:p>
              </w:tc>
            </w:tr>
            <w:tr w:rsidR="007F3F4E" w14:paraId="67A1A045" w14:textId="77777777" w:rsidTr="007F3F4E">
              <w:trPr>
                <w:trHeight w:val="320"/>
              </w:trPr>
              <w:tc>
                <w:tcPr>
                  <w:tcW w:w="1739" w:type="dxa"/>
                  <w:tcBorders>
                    <w:top w:val="nil"/>
                    <w:left w:val="nil"/>
                    <w:bottom w:val="nil"/>
                    <w:right w:val="nil"/>
                  </w:tcBorders>
                  <w:shd w:val="clear" w:color="auto" w:fill="auto"/>
                  <w:noWrap/>
                  <w:vAlign w:val="bottom"/>
                  <w:hideMark/>
                </w:tcPr>
                <w:p w14:paraId="40E4DAB3" w14:textId="77777777" w:rsidR="007F3F4E" w:rsidRDefault="007F3F4E" w:rsidP="007F3F4E">
                  <w:pPr>
                    <w:pStyle w:val="Body"/>
                  </w:pPr>
                  <w:r>
                    <w:t>CO</w:t>
                  </w:r>
                </w:p>
              </w:tc>
              <w:tc>
                <w:tcPr>
                  <w:tcW w:w="6902" w:type="dxa"/>
                  <w:tcBorders>
                    <w:top w:val="nil"/>
                    <w:left w:val="nil"/>
                    <w:bottom w:val="nil"/>
                    <w:right w:val="nil"/>
                  </w:tcBorders>
                  <w:shd w:val="clear" w:color="auto" w:fill="auto"/>
                  <w:noWrap/>
                  <w:vAlign w:val="bottom"/>
                  <w:hideMark/>
                </w:tcPr>
                <w:p w14:paraId="26A6CA0A" w14:textId="77777777" w:rsidR="007F3F4E" w:rsidRDefault="007F3F4E" w:rsidP="007F3F4E">
                  <w:pPr>
                    <w:pStyle w:val="Body"/>
                  </w:pPr>
                  <w:r>
                    <w:t>Carbon monoxide</w:t>
                  </w:r>
                </w:p>
              </w:tc>
            </w:tr>
            <w:tr w:rsidR="007F3F4E" w14:paraId="3A51B35C" w14:textId="77777777" w:rsidTr="007F3F4E">
              <w:trPr>
                <w:trHeight w:val="320"/>
              </w:trPr>
              <w:tc>
                <w:tcPr>
                  <w:tcW w:w="1739" w:type="dxa"/>
                  <w:tcBorders>
                    <w:top w:val="nil"/>
                    <w:left w:val="nil"/>
                    <w:bottom w:val="nil"/>
                    <w:right w:val="nil"/>
                  </w:tcBorders>
                  <w:shd w:val="clear" w:color="auto" w:fill="auto"/>
                  <w:noWrap/>
                  <w:vAlign w:val="bottom"/>
                  <w:hideMark/>
                </w:tcPr>
                <w:p w14:paraId="3E8E7193" w14:textId="77777777" w:rsidR="007F3F4E" w:rsidRDefault="007F3F4E" w:rsidP="007F3F4E">
                  <w:pPr>
                    <w:pStyle w:val="Body"/>
                  </w:pPr>
                  <w:r>
                    <w:t>CPET</w:t>
                  </w:r>
                </w:p>
              </w:tc>
              <w:tc>
                <w:tcPr>
                  <w:tcW w:w="6902" w:type="dxa"/>
                  <w:tcBorders>
                    <w:top w:val="nil"/>
                    <w:left w:val="nil"/>
                    <w:bottom w:val="nil"/>
                    <w:right w:val="nil"/>
                  </w:tcBorders>
                  <w:shd w:val="clear" w:color="auto" w:fill="auto"/>
                  <w:noWrap/>
                  <w:vAlign w:val="bottom"/>
                  <w:hideMark/>
                </w:tcPr>
                <w:p w14:paraId="79A7ED90" w14:textId="77777777" w:rsidR="007F3F4E" w:rsidRDefault="007F3F4E" w:rsidP="007F3F4E">
                  <w:pPr>
                    <w:pStyle w:val="Body"/>
                  </w:pPr>
                  <w:proofErr w:type="gramStart"/>
                  <w:r>
                    <w:t>Cardio pulmonary</w:t>
                  </w:r>
                  <w:proofErr w:type="gramEnd"/>
                  <w:r>
                    <w:t xml:space="preserve"> exercise testing</w:t>
                  </w:r>
                </w:p>
              </w:tc>
            </w:tr>
            <w:tr w:rsidR="007F3F4E" w14:paraId="6CA798E2" w14:textId="77777777" w:rsidTr="007F3F4E">
              <w:trPr>
                <w:trHeight w:val="320"/>
              </w:trPr>
              <w:tc>
                <w:tcPr>
                  <w:tcW w:w="1739" w:type="dxa"/>
                  <w:tcBorders>
                    <w:top w:val="nil"/>
                    <w:left w:val="nil"/>
                    <w:bottom w:val="nil"/>
                    <w:right w:val="nil"/>
                  </w:tcBorders>
                  <w:shd w:val="clear" w:color="auto" w:fill="auto"/>
                  <w:noWrap/>
                  <w:vAlign w:val="bottom"/>
                  <w:hideMark/>
                </w:tcPr>
                <w:p w14:paraId="6B5AA89C" w14:textId="77777777" w:rsidR="007F3F4E" w:rsidRDefault="007F3F4E" w:rsidP="007F3F4E">
                  <w:pPr>
                    <w:pStyle w:val="Body"/>
                  </w:pPr>
                  <w:r>
                    <w:t>CT</w:t>
                  </w:r>
                </w:p>
              </w:tc>
              <w:tc>
                <w:tcPr>
                  <w:tcW w:w="6902" w:type="dxa"/>
                  <w:tcBorders>
                    <w:top w:val="nil"/>
                    <w:left w:val="nil"/>
                    <w:bottom w:val="nil"/>
                    <w:right w:val="nil"/>
                  </w:tcBorders>
                  <w:shd w:val="clear" w:color="auto" w:fill="auto"/>
                  <w:noWrap/>
                  <w:vAlign w:val="bottom"/>
                  <w:hideMark/>
                </w:tcPr>
                <w:p w14:paraId="100360DC" w14:textId="77777777" w:rsidR="007F3F4E" w:rsidRDefault="007F3F4E" w:rsidP="007F3F4E">
                  <w:pPr>
                    <w:pStyle w:val="Body"/>
                  </w:pPr>
                  <w:r>
                    <w:t>Computed tomography</w:t>
                  </w:r>
                </w:p>
              </w:tc>
            </w:tr>
            <w:tr w:rsidR="007F3F4E" w14:paraId="591AC8E8" w14:textId="77777777" w:rsidTr="007F3F4E">
              <w:trPr>
                <w:trHeight w:val="320"/>
              </w:trPr>
              <w:tc>
                <w:tcPr>
                  <w:tcW w:w="1739" w:type="dxa"/>
                  <w:tcBorders>
                    <w:top w:val="nil"/>
                    <w:left w:val="nil"/>
                    <w:bottom w:val="nil"/>
                    <w:right w:val="nil"/>
                  </w:tcBorders>
                  <w:shd w:val="clear" w:color="auto" w:fill="auto"/>
                  <w:noWrap/>
                  <w:vAlign w:val="bottom"/>
                  <w:hideMark/>
                </w:tcPr>
                <w:p w14:paraId="74A10272" w14:textId="77777777" w:rsidR="007F3F4E" w:rsidRDefault="007F3F4E" w:rsidP="007F3F4E">
                  <w:pPr>
                    <w:pStyle w:val="Body"/>
                  </w:pPr>
                  <w:r>
                    <w:t>DLCO</w:t>
                  </w:r>
                </w:p>
              </w:tc>
              <w:tc>
                <w:tcPr>
                  <w:tcW w:w="6902" w:type="dxa"/>
                  <w:tcBorders>
                    <w:top w:val="nil"/>
                    <w:left w:val="nil"/>
                    <w:bottom w:val="nil"/>
                    <w:right w:val="nil"/>
                  </w:tcBorders>
                  <w:shd w:val="clear" w:color="auto" w:fill="auto"/>
                  <w:noWrap/>
                  <w:vAlign w:val="bottom"/>
                  <w:hideMark/>
                </w:tcPr>
                <w:p w14:paraId="5FE7C26D" w14:textId="77777777" w:rsidR="007F3F4E" w:rsidRDefault="007F3F4E" w:rsidP="007F3F4E">
                  <w:pPr>
                    <w:pStyle w:val="Body"/>
                  </w:pPr>
                  <w:r>
                    <w:t>Diffusing capacity of the lungs for carbon monoxide</w:t>
                  </w:r>
                </w:p>
              </w:tc>
            </w:tr>
            <w:tr w:rsidR="00E05F03" w14:paraId="72CEA9F8" w14:textId="77777777" w:rsidTr="007F3F4E">
              <w:trPr>
                <w:trHeight w:val="320"/>
              </w:trPr>
              <w:tc>
                <w:tcPr>
                  <w:tcW w:w="1739" w:type="dxa"/>
                  <w:tcBorders>
                    <w:top w:val="nil"/>
                    <w:left w:val="nil"/>
                    <w:bottom w:val="nil"/>
                    <w:right w:val="nil"/>
                  </w:tcBorders>
                  <w:shd w:val="clear" w:color="auto" w:fill="auto"/>
                  <w:noWrap/>
                  <w:vAlign w:val="bottom"/>
                </w:tcPr>
                <w:p w14:paraId="10DBAA27" w14:textId="7D61233E" w:rsidR="00E05F03" w:rsidRDefault="00E05F03" w:rsidP="007F3F4E">
                  <w:pPr>
                    <w:pStyle w:val="Body"/>
                  </w:pPr>
                  <w:proofErr w:type="spellStart"/>
                  <w:r>
                    <w:t>eNOS</w:t>
                  </w:r>
                  <w:proofErr w:type="spellEnd"/>
                </w:p>
              </w:tc>
              <w:tc>
                <w:tcPr>
                  <w:tcW w:w="6902" w:type="dxa"/>
                  <w:tcBorders>
                    <w:top w:val="nil"/>
                    <w:left w:val="nil"/>
                    <w:bottom w:val="nil"/>
                    <w:right w:val="nil"/>
                  </w:tcBorders>
                  <w:shd w:val="clear" w:color="auto" w:fill="auto"/>
                  <w:noWrap/>
                  <w:vAlign w:val="bottom"/>
                </w:tcPr>
                <w:p w14:paraId="561B5D14" w14:textId="25F302EA" w:rsidR="00E05F03" w:rsidRDefault="00E05F03" w:rsidP="007F3F4E">
                  <w:pPr>
                    <w:pStyle w:val="Body"/>
                  </w:pPr>
                  <w:r>
                    <w:t>Endothelial nitric oxide</w:t>
                  </w:r>
                </w:p>
              </w:tc>
            </w:tr>
            <w:tr w:rsidR="007F3F4E" w14:paraId="3895A006" w14:textId="77777777" w:rsidTr="007F3F4E">
              <w:trPr>
                <w:trHeight w:val="320"/>
              </w:trPr>
              <w:tc>
                <w:tcPr>
                  <w:tcW w:w="1739" w:type="dxa"/>
                  <w:tcBorders>
                    <w:top w:val="nil"/>
                    <w:left w:val="nil"/>
                    <w:bottom w:val="nil"/>
                    <w:right w:val="nil"/>
                  </w:tcBorders>
                  <w:shd w:val="clear" w:color="auto" w:fill="auto"/>
                  <w:noWrap/>
                  <w:vAlign w:val="bottom"/>
                  <w:hideMark/>
                </w:tcPr>
                <w:p w14:paraId="739A490A" w14:textId="77777777" w:rsidR="007F3F4E" w:rsidRDefault="007F3F4E" w:rsidP="007F3F4E">
                  <w:pPr>
                    <w:pStyle w:val="Body"/>
                  </w:pPr>
                  <w:proofErr w:type="spellStart"/>
                  <w:r>
                    <w:t>ePH</w:t>
                  </w:r>
                  <w:proofErr w:type="spellEnd"/>
                </w:p>
              </w:tc>
              <w:tc>
                <w:tcPr>
                  <w:tcW w:w="6902" w:type="dxa"/>
                  <w:tcBorders>
                    <w:top w:val="nil"/>
                    <w:left w:val="nil"/>
                    <w:bottom w:val="nil"/>
                    <w:right w:val="nil"/>
                  </w:tcBorders>
                  <w:shd w:val="clear" w:color="auto" w:fill="auto"/>
                  <w:noWrap/>
                  <w:vAlign w:val="bottom"/>
                  <w:hideMark/>
                </w:tcPr>
                <w:p w14:paraId="00F0FFE5" w14:textId="6F9D4FC5" w:rsidR="007F3F4E" w:rsidRDefault="000F6B60" w:rsidP="007F3F4E">
                  <w:pPr>
                    <w:pStyle w:val="Body"/>
                  </w:pPr>
                  <w:r>
                    <w:t>E</w:t>
                  </w:r>
                  <w:r w:rsidR="007F3F4E">
                    <w:t>xercise induced pulmonary hypertension</w:t>
                  </w:r>
                </w:p>
              </w:tc>
            </w:tr>
            <w:tr w:rsidR="007F3F4E" w14:paraId="4357F179" w14:textId="77777777" w:rsidTr="007F3F4E">
              <w:trPr>
                <w:trHeight w:val="320"/>
              </w:trPr>
              <w:tc>
                <w:tcPr>
                  <w:tcW w:w="1739" w:type="dxa"/>
                  <w:tcBorders>
                    <w:top w:val="nil"/>
                    <w:left w:val="nil"/>
                    <w:bottom w:val="nil"/>
                    <w:right w:val="nil"/>
                  </w:tcBorders>
                  <w:shd w:val="clear" w:color="auto" w:fill="auto"/>
                  <w:noWrap/>
                  <w:vAlign w:val="bottom"/>
                  <w:hideMark/>
                </w:tcPr>
                <w:p w14:paraId="5F28E9FC" w14:textId="77777777" w:rsidR="007F3F4E" w:rsidRDefault="007F3F4E" w:rsidP="007F3F4E">
                  <w:pPr>
                    <w:pStyle w:val="Body"/>
                  </w:pPr>
                  <w:r>
                    <w:t>FN</w:t>
                  </w:r>
                </w:p>
              </w:tc>
              <w:tc>
                <w:tcPr>
                  <w:tcW w:w="6902" w:type="dxa"/>
                  <w:tcBorders>
                    <w:top w:val="nil"/>
                    <w:left w:val="nil"/>
                    <w:bottom w:val="nil"/>
                    <w:right w:val="nil"/>
                  </w:tcBorders>
                  <w:shd w:val="clear" w:color="auto" w:fill="auto"/>
                  <w:noWrap/>
                  <w:vAlign w:val="bottom"/>
                  <w:hideMark/>
                </w:tcPr>
                <w:p w14:paraId="3FA54BC1" w14:textId="77777777" w:rsidR="007F3F4E" w:rsidRDefault="007F3F4E" w:rsidP="007F3F4E">
                  <w:pPr>
                    <w:pStyle w:val="Body"/>
                  </w:pPr>
                  <w:r>
                    <w:t>False negative</w:t>
                  </w:r>
                </w:p>
              </w:tc>
            </w:tr>
            <w:tr w:rsidR="007F3F4E" w14:paraId="165E7FA6" w14:textId="77777777" w:rsidTr="007F3F4E">
              <w:trPr>
                <w:trHeight w:val="320"/>
              </w:trPr>
              <w:tc>
                <w:tcPr>
                  <w:tcW w:w="1739" w:type="dxa"/>
                  <w:tcBorders>
                    <w:top w:val="nil"/>
                    <w:left w:val="nil"/>
                    <w:bottom w:val="nil"/>
                    <w:right w:val="nil"/>
                  </w:tcBorders>
                  <w:shd w:val="clear" w:color="auto" w:fill="auto"/>
                  <w:noWrap/>
                  <w:vAlign w:val="bottom"/>
                  <w:hideMark/>
                </w:tcPr>
                <w:p w14:paraId="1FD777F1" w14:textId="77777777" w:rsidR="007F3F4E" w:rsidRDefault="007F3F4E" w:rsidP="007F3F4E">
                  <w:pPr>
                    <w:pStyle w:val="Body"/>
                  </w:pPr>
                  <w:r>
                    <w:lastRenderedPageBreak/>
                    <w:t>FP</w:t>
                  </w:r>
                </w:p>
              </w:tc>
              <w:tc>
                <w:tcPr>
                  <w:tcW w:w="6902" w:type="dxa"/>
                  <w:tcBorders>
                    <w:top w:val="nil"/>
                    <w:left w:val="nil"/>
                    <w:bottom w:val="nil"/>
                    <w:right w:val="nil"/>
                  </w:tcBorders>
                  <w:shd w:val="clear" w:color="auto" w:fill="auto"/>
                  <w:noWrap/>
                  <w:vAlign w:val="bottom"/>
                  <w:hideMark/>
                </w:tcPr>
                <w:p w14:paraId="282108E2" w14:textId="77777777" w:rsidR="007F3F4E" w:rsidRDefault="007F3F4E" w:rsidP="007F3F4E">
                  <w:pPr>
                    <w:pStyle w:val="Body"/>
                  </w:pPr>
                  <w:r>
                    <w:t>False positive</w:t>
                  </w:r>
                </w:p>
              </w:tc>
            </w:tr>
            <w:tr w:rsidR="006C04BA" w14:paraId="57E20BA7" w14:textId="77777777" w:rsidTr="007F3F4E">
              <w:trPr>
                <w:trHeight w:val="320"/>
              </w:trPr>
              <w:tc>
                <w:tcPr>
                  <w:tcW w:w="1739" w:type="dxa"/>
                  <w:tcBorders>
                    <w:top w:val="nil"/>
                    <w:left w:val="nil"/>
                    <w:bottom w:val="nil"/>
                    <w:right w:val="nil"/>
                  </w:tcBorders>
                  <w:shd w:val="clear" w:color="auto" w:fill="auto"/>
                  <w:noWrap/>
                  <w:vAlign w:val="bottom"/>
                </w:tcPr>
                <w:p w14:paraId="5D596B7F" w14:textId="627F7C96" w:rsidR="006C04BA" w:rsidRDefault="006C04BA" w:rsidP="007F3F4E">
                  <w:pPr>
                    <w:pStyle w:val="Body"/>
                  </w:pPr>
                  <w:r>
                    <w:t>FTLD</w:t>
                  </w:r>
                </w:p>
              </w:tc>
              <w:tc>
                <w:tcPr>
                  <w:tcW w:w="6902" w:type="dxa"/>
                  <w:tcBorders>
                    <w:top w:val="nil"/>
                    <w:left w:val="nil"/>
                    <w:bottom w:val="nil"/>
                    <w:right w:val="nil"/>
                  </w:tcBorders>
                  <w:shd w:val="clear" w:color="auto" w:fill="auto"/>
                  <w:noWrap/>
                  <w:vAlign w:val="bottom"/>
                </w:tcPr>
                <w:p w14:paraId="4A7DD1AF" w14:textId="62DB7C02" w:rsidR="006C04BA" w:rsidRDefault="006C04BA" w:rsidP="007F3F4E">
                  <w:pPr>
                    <w:pStyle w:val="Body"/>
                  </w:pPr>
                  <w:r>
                    <w:t>Frontotemporal lobar degeneration</w:t>
                  </w:r>
                </w:p>
              </w:tc>
            </w:tr>
            <w:tr w:rsidR="007F3F4E" w14:paraId="45229BEA" w14:textId="77777777" w:rsidTr="007F3F4E">
              <w:trPr>
                <w:trHeight w:val="320"/>
              </w:trPr>
              <w:tc>
                <w:tcPr>
                  <w:tcW w:w="1739" w:type="dxa"/>
                  <w:tcBorders>
                    <w:top w:val="nil"/>
                    <w:left w:val="nil"/>
                    <w:bottom w:val="nil"/>
                    <w:right w:val="nil"/>
                  </w:tcBorders>
                  <w:shd w:val="clear" w:color="auto" w:fill="auto"/>
                  <w:noWrap/>
                  <w:vAlign w:val="bottom"/>
                  <w:hideMark/>
                </w:tcPr>
                <w:p w14:paraId="4253C9F6" w14:textId="77777777" w:rsidR="007F3F4E" w:rsidRDefault="007F3F4E" w:rsidP="007F3F4E">
                  <w:pPr>
                    <w:pStyle w:val="Body"/>
                  </w:pPr>
                  <w:r>
                    <w:t>g</w:t>
                  </w:r>
                </w:p>
              </w:tc>
              <w:tc>
                <w:tcPr>
                  <w:tcW w:w="6902" w:type="dxa"/>
                  <w:tcBorders>
                    <w:top w:val="nil"/>
                    <w:left w:val="nil"/>
                    <w:bottom w:val="nil"/>
                    <w:right w:val="nil"/>
                  </w:tcBorders>
                  <w:shd w:val="clear" w:color="auto" w:fill="auto"/>
                  <w:noWrap/>
                  <w:vAlign w:val="bottom"/>
                  <w:hideMark/>
                </w:tcPr>
                <w:p w14:paraId="2377C739" w14:textId="7E2866CB" w:rsidR="007F3F4E" w:rsidRDefault="000F6B60" w:rsidP="007F3F4E">
                  <w:pPr>
                    <w:pStyle w:val="Body"/>
                  </w:pPr>
                  <w:r>
                    <w:t>G</w:t>
                  </w:r>
                  <w:r w:rsidR="007F3F4E">
                    <w:t>ravity</w:t>
                  </w:r>
                </w:p>
              </w:tc>
            </w:tr>
            <w:tr w:rsidR="007F3F4E" w14:paraId="2949F436" w14:textId="77777777" w:rsidTr="007F3F4E">
              <w:trPr>
                <w:trHeight w:val="320"/>
              </w:trPr>
              <w:tc>
                <w:tcPr>
                  <w:tcW w:w="1739" w:type="dxa"/>
                  <w:tcBorders>
                    <w:top w:val="nil"/>
                    <w:left w:val="nil"/>
                    <w:bottom w:val="nil"/>
                    <w:right w:val="nil"/>
                  </w:tcBorders>
                  <w:shd w:val="clear" w:color="auto" w:fill="auto"/>
                  <w:noWrap/>
                  <w:vAlign w:val="bottom"/>
                  <w:hideMark/>
                </w:tcPr>
                <w:p w14:paraId="5BC4416A" w14:textId="77777777" w:rsidR="007F3F4E" w:rsidRDefault="007F3F4E" w:rsidP="007F3F4E">
                  <w:pPr>
                    <w:pStyle w:val="Body"/>
                  </w:pPr>
                  <w:r>
                    <w:t>ILD</w:t>
                  </w:r>
                </w:p>
              </w:tc>
              <w:tc>
                <w:tcPr>
                  <w:tcW w:w="6902" w:type="dxa"/>
                  <w:tcBorders>
                    <w:top w:val="nil"/>
                    <w:left w:val="nil"/>
                    <w:bottom w:val="nil"/>
                    <w:right w:val="nil"/>
                  </w:tcBorders>
                  <w:shd w:val="clear" w:color="auto" w:fill="auto"/>
                  <w:noWrap/>
                  <w:vAlign w:val="bottom"/>
                  <w:hideMark/>
                </w:tcPr>
                <w:p w14:paraId="130E5E72" w14:textId="77777777" w:rsidR="007F3F4E" w:rsidRDefault="007F3F4E" w:rsidP="007F3F4E">
                  <w:pPr>
                    <w:pStyle w:val="Body"/>
                  </w:pPr>
                  <w:r>
                    <w:t>Interstitial lung disease</w:t>
                  </w:r>
                </w:p>
              </w:tc>
            </w:tr>
            <w:tr w:rsidR="007F3F4E" w14:paraId="67574473" w14:textId="77777777" w:rsidTr="007F3F4E">
              <w:trPr>
                <w:trHeight w:val="320"/>
              </w:trPr>
              <w:tc>
                <w:tcPr>
                  <w:tcW w:w="1739" w:type="dxa"/>
                  <w:tcBorders>
                    <w:top w:val="nil"/>
                    <w:left w:val="nil"/>
                    <w:bottom w:val="nil"/>
                    <w:right w:val="nil"/>
                  </w:tcBorders>
                  <w:shd w:val="clear" w:color="auto" w:fill="auto"/>
                  <w:noWrap/>
                  <w:vAlign w:val="bottom"/>
                  <w:hideMark/>
                </w:tcPr>
                <w:p w14:paraId="152A8952" w14:textId="77777777" w:rsidR="007F3F4E" w:rsidRDefault="007F3F4E" w:rsidP="007F3F4E">
                  <w:pPr>
                    <w:pStyle w:val="Body"/>
                  </w:pPr>
                  <w:r>
                    <w:t>IPAH</w:t>
                  </w:r>
                </w:p>
              </w:tc>
              <w:tc>
                <w:tcPr>
                  <w:tcW w:w="6902" w:type="dxa"/>
                  <w:tcBorders>
                    <w:top w:val="nil"/>
                    <w:left w:val="nil"/>
                    <w:bottom w:val="nil"/>
                    <w:right w:val="nil"/>
                  </w:tcBorders>
                  <w:shd w:val="clear" w:color="auto" w:fill="auto"/>
                  <w:noWrap/>
                  <w:vAlign w:val="bottom"/>
                  <w:hideMark/>
                </w:tcPr>
                <w:p w14:paraId="1BE2D021" w14:textId="77777777" w:rsidR="007F3F4E" w:rsidRDefault="007F3F4E" w:rsidP="007F3F4E">
                  <w:pPr>
                    <w:pStyle w:val="Body"/>
                  </w:pPr>
                  <w:r>
                    <w:t>Idiopathic pulmonary arterial hypertension</w:t>
                  </w:r>
                </w:p>
              </w:tc>
            </w:tr>
            <w:tr w:rsidR="007F3F4E" w14:paraId="3559E77B" w14:textId="77777777" w:rsidTr="007F3F4E">
              <w:trPr>
                <w:trHeight w:val="320"/>
              </w:trPr>
              <w:tc>
                <w:tcPr>
                  <w:tcW w:w="1739" w:type="dxa"/>
                  <w:tcBorders>
                    <w:top w:val="nil"/>
                    <w:left w:val="nil"/>
                    <w:bottom w:val="nil"/>
                    <w:right w:val="nil"/>
                  </w:tcBorders>
                  <w:shd w:val="clear" w:color="auto" w:fill="auto"/>
                  <w:noWrap/>
                  <w:vAlign w:val="bottom"/>
                  <w:hideMark/>
                </w:tcPr>
                <w:p w14:paraId="19E9CE0A" w14:textId="77777777" w:rsidR="007F3F4E" w:rsidRDefault="007F3F4E" w:rsidP="007F3F4E">
                  <w:pPr>
                    <w:pStyle w:val="Body"/>
                  </w:pPr>
                  <w:r>
                    <w:t>ISWT</w:t>
                  </w:r>
                </w:p>
              </w:tc>
              <w:tc>
                <w:tcPr>
                  <w:tcW w:w="6902" w:type="dxa"/>
                  <w:tcBorders>
                    <w:top w:val="nil"/>
                    <w:left w:val="nil"/>
                    <w:bottom w:val="nil"/>
                    <w:right w:val="nil"/>
                  </w:tcBorders>
                  <w:shd w:val="clear" w:color="auto" w:fill="auto"/>
                  <w:noWrap/>
                  <w:vAlign w:val="bottom"/>
                  <w:hideMark/>
                </w:tcPr>
                <w:p w14:paraId="39921C71" w14:textId="77777777" w:rsidR="007F3F4E" w:rsidRDefault="007F3F4E" w:rsidP="007F3F4E">
                  <w:pPr>
                    <w:pStyle w:val="Body"/>
                  </w:pPr>
                  <w:r>
                    <w:t xml:space="preserve">Incremental </w:t>
                  </w:r>
                  <w:proofErr w:type="gramStart"/>
                  <w:r>
                    <w:t>shuttle</w:t>
                  </w:r>
                  <w:proofErr w:type="gramEnd"/>
                  <w:r>
                    <w:t xml:space="preserve"> walk test</w:t>
                  </w:r>
                </w:p>
              </w:tc>
            </w:tr>
            <w:tr w:rsidR="007F3F4E" w14:paraId="61D10FC2" w14:textId="77777777" w:rsidTr="007F3F4E">
              <w:trPr>
                <w:trHeight w:val="320"/>
              </w:trPr>
              <w:tc>
                <w:tcPr>
                  <w:tcW w:w="1739" w:type="dxa"/>
                  <w:tcBorders>
                    <w:top w:val="nil"/>
                    <w:left w:val="nil"/>
                    <w:bottom w:val="nil"/>
                    <w:right w:val="nil"/>
                  </w:tcBorders>
                  <w:shd w:val="clear" w:color="auto" w:fill="auto"/>
                  <w:noWrap/>
                  <w:vAlign w:val="bottom"/>
                  <w:hideMark/>
                </w:tcPr>
                <w:p w14:paraId="551217A6" w14:textId="77777777" w:rsidR="007F3F4E" w:rsidRDefault="007F3F4E" w:rsidP="007F3F4E">
                  <w:pPr>
                    <w:pStyle w:val="Body"/>
                  </w:pPr>
                  <w:r>
                    <w:t>LASSO</w:t>
                  </w:r>
                </w:p>
              </w:tc>
              <w:tc>
                <w:tcPr>
                  <w:tcW w:w="6902" w:type="dxa"/>
                  <w:tcBorders>
                    <w:top w:val="nil"/>
                    <w:left w:val="nil"/>
                    <w:bottom w:val="nil"/>
                    <w:right w:val="nil"/>
                  </w:tcBorders>
                  <w:shd w:val="clear" w:color="auto" w:fill="auto"/>
                  <w:noWrap/>
                  <w:vAlign w:val="bottom"/>
                  <w:hideMark/>
                </w:tcPr>
                <w:p w14:paraId="32221D76" w14:textId="65B16A11" w:rsidR="007F3F4E" w:rsidRDefault="000F6B60" w:rsidP="007F3F4E">
                  <w:pPr>
                    <w:pStyle w:val="Body"/>
                  </w:pPr>
                  <w:r>
                    <w:t>L</w:t>
                  </w:r>
                  <w:r w:rsidR="007F3F4E">
                    <w:t>east absolute shrinkage and selection operator</w:t>
                  </w:r>
                </w:p>
              </w:tc>
            </w:tr>
            <w:tr w:rsidR="007F3F4E" w14:paraId="5386D6DD" w14:textId="77777777" w:rsidTr="007F3F4E">
              <w:trPr>
                <w:trHeight w:val="320"/>
              </w:trPr>
              <w:tc>
                <w:tcPr>
                  <w:tcW w:w="1739" w:type="dxa"/>
                  <w:tcBorders>
                    <w:top w:val="nil"/>
                    <w:left w:val="nil"/>
                    <w:bottom w:val="nil"/>
                    <w:right w:val="nil"/>
                  </w:tcBorders>
                  <w:shd w:val="clear" w:color="auto" w:fill="auto"/>
                  <w:noWrap/>
                  <w:vAlign w:val="bottom"/>
                  <w:hideMark/>
                </w:tcPr>
                <w:p w14:paraId="2C5661CA" w14:textId="77777777" w:rsidR="007F3F4E" w:rsidRDefault="007F3F4E" w:rsidP="007F3F4E">
                  <w:pPr>
                    <w:pStyle w:val="Body"/>
                  </w:pPr>
                  <w:r>
                    <w:t>LIMMA</w:t>
                  </w:r>
                </w:p>
              </w:tc>
              <w:tc>
                <w:tcPr>
                  <w:tcW w:w="6902" w:type="dxa"/>
                  <w:tcBorders>
                    <w:top w:val="nil"/>
                    <w:left w:val="nil"/>
                    <w:bottom w:val="nil"/>
                    <w:right w:val="nil"/>
                  </w:tcBorders>
                  <w:shd w:val="clear" w:color="auto" w:fill="auto"/>
                  <w:noWrap/>
                  <w:vAlign w:val="bottom"/>
                  <w:hideMark/>
                </w:tcPr>
                <w:p w14:paraId="08F253D5" w14:textId="77777777" w:rsidR="007F3F4E" w:rsidRDefault="007F3F4E" w:rsidP="007F3F4E">
                  <w:pPr>
                    <w:pStyle w:val="Body"/>
                  </w:pPr>
                  <w:r>
                    <w:t>Linear models for microarray analysis</w:t>
                  </w:r>
                </w:p>
              </w:tc>
            </w:tr>
            <w:tr w:rsidR="007F3F4E" w14:paraId="068E4EE9" w14:textId="77777777" w:rsidTr="007F3F4E">
              <w:trPr>
                <w:trHeight w:val="320"/>
              </w:trPr>
              <w:tc>
                <w:tcPr>
                  <w:tcW w:w="1739" w:type="dxa"/>
                  <w:tcBorders>
                    <w:top w:val="nil"/>
                    <w:left w:val="nil"/>
                    <w:bottom w:val="nil"/>
                    <w:right w:val="nil"/>
                  </w:tcBorders>
                  <w:shd w:val="clear" w:color="auto" w:fill="auto"/>
                  <w:noWrap/>
                  <w:vAlign w:val="bottom"/>
                  <w:hideMark/>
                </w:tcPr>
                <w:p w14:paraId="76EDB6DF" w14:textId="77777777" w:rsidR="007F3F4E" w:rsidRDefault="007F3F4E" w:rsidP="007F3F4E">
                  <w:pPr>
                    <w:pStyle w:val="Body"/>
                  </w:pPr>
                  <w:r>
                    <w:t>LNA</w:t>
                  </w:r>
                </w:p>
              </w:tc>
              <w:tc>
                <w:tcPr>
                  <w:tcW w:w="6902" w:type="dxa"/>
                  <w:tcBorders>
                    <w:top w:val="nil"/>
                    <w:left w:val="nil"/>
                    <w:bottom w:val="nil"/>
                    <w:right w:val="nil"/>
                  </w:tcBorders>
                  <w:shd w:val="clear" w:color="auto" w:fill="auto"/>
                  <w:noWrap/>
                  <w:vAlign w:val="bottom"/>
                  <w:hideMark/>
                </w:tcPr>
                <w:p w14:paraId="188D7A02" w14:textId="77777777" w:rsidR="007F3F4E" w:rsidRDefault="007F3F4E" w:rsidP="007F3F4E">
                  <w:pPr>
                    <w:pStyle w:val="Body"/>
                  </w:pPr>
                  <w:r>
                    <w:t>Locked nucleic acid</w:t>
                  </w:r>
                </w:p>
              </w:tc>
            </w:tr>
            <w:tr w:rsidR="007F3F4E" w14:paraId="46EBADB2" w14:textId="77777777" w:rsidTr="007F3F4E">
              <w:trPr>
                <w:trHeight w:val="320"/>
              </w:trPr>
              <w:tc>
                <w:tcPr>
                  <w:tcW w:w="1739" w:type="dxa"/>
                  <w:tcBorders>
                    <w:top w:val="nil"/>
                    <w:left w:val="nil"/>
                    <w:bottom w:val="nil"/>
                    <w:right w:val="nil"/>
                  </w:tcBorders>
                  <w:shd w:val="clear" w:color="auto" w:fill="auto"/>
                  <w:noWrap/>
                  <w:vAlign w:val="bottom"/>
                  <w:hideMark/>
                </w:tcPr>
                <w:p w14:paraId="1C75EC41" w14:textId="77777777" w:rsidR="007F3F4E" w:rsidRDefault="007F3F4E" w:rsidP="007F3F4E">
                  <w:pPr>
                    <w:pStyle w:val="Body"/>
                  </w:pPr>
                  <w:r>
                    <w:t>miRNA</w:t>
                  </w:r>
                </w:p>
              </w:tc>
              <w:tc>
                <w:tcPr>
                  <w:tcW w:w="6902" w:type="dxa"/>
                  <w:tcBorders>
                    <w:top w:val="nil"/>
                    <w:left w:val="nil"/>
                    <w:bottom w:val="nil"/>
                    <w:right w:val="nil"/>
                  </w:tcBorders>
                  <w:shd w:val="clear" w:color="auto" w:fill="auto"/>
                  <w:noWrap/>
                  <w:vAlign w:val="bottom"/>
                  <w:hideMark/>
                </w:tcPr>
                <w:p w14:paraId="72F54883" w14:textId="23BC2317" w:rsidR="007F3F4E" w:rsidRDefault="000F6B60" w:rsidP="007F3F4E">
                  <w:pPr>
                    <w:pStyle w:val="Body"/>
                  </w:pPr>
                  <w:r>
                    <w:t>M</w:t>
                  </w:r>
                  <w:r w:rsidR="007F3F4E">
                    <w:t>icro ribonucleic acid</w:t>
                  </w:r>
                </w:p>
              </w:tc>
            </w:tr>
            <w:tr w:rsidR="007F3F4E" w14:paraId="6FF64886" w14:textId="77777777" w:rsidTr="007F3F4E">
              <w:trPr>
                <w:trHeight w:val="320"/>
              </w:trPr>
              <w:tc>
                <w:tcPr>
                  <w:tcW w:w="1739" w:type="dxa"/>
                  <w:tcBorders>
                    <w:top w:val="nil"/>
                    <w:left w:val="nil"/>
                    <w:bottom w:val="nil"/>
                    <w:right w:val="nil"/>
                  </w:tcBorders>
                  <w:shd w:val="clear" w:color="auto" w:fill="auto"/>
                  <w:noWrap/>
                  <w:vAlign w:val="bottom"/>
                  <w:hideMark/>
                </w:tcPr>
                <w:p w14:paraId="5A7352EA" w14:textId="77777777" w:rsidR="007F3F4E" w:rsidRDefault="007F3F4E" w:rsidP="007F3F4E">
                  <w:pPr>
                    <w:pStyle w:val="Body"/>
                  </w:pPr>
                  <w:r>
                    <w:t>ml</w:t>
                  </w:r>
                </w:p>
              </w:tc>
              <w:tc>
                <w:tcPr>
                  <w:tcW w:w="6902" w:type="dxa"/>
                  <w:tcBorders>
                    <w:top w:val="nil"/>
                    <w:left w:val="nil"/>
                    <w:bottom w:val="nil"/>
                    <w:right w:val="nil"/>
                  </w:tcBorders>
                  <w:shd w:val="clear" w:color="auto" w:fill="auto"/>
                  <w:noWrap/>
                  <w:vAlign w:val="bottom"/>
                  <w:hideMark/>
                </w:tcPr>
                <w:p w14:paraId="1540BF44" w14:textId="3D71A7B8" w:rsidR="007F3F4E" w:rsidRDefault="000F6B60" w:rsidP="007F3F4E">
                  <w:pPr>
                    <w:pStyle w:val="Body"/>
                  </w:pPr>
                  <w:r>
                    <w:t>Millilitre</w:t>
                  </w:r>
                </w:p>
              </w:tc>
            </w:tr>
            <w:tr w:rsidR="006C04BA" w14:paraId="64EE7494" w14:textId="77777777" w:rsidTr="007F3F4E">
              <w:trPr>
                <w:trHeight w:val="320"/>
              </w:trPr>
              <w:tc>
                <w:tcPr>
                  <w:tcW w:w="1739" w:type="dxa"/>
                  <w:tcBorders>
                    <w:top w:val="nil"/>
                    <w:left w:val="nil"/>
                    <w:bottom w:val="nil"/>
                    <w:right w:val="nil"/>
                  </w:tcBorders>
                  <w:shd w:val="clear" w:color="auto" w:fill="auto"/>
                  <w:noWrap/>
                  <w:vAlign w:val="bottom"/>
                </w:tcPr>
                <w:p w14:paraId="6D209A81" w14:textId="4FF0F4CF" w:rsidR="006C04BA" w:rsidRDefault="006C04BA" w:rsidP="007F3F4E">
                  <w:pPr>
                    <w:pStyle w:val="Body"/>
                  </w:pPr>
                  <w:r>
                    <w:t>NAFLD</w:t>
                  </w:r>
                </w:p>
              </w:tc>
              <w:tc>
                <w:tcPr>
                  <w:tcW w:w="6902" w:type="dxa"/>
                  <w:tcBorders>
                    <w:top w:val="nil"/>
                    <w:left w:val="nil"/>
                    <w:bottom w:val="nil"/>
                    <w:right w:val="nil"/>
                  </w:tcBorders>
                  <w:shd w:val="clear" w:color="auto" w:fill="auto"/>
                  <w:noWrap/>
                  <w:vAlign w:val="bottom"/>
                </w:tcPr>
                <w:p w14:paraId="16D42DD1" w14:textId="4D3616BB" w:rsidR="006C04BA" w:rsidRDefault="006C04BA" w:rsidP="007F3F4E">
                  <w:pPr>
                    <w:pStyle w:val="Body"/>
                  </w:pPr>
                  <w:r>
                    <w:t>Non-alcoholic fatty liver disease</w:t>
                  </w:r>
                </w:p>
              </w:tc>
            </w:tr>
            <w:tr w:rsidR="006C04BA" w14:paraId="629C5ABD" w14:textId="77777777" w:rsidTr="007F3F4E">
              <w:trPr>
                <w:trHeight w:val="320"/>
              </w:trPr>
              <w:tc>
                <w:tcPr>
                  <w:tcW w:w="1739" w:type="dxa"/>
                  <w:tcBorders>
                    <w:top w:val="nil"/>
                    <w:left w:val="nil"/>
                    <w:bottom w:val="nil"/>
                    <w:right w:val="nil"/>
                  </w:tcBorders>
                  <w:shd w:val="clear" w:color="auto" w:fill="auto"/>
                  <w:noWrap/>
                  <w:vAlign w:val="bottom"/>
                </w:tcPr>
                <w:p w14:paraId="7BB747A1" w14:textId="0D13B85C" w:rsidR="006C04BA" w:rsidRDefault="006C04BA" w:rsidP="007F3F4E">
                  <w:pPr>
                    <w:pStyle w:val="Body"/>
                  </w:pPr>
                  <w:r>
                    <w:t>NASH</w:t>
                  </w:r>
                </w:p>
              </w:tc>
              <w:tc>
                <w:tcPr>
                  <w:tcW w:w="6902" w:type="dxa"/>
                  <w:tcBorders>
                    <w:top w:val="nil"/>
                    <w:left w:val="nil"/>
                    <w:bottom w:val="nil"/>
                    <w:right w:val="nil"/>
                  </w:tcBorders>
                  <w:shd w:val="clear" w:color="auto" w:fill="auto"/>
                  <w:noWrap/>
                  <w:vAlign w:val="bottom"/>
                </w:tcPr>
                <w:p w14:paraId="4143D703" w14:textId="3439B62F" w:rsidR="006C04BA" w:rsidRDefault="006C04BA" w:rsidP="007F3F4E">
                  <w:pPr>
                    <w:pStyle w:val="Body"/>
                  </w:pPr>
                  <w:r>
                    <w:t>Non-alcoholic steatohepatitis</w:t>
                  </w:r>
                </w:p>
              </w:tc>
            </w:tr>
            <w:tr w:rsidR="007F3F4E" w14:paraId="7BE03325" w14:textId="77777777" w:rsidTr="007F3F4E">
              <w:trPr>
                <w:trHeight w:val="320"/>
              </w:trPr>
              <w:tc>
                <w:tcPr>
                  <w:tcW w:w="1739" w:type="dxa"/>
                  <w:tcBorders>
                    <w:top w:val="nil"/>
                    <w:left w:val="nil"/>
                    <w:bottom w:val="nil"/>
                    <w:right w:val="nil"/>
                  </w:tcBorders>
                  <w:shd w:val="clear" w:color="auto" w:fill="auto"/>
                  <w:noWrap/>
                  <w:vAlign w:val="bottom"/>
                  <w:hideMark/>
                </w:tcPr>
                <w:p w14:paraId="56493F0E" w14:textId="77777777" w:rsidR="007F3F4E" w:rsidRDefault="007F3F4E" w:rsidP="007F3F4E">
                  <w:pPr>
                    <w:pStyle w:val="Body"/>
                  </w:pPr>
                  <w:r>
                    <w:t>NGS</w:t>
                  </w:r>
                </w:p>
              </w:tc>
              <w:tc>
                <w:tcPr>
                  <w:tcW w:w="6902" w:type="dxa"/>
                  <w:tcBorders>
                    <w:top w:val="nil"/>
                    <w:left w:val="nil"/>
                    <w:bottom w:val="nil"/>
                    <w:right w:val="nil"/>
                  </w:tcBorders>
                  <w:shd w:val="clear" w:color="auto" w:fill="auto"/>
                  <w:noWrap/>
                  <w:vAlign w:val="bottom"/>
                  <w:hideMark/>
                </w:tcPr>
                <w:p w14:paraId="5304D806" w14:textId="77777777" w:rsidR="007F3F4E" w:rsidRDefault="007F3F4E" w:rsidP="007F3F4E">
                  <w:pPr>
                    <w:pStyle w:val="Body"/>
                  </w:pPr>
                  <w:r>
                    <w:t>Next generation sequencing</w:t>
                  </w:r>
                </w:p>
              </w:tc>
            </w:tr>
            <w:tr w:rsidR="007F3F4E" w14:paraId="7F13BE63" w14:textId="77777777" w:rsidTr="007F3F4E">
              <w:trPr>
                <w:trHeight w:val="320"/>
              </w:trPr>
              <w:tc>
                <w:tcPr>
                  <w:tcW w:w="1739" w:type="dxa"/>
                  <w:tcBorders>
                    <w:top w:val="nil"/>
                    <w:left w:val="nil"/>
                    <w:bottom w:val="nil"/>
                    <w:right w:val="nil"/>
                  </w:tcBorders>
                  <w:shd w:val="clear" w:color="auto" w:fill="auto"/>
                  <w:noWrap/>
                  <w:vAlign w:val="bottom"/>
                  <w:hideMark/>
                </w:tcPr>
                <w:p w14:paraId="631711E5" w14:textId="77777777" w:rsidR="007F3F4E" w:rsidRDefault="007F3F4E" w:rsidP="007F3F4E">
                  <w:pPr>
                    <w:pStyle w:val="Body"/>
                  </w:pPr>
                  <w:r>
                    <w:t>NPV</w:t>
                  </w:r>
                </w:p>
              </w:tc>
              <w:tc>
                <w:tcPr>
                  <w:tcW w:w="6902" w:type="dxa"/>
                  <w:tcBorders>
                    <w:top w:val="nil"/>
                    <w:left w:val="nil"/>
                    <w:bottom w:val="nil"/>
                    <w:right w:val="nil"/>
                  </w:tcBorders>
                  <w:shd w:val="clear" w:color="auto" w:fill="auto"/>
                  <w:noWrap/>
                  <w:vAlign w:val="bottom"/>
                  <w:hideMark/>
                </w:tcPr>
                <w:p w14:paraId="071656FC" w14:textId="77777777" w:rsidR="007F3F4E" w:rsidRDefault="007F3F4E" w:rsidP="007F3F4E">
                  <w:pPr>
                    <w:pStyle w:val="Body"/>
                  </w:pPr>
                  <w:r>
                    <w:t>Negative predictive value</w:t>
                  </w:r>
                </w:p>
              </w:tc>
            </w:tr>
            <w:tr w:rsidR="00E05F03" w14:paraId="62A898A3" w14:textId="77777777" w:rsidTr="007F3F4E">
              <w:trPr>
                <w:trHeight w:val="320"/>
              </w:trPr>
              <w:tc>
                <w:tcPr>
                  <w:tcW w:w="1739" w:type="dxa"/>
                  <w:tcBorders>
                    <w:top w:val="nil"/>
                    <w:left w:val="nil"/>
                    <w:bottom w:val="nil"/>
                    <w:right w:val="nil"/>
                  </w:tcBorders>
                  <w:shd w:val="clear" w:color="auto" w:fill="auto"/>
                  <w:noWrap/>
                  <w:vAlign w:val="bottom"/>
                </w:tcPr>
                <w:p w14:paraId="77A634B6" w14:textId="5B58789A" w:rsidR="00E05F03" w:rsidRDefault="00E05F03" w:rsidP="007F3F4E">
                  <w:pPr>
                    <w:pStyle w:val="Body"/>
                  </w:pPr>
                  <w:r>
                    <w:t>NS</w:t>
                  </w:r>
                </w:p>
              </w:tc>
              <w:tc>
                <w:tcPr>
                  <w:tcW w:w="6902" w:type="dxa"/>
                  <w:tcBorders>
                    <w:top w:val="nil"/>
                    <w:left w:val="nil"/>
                    <w:bottom w:val="nil"/>
                    <w:right w:val="nil"/>
                  </w:tcBorders>
                  <w:shd w:val="clear" w:color="auto" w:fill="auto"/>
                  <w:noWrap/>
                  <w:vAlign w:val="bottom"/>
                </w:tcPr>
                <w:p w14:paraId="3E411AA9" w14:textId="229FE7F0" w:rsidR="00E05F03" w:rsidRDefault="00E05F03" w:rsidP="007F3F4E">
                  <w:pPr>
                    <w:pStyle w:val="Body"/>
                  </w:pPr>
                  <w:r>
                    <w:t>Non-significant</w:t>
                  </w:r>
                </w:p>
              </w:tc>
            </w:tr>
            <w:tr w:rsidR="007F3F4E" w14:paraId="4F347DEF" w14:textId="77777777" w:rsidTr="007F3F4E">
              <w:trPr>
                <w:trHeight w:val="320"/>
              </w:trPr>
              <w:tc>
                <w:tcPr>
                  <w:tcW w:w="1739" w:type="dxa"/>
                  <w:tcBorders>
                    <w:top w:val="nil"/>
                    <w:left w:val="nil"/>
                    <w:bottom w:val="nil"/>
                    <w:right w:val="nil"/>
                  </w:tcBorders>
                  <w:shd w:val="clear" w:color="auto" w:fill="auto"/>
                  <w:noWrap/>
                  <w:vAlign w:val="bottom"/>
                  <w:hideMark/>
                </w:tcPr>
                <w:p w14:paraId="337BC8B0" w14:textId="77777777" w:rsidR="007F3F4E" w:rsidRDefault="007F3F4E" w:rsidP="007F3F4E">
                  <w:pPr>
                    <w:pStyle w:val="Body"/>
                    <w:rPr>
                      <w:rFonts w:ascii="Times New Roman" w:hAnsi="Times New Roman" w:cs="Times New Roman"/>
                    </w:rPr>
                  </w:pPr>
                  <w:r>
                    <w:t>NT-</w:t>
                  </w:r>
                  <w:proofErr w:type="spellStart"/>
                  <w:r>
                    <w:t>proBNP</w:t>
                  </w:r>
                  <w:proofErr w:type="spellEnd"/>
                </w:p>
              </w:tc>
              <w:tc>
                <w:tcPr>
                  <w:tcW w:w="6902" w:type="dxa"/>
                  <w:tcBorders>
                    <w:top w:val="nil"/>
                    <w:left w:val="nil"/>
                    <w:bottom w:val="nil"/>
                    <w:right w:val="nil"/>
                  </w:tcBorders>
                  <w:shd w:val="clear" w:color="auto" w:fill="auto"/>
                  <w:noWrap/>
                  <w:vAlign w:val="bottom"/>
                  <w:hideMark/>
                </w:tcPr>
                <w:p w14:paraId="2ECED0FE" w14:textId="77777777" w:rsidR="007F3F4E" w:rsidRDefault="007F3F4E" w:rsidP="007F3F4E">
                  <w:pPr>
                    <w:pStyle w:val="Body"/>
                  </w:pPr>
                  <w:r>
                    <w:t>N-terminal pro hormone brain natriuretic peptide</w:t>
                  </w:r>
                </w:p>
              </w:tc>
            </w:tr>
            <w:tr w:rsidR="007F3F4E" w14:paraId="0BB54083" w14:textId="77777777" w:rsidTr="007F3F4E">
              <w:trPr>
                <w:trHeight w:val="320"/>
              </w:trPr>
              <w:tc>
                <w:tcPr>
                  <w:tcW w:w="1739" w:type="dxa"/>
                  <w:tcBorders>
                    <w:top w:val="nil"/>
                    <w:left w:val="nil"/>
                    <w:bottom w:val="nil"/>
                    <w:right w:val="nil"/>
                  </w:tcBorders>
                  <w:shd w:val="clear" w:color="auto" w:fill="auto"/>
                  <w:noWrap/>
                  <w:vAlign w:val="bottom"/>
                  <w:hideMark/>
                </w:tcPr>
                <w:p w14:paraId="2BD0159D" w14:textId="77777777" w:rsidR="007F3F4E" w:rsidRDefault="007F3F4E" w:rsidP="007F3F4E">
                  <w:pPr>
                    <w:pStyle w:val="Body"/>
                  </w:pPr>
                  <w:r>
                    <w:lastRenderedPageBreak/>
                    <w:t>NTC</w:t>
                  </w:r>
                </w:p>
              </w:tc>
              <w:tc>
                <w:tcPr>
                  <w:tcW w:w="6902" w:type="dxa"/>
                  <w:tcBorders>
                    <w:top w:val="nil"/>
                    <w:left w:val="nil"/>
                    <w:bottom w:val="nil"/>
                    <w:right w:val="nil"/>
                  </w:tcBorders>
                  <w:shd w:val="clear" w:color="auto" w:fill="auto"/>
                  <w:noWrap/>
                  <w:vAlign w:val="bottom"/>
                  <w:hideMark/>
                </w:tcPr>
                <w:p w14:paraId="68D9EF11" w14:textId="5ECFC8B3" w:rsidR="007F3F4E" w:rsidRDefault="007F3F4E" w:rsidP="007F3F4E">
                  <w:pPr>
                    <w:pStyle w:val="Body"/>
                  </w:pPr>
                  <w:r>
                    <w:t>Non</w:t>
                  </w:r>
                  <w:r w:rsidR="000F6B60">
                    <w:t>-</w:t>
                  </w:r>
                  <w:r>
                    <w:t>template control</w:t>
                  </w:r>
                </w:p>
              </w:tc>
            </w:tr>
            <w:tr w:rsidR="007F3F4E" w14:paraId="1D5DCCF5" w14:textId="77777777" w:rsidTr="007F3F4E">
              <w:trPr>
                <w:trHeight w:val="320"/>
              </w:trPr>
              <w:tc>
                <w:tcPr>
                  <w:tcW w:w="1739" w:type="dxa"/>
                  <w:tcBorders>
                    <w:top w:val="nil"/>
                    <w:left w:val="nil"/>
                    <w:bottom w:val="nil"/>
                    <w:right w:val="nil"/>
                  </w:tcBorders>
                  <w:shd w:val="clear" w:color="auto" w:fill="auto"/>
                  <w:noWrap/>
                  <w:vAlign w:val="bottom"/>
                  <w:hideMark/>
                </w:tcPr>
                <w:p w14:paraId="43789331" w14:textId="77777777" w:rsidR="007F3F4E" w:rsidRDefault="007F3F4E" w:rsidP="007F3F4E">
                  <w:pPr>
                    <w:pStyle w:val="Body"/>
                    <w:rPr>
                      <w:rFonts w:ascii="Times New Roman" w:hAnsi="Times New Roman" w:cs="Times New Roman"/>
                    </w:rPr>
                  </w:pPr>
                  <w:r>
                    <w:t>ºC</w:t>
                  </w:r>
                </w:p>
              </w:tc>
              <w:tc>
                <w:tcPr>
                  <w:tcW w:w="6902" w:type="dxa"/>
                  <w:tcBorders>
                    <w:top w:val="nil"/>
                    <w:left w:val="nil"/>
                    <w:bottom w:val="nil"/>
                    <w:right w:val="nil"/>
                  </w:tcBorders>
                  <w:shd w:val="clear" w:color="auto" w:fill="auto"/>
                  <w:noWrap/>
                  <w:vAlign w:val="bottom"/>
                  <w:hideMark/>
                </w:tcPr>
                <w:p w14:paraId="03B3A216" w14:textId="77777777" w:rsidR="007F3F4E" w:rsidRDefault="007F3F4E" w:rsidP="007F3F4E">
                  <w:pPr>
                    <w:pStyle w:val="Body"/>
                  </w:pPr>
                  <w:r>
                    <w:t>Degrees centigrade</w:t>
                  </w:r>
                </w:p>
              </w:tc>
            </w:tr>
            <w:tr w:rsidR="007F3F4E" w14:paraId="7207E914" w14:textId="77777777" w:rsidTr="007F3F4E">
              <w:trPr>
                <w:trHeight w:val="320"/>
              </w:trPr>
              <w:tc>
                <w:tcPr>
                  <w:tcW w:w="1739" w:type="dxa"/>
                  <w:tcBorders>
                    <w:top w:val="nil"/>
                    <w:left w:val="nil"/>
                    <w:bottom w:val="nil"/>
                    <w:right w:val="nil"/>
                  </w:tcBorders>
                  <w:shd w:val="clear" w:color="auto" w:fill="auto"/>
                  <w:noWrap/>
                  <w:vAlign w:val="bottom"/>
                  <w:hideMark/>
                </w:tcPr>
                <w:p w14:paraId="328C97DD" w14:textId="77777777" w:rsidR="007F3F4E" w:rsidRDefault="007F3F4E" w:rsidP="007F3F4E">
                  <w:pPr>
                    <w:pStyle w:val="Body"/>
                  </w:pPr>
                  <w:r>
                    <w:t>PAH</w:t>
                  </w:r>
                </w:p>
              </w:tc>
              <w:tc>
                <w:tcPr>
                  <w:tcW w:w="6902" w:type="dxa"/>
                  <w:tcBorders>
                    <w:top w:val="nil"/>
                    <w:left w:val="nil"/>
                    <w:bottom w:val="nil"/>
                    <w:right w:val="nil"/>
                  </w:tcBorders>
                  <w:shd w:val="clear" w:color="auto" w:fill="auto"/>
                  <w:noWrap/>
                  <w:vAlign w:val="bottom"/>
                  <w:hideMark/>
                </w:tcPr>
                <w:p w14:paraId="56AAD05A" w14:textId="77777777" w:rsidR="007F3F4E" w:rsidRDefault="007F3F4E" w:rsidP="007F3F4E">
                  <w:pPr>
                    <w:pStyle w:val="Body"/>
                  </w:pPr>
                  <w:r>
                    <w:t>Pulmonary arterial hypertension</w:t>
                  </w:r>
                </w:p>
              </w:tc>
            </w:tr>
            <w:tr w:rsidR="00E05F03" w14:paraId="615566B2" w14:textId="77777777" w:rsidTr="007F3F4E">
              <w:trPr>
                <w:trHeight w:val="320"/>
              </w:trPr>
              <w:tc>
                <w:tcPr>
                  <w:tcW w:w="1739" w:type="dxa"/>
                  <w:tcBorders>
                    <w:top w:val="nil"/>
                    <w:left w:val="nil"/>
                    <w:bottom w:val="nil"/>
                    <w:right w:val="nil"/>
                  </w:tcBorders>
                  <w:shd w:val="clear" w:color="auto" w:fill="auto"/>
                  <w:noWrap/>
                  <w:vAlign w:val="bottom"/>
                </w:tcPr>
                <w:p w14:paraId="6FD07F88" w14:textId="54595AD5" w:rsidR="00E05F03" w:rsidRDefault="00E05F03" w:rsidP="007F3F4E">
                  <w:pPr>
                    <w:pStyle w:val="Body"/>
                  </w:pPr>
                  <w:r>
                    <w:t>PASMC</w:t>
                  </w:r>
                </w:p>
              </w:tc>
              <w:tc>
                <w:tcPr>
                  <w:tcW w:w="6902" w:type="dxa"/>
                  <w:tcBorders>
                    <w:top w:val="nil"/>
                    <w:left w:val="nil"/>
                    <w:bottom w:val="nil"/>
                    <w:right w:val="nil"/>
                  </w:tcBorders>
                  <w:shd w:val="clear" w:color="auto" w:fill="auto"/>
                  <w:noWrap/>
                  <w:vAlign w:val="bottom"/>
                </w:tcPr>
                <w:p w14:paraId="2CB971F4" w14:textId="78F8221C" w:rsidR="00E05F03" w:rsidRDefault="00E05F03" w:rsidP="007F3F4E">
                  <w:pPr>
                    <w:pStyle w:val="Body"/>
                  </w:pPr>
                  <w:r>
                    <w:t>Pulmonary artery smooth muscle cell</w:t>
                  </w:r>
                </w:p>
              </w:tc>
            </w:tr>
            <w:tr w:rsidR="007F3F4E" w14:paraId="1B7D6B2C" w14:textId="77777777" w:rsidTr="007F3F4E">
              <w:trPr>
                <w:trHeight w:val="320"/>
              </w:trPr>
              <w:tc>
                <w:tcPr>
                  <w:tcW w:w="1739" w:type="dxa"/>
                  <w:tcBorders>
                    <w:top w:val="nil"/>
                    <w:left w:val="nil"/>
                    <w:bottom w:val="nil"/>
                    <w:right w:val="nil"/>
                  </w:tcBorders>
                  <w:shd w:val="clear" w:color="auto" w:fill="auto"/>
                  <w:noWrap/>
                  <w:vAlign w:val="bottom"/>
                  <w:hideMark/>
                </w:tcPr>
                <w:p w14:paraId="3485A30C" w14:textId="77777777" w:rsidR="007F3F4E" w:rsidRDefault="007F3F4E" w:rsidP="007F3F4E">
                  <w:pPr>
                    <w:pStyle w:val="Body"/>
                  </w:pPr>
                  <w:r>
                    <w:t>PAWP</w:t>
                  </w:r>
                </w:p>
              </w:tc>
              <w:tc>
                <w:tcPr>
                  <w:tcW w:w="6902" w:type="dxa"/>
                  <w:tcBorders>
                    <w:top w:val="nil"/>
                    <w:left w:val="nil"/>
                    <w:bottom w:val="nil"/>
                    <w:right w:val="nil"/>
                  </w:tcBorders>
                  <w:shd w:val="clear" w:color="auto" w:fill="auto"/>
                  <w:noWrap/>
                  <w:vAlign w:val="bottom"/>
                  <w:hideMark/>
                </w:tcPr>
                <w:p w14:paraId="05CCC3BA" w14:textId="77777777" w:rsidR="007F3F4E" w:rsidRDefault="007F3F4E" w:rsidP="007F3F4E">
                  <w:pPr>
                    <w:pStyle w:val="Body"/>
                  </w:pPr>
                  <w:r>
                    <w:t>Pulmonary arterial wedge pressure</w:t>
                  </w:r>
                </w:p>
              </w:tc>
            </w:tr>
            <w:tr w:rsidR="007F3F4E" w14:paraId="03D660E1" w14:textId="77777777" w:rsidTr="007F3F4E">
              <w:trPr>
                <w:trHeight w:val="320"/>
              </w:trPr>
              <w:tc>
                <w:tcPr>
                  <w:tcW w:w="1739" w:type="dxa"/>
                  <w:tcBorders>
                    <w:top w:val="nil"/>
                    <w:left w:val="nil"/>
                    <w:bottom w:val="nil"/>
                    <w:right w:val="nil"/>
                  </w:tcBorders>
                  <w:shd w:val="clear" w:color="auto" w:fill="auto"/>
                  <w:noWrap/>
                  <w:vAlign w:val="bottom"/>
                  <w:hideMark/>
                </w:tcPr>
                <w:p w14:paraId="35853E18" w14:textId="77777777" w:rsidR="007F3F4E" w:rsidRDefault="007F3F4E" w:rsidP="007F3F4E">
                  <w:pPr>
                    <w:pStyle w:val="Body"/>
                  </w:pPr>
                  <w:r>
                    <w:t>PFT</w:t>
                  </w:r>
                </w:p>
              </w:tc>
              <w:tc>
                <w:tcPr>
                  <w:tcW w:w="6902" w:type="dxa"/>
                  <w:tcBorders>
                    <w:top w:val="nil"/>
                    <w:left w:val="nil"/>
                    <w:bottom w:val="nil"/>
                    <w:right w:val="nil"/>
                  </w:tcBorders>
                  <w:shd w:val="clear" w:color="auto" w:fill="auto"/>
                  <w:noWrap/>
                  <w:vAlign w:val="bottom"/>
                  <w:hideMark/>
                </w:tcPr>
                <w:p w14:paraId="53ABE0A8" w14:textId="77777777" w:rsidR="007F3F4E" w:rsidRDefault="007F3F4E" w:rsidP="007F3F4E">
                  <w:pPr>
                    <w:pStyle w:val="Body"/>
                  </w:pPr>
                  <w:r>
                    <w:t>Pulmonary Function Test</w:t>
                  </w:r>
                </w:p>
              </w:tc>
            </w:tr>
            <w:tr w:rsidR="007F3F4E" w14:paraId="1FAF65BD" w14:textId="77777777" w:rsidTr="007F3F4E">
              <w:trPr>
                <w:trHeight w:val="320"/>
              </w:trPr>
              <w:tc>
                <w:tcPr>
                  <w:tcW w:w="1739" w:type="dxa"/>
                  <w:tcBorders>
                    <w:top w:val="nil"/>
                    <w:left w:val="nil"/>
                    <w:bottom w:val="nil"/>
                    <w:right w:val="nil"/>
                  </w:tcBorders>
                  <w:shd w:val="clear" w:color="auto" w:fill="auto"/>
                  <w:noWrap/>
                  <w:vAlign w:val="bottom"/>
                  <w:hideMark/>
                </w:tcPr>
                <w:p w14:paraId="524F5507" w14:textId="77777777" w:rsidR="007F3F4E" w:rsidRDefault="007F3F4E" w:rsidP="007F3F4E">
                  <w:pPr>
                    <w:pStyle w:val="Body"/>
                  </w:pPr>
                  <w:r>
                    <w:t>PH</w:t>
                  </w:r>
                </w:p>
              </w:tc>
              <w:tc>
                <w:tcPr>
                  <w:tcW w:w="6902" w:type="dxa"/>
                  <w:tcBorders>
                    <w:top w:val="nil"/>
                    <w:left w:val="nil"/>
                    <w:bottom w:val="nil"/>
                    <w:right w:val="nil"/>
                  </w:tcBorders>
                  <w:shd w:val="clear" w:color="auto" w:fill="auto"/>
                  <w:noWrap/>
                  <w:vAlign w:val="bottom"/>
                  <w:hideMark/>
                </w:tcPr>
                <w:p w14:paraId="487DDDB6" w14:textId="77777777" w:rsidR="007F3F4E" w:rsidRDefault="007F3F4E" w:rsidP="007F3F4E">
                  <w:pPr>
                    <w:pStyle w:val="Body"/>
                  </w:pPr>
                  <w:r>
                    <w:t>Pulmonary Hypertension</w:t>
                  </w:r>
                </w:p>
              </w:tc>
            </w:tr>
            <w:tr w:rsidR="00E05F03" w14:paraId="2C165FA1" w14:textId="77777777" w:rsidTr="007F3F4E">
              <w:trPr>
                <w:trHeight w:val="320"/>
              </w:trPr>
              <w:tc>
                <w:tcPr>
                  <w:tcW w:w="1739" w:type="dxa"/>
                  <w:tcBorders>
                    <w:top w:val="nil"/>
                    <w:left w:val="nil"/>
                    <w:bottom w:val="nil"/>
                    <w:right w:val="nil"/>
                  </w:tcBorders>
                  <w:shd w:val="clear" w:color="auto" w:fill="auto"/>
                  <w:noWrap/>
                  <w:vAlign w:val="bottom"/>
                </w:tcPr>
                <w:p w14:paraId="69B8D0E7" w14:textId="71638C6B" w:rsidR="00E05F03" w:rsidRDefault="00E05F03" w:rsidP="007F3F4E">
                  <w:pPr>
                    <w:pStyle w:val="Body"/>
                  </w:pPr>
                  <w:r>
                    <w:t>PPP</w:t>
                  </w:r>
                </w:p>
              </w:tc>
              <w:tc>
                <w:tcPr>
                  <w:tcW w:w="6902" w:type="dxa"/>
                  <w:tcBorders>
                    <w:top w:val="nil"/>
                    <w:left w:val="nil"/>
                    <w:bottom w:val="nil"/>
                    <w:right w:val="nil"/>
                  </w:tcBorders>
                  <w:shd w:val="clear" w:color="auto" w:fill="auto"/>
                  <w:noWrap/>
                  <w:vAlign w:val="bottom"/>
                </w:tcPr>
                <w:p w14:paraId="723310BF" w14:textId="446DFDA6" w:rsidR="00E05F03" w:rsidRDefault="00E05F03" w:rsidP="007F3F4E">
                  <w:pPr>
                    <w:pStyle w:val="Body"/>
                  </w:pPr>
                  <w:r>
                    <w:t>Platelet poor plasma</w:t>
                  </w:r>
                </w:p>
              </w:tc>
            </w:tr>
            <w:tr w:rsidR="007F3F4E" w14:paraId="6EB737AA" w14:textId="77777777" w:rsidTr="007F3F4E">
              <w:trPr>
                <w:trHeight w:val="320"/>
              </w:trPr>
              <w:tc>
                <w:tcPr>
                  <w:tcW w:w="1739" w:type="dxa"/>
                  <w:tcBorders>
                    <w:top w:val="nil"/>
                    <w:left w:val="nil"/>
                    <w:bottom w:val="nil"/>
                    <w:right w:val="nil"/>
                  </w:tcBorders>
                  <w:shd w:val="clear" w:color="auto" w:fill="auto"/>
                  <w:noWrap/>
                  <w:vAlign w:val="bottom"/>
                  <w:hideMark/>
                </w:tcPr>
                <w:p w14:paraId="26DEB63D" w14:textId="77777777" w:rsidR="007F3F4E" w:rsidRDefault="007F3F4E" w:rsidP="007F3F4E">
                  <w:pPr>
                    <w:pStyle w:val="Body"/>
                  </w:pPr>
                  <w:r>
                    <w:t>PPV</w:t>
                  </w:r>
                </w:p>
              </w:tc>
              <w:tc>
                <w:tcPr>
                  <w:tcW w:w="6902" w:type="dxa"/>
                  <w:tcBorders>
                    <w:top w:val="nil"/>
                    <w:left w:val="nil"/>
                    <w:bottom w:val="nil"/>
                    <w:right w:val="nil"/>
                  </w:tcBorders>
                  <w:shd w:val="clear" w:color="auto" w:fill="auto"/>
                  <w:noWrap/>
                  <w:vAlign w:val="bottom"/>
                  <w:hideMark/>
                </w:tcPr>
                <w:p w14:paraId="49020CF0" w14:textId="77777777" w:rsidR="007F3F4E" w:rsidRDefault="007F3F4E" w:rsidP="007F3F4E">
                  <w:pPr>
                    <w:pStyle w:val="Body"/>
                  </w:pPr>
                  <w:r>
                    <w:t>Positive predictive value</w:t>
                  </w:r>
                </w:p>
              </w:tc>
            </w:tr>
            <w:tr w:rsidR="007F3F4E" w14:paraId="60081187" w14:textId="77777777" w:rsidTr="007F3F4E">
              <w:trPr>
                <w:trHeight w:val="320"/>
              </w:trPr>
              <w:tc>
                <w:tcPr>
                  <w:tcW w:w="1739" w:type="dxa"/>
                  <w:tcBorders>
                    <w:top w:val="nil"/>
                    <w:left w:val="nil"/>
                    <w:bottom w:val="nil"/>
                    <w:right w:val="nil"/>
                  </w:tcBorders>
                  <w:shd w:val="clear" w:color="auto" w:fill="auto"/>
                  <w:noWrap/>
                  <w:vAlign w:val="bottom"/>
                  <w:hideMark/>
                </w:tcPr>
                <w:p w14:paraId="05DF64DB" w14:textId="77777777" w:rsidR="007F3F4E" w:rsidRDefault="007F3F4E" w:rsidP="007F3F4E">
                  <w:pPr>
                    <w:pStyle w:val="Body"/>
                  </w:pPr>
                  <w:r>
                    <w:t>qPCR</w:t>
                  </w:r>
                </w:p>
              </w:tc>
              <w:tc>
                <w:tcPr>
                  <w:tcW w:w="6902" w:type="dxa"/>
                  <w:tcBorders>
                    <w:top w:val="nil"/>
                    <w:left w:val="nil"/>
                    <w:bottom w:val="nil"/>
                    <w:right w:val="nil"/>
                  </w:tcBorders>
                  <w:shd w:val="clear" w:color="auto" w:fill="auto"/>
                  <w:noWrap/>
                  <w:vAlign w:val="bottom"/>
                  <w:hideMark/>
                </w:tcPr>
                <w:p w14:paraId="662CCED8" w14:textId="77777777" w:rsidR="007F3F4E" w:rsidRDefault="007F3F4E" w:rsidP="007F3F4E">
                  <w:pPr>
                    <w:pStyle w:val="Body"/>
                  </w:pPr>
                  <w:r>
                    <w:t>Quantitative polymerase chain reaction</w:t>
                  </w:r>
                </w:p>
              </w:tc>
            </w:tr>
            <w:tr w:rsidR="007F3F4E" w14:paraId="0E71B3DE" w14:textId="77777777" w:rsidTr="007F3F4E">
              <w:trPr>
                <w:trHeight w:val="320"/>
              </w:trPr>
              <w:tc>
                <w:tcPr>
                  <w:tcW w:w="1739" w:type="dxa"/>
                  <w:tcBorders>
                    <w:top w:val="nil"/>
                    <w:left w:val="nil"/>
                    <w:bottom w:val="nil"/>
                    <w:right w:val="nil"/>
                  </w:tcBorders>
                  <w:shd w:val="clear" w:color="auto" w:fill="auto"/>
                  <w:noWrap/>
                  <w:vAlign w:val="bottom"/>
                  <w:hideMark/>
                </w:tcPr>
                <w:p w14:paraId="309558D0" w14:textId="77777777" w:rsidR="007F3F4E" w:rsidRDefault="007F3F4E" w:rsidP="007F3F4E">
                  <w:pPr>
                    <w:pStyle w:val="Body"/>
                  </w:pPr>
                  <w:r>
                    <w:t>RHC</w:t>
                  </w:r>
                </w:p>
              </w:tc>
              <w:tc>
                <w:tcPr>
                  <w:tcW w:w="6902" w:type="dxa"/>
                  <w:tcBorders>
                    <w:top w:val="nil"/>
                    <w:left w:val="nil"/>
                    <w:bottom w:val="nil"/>
                    <w:right w:val="nil"/>
                  </w:tcBorders>
                  <w:shd w:val="clear" w:color="auto" w:fill="auto"/>
                  <w:noWrap/>
                  <w:vAlign w:val="bottom"/>
                  <w:hideMark/>
                </w:tcPr>
                <w:p w14:paraId="6C7CE533" w14:textId="77777777" w:rsidR="007F3F4E" w:rsidRDefault="007F3F4E" w:rsidP="007F3F4E">
                  <w:pPr>
                    <w:pStyle w:val="Body"/>
                  </w:pPr>
                  <w:r>
                    <w:t>Right heart catheterisation</w:t>
                  </w:r>
                </w:p>
              </w:tc>
            </w:tr>
            <w:tr w:rsidR="007F3F4E" w14:paraId="160A4E7F" w14:textId="77777777" w:rsidTr="007F3F4E">
              <w:trPr>
                <w:trHeight w:val="320"/>
              </w:trPr>
              <w:tc>
                <w:tcPr>
                  <w:tcW w:w="1739" w:type="dxa"/>
                  <w:tcBorders>
                    <w:top w:val="nil"/>
                    <w:left w:val="nil"/>
                    <w:bottom w:val="nil"/>
                    <w:right w:val="nil"/>
                  </w:tcBorders>
                  <w:shd w:val="clear" w:color="auto" w:fill="auto"/>
                  <w:noWrap/>
                  <w:vAlign w:val="bottom"/>
                  <w:hideMark/>
                </w:tcPr>
                <w:p w14:paraId="3B0DF323" w14:textId="77777777" w:rsidR="007F3F4E" w:rsidRDefault="007F3F4E" w:rsidP="007F3F4E">
                  <w:pPr>
                    <w:pStyle w:val="Body"/>
                  </w:pPr>
                  <w:r>
                    <w:t>RISC</w:t>
                  </w:r>
                </w:p>
              </w:tc>
              <w:tc>
                <w:tcPr>
                  <w:tcW w:w="6902" w:type="dxa"/>
                  <w:tcBorders>
                    <w:top w:val="nil"/>
                    <w:left w:val="nil"/>
                    <w:bottom w:val="nil"/>
                    <w:right w:val="nil"/>
                  </w:tcBorders>
                  <w:shd w:val="clear" w:color="auto" w:fill="auto"/>
                  <w:noWrap/>
                  <w:vAlign w:val="bottom"/>
                  <w:hideMark/>
                </w:tcPr>
                <w:p w14:paraId="213554FE" w14:textId="77777777" w:rsidR="007F3F4E" w:rsidRDefault="007F3F4E" w:rsidP="007F3F4E">
                  <w:pPr>
                    <w:pStyle w:val="Body"/>
                  </w:pPr>
                  <w:r>
                    <w:t>RNA-induced silencing complex</w:t>
                  </w:r>
                </w:p>
              </w:tc>
            </w:tr>
            <w:tr w:rsidR="007F3F4E" w14:paraId="1882D49A" w14:textId="77777777" w:rsidTr="007F3F4E">
              <w:trPr>
                <w:trHeight w:val="320"/>
              </w:trPr>
              <w:tc>
                <w:tcPr>
                  <w:tcW w:w="1739" w:type="dxa"/>
                  <w:tcBorders>
                    <w:top w:val="nil"/>
                    <w:left w:val="nil"/>
                    <w:bottom w:val="nil"/>
                    <w:right w:val="nil"/>
                  </w:tcBorders>
                  <w:shd w:val="clear" w:color="auto" w:fill="auto"/>
                  <w:noWrap/>
                  <w:vAlign w:val="bottom"/>
                  <w:hideMark/>
                </w:tcPr>
                <w:p w14:paraId="247216C9" w14:textId="77777777" w:rsidR="007F3F4E" w:rsidRDefault="007F3F4E" w:rsidP="007F3F4E">
                  <w:pPr>
                    <w:pStyle w:val="Body"/>
                  </w:pPr>
                  <w:r>
                    <w:t>RMA</w:t>
                  </w:r>
                </w:p>
              </w:tc>
              <w:tc>
                <w:tcPr>
                  <w:tcW w:w="6902" w:type="dxa"/>
                  <w:tcBorders>
                    <w:top w:val="nil"/>
                    <w:left w:val="nil"/>
                    <w:bottom w:val="nil"/>
                    <w:right w:val="nil"/>
                  </w:tcBorders>
                  <w:shd w:val="clear" w:color="auto" w:fill="auto"/>
                  <w:noWrap/>
                  <w:vAlign w:val="bottom"/>
                  <w:hideMark/>
                </w:tcPr>
                <w:p w14:paraId="47E0DCC9" w14:textId="77777777" w:rsidR="007F3F4E" w:rsidRDefault="007F3F4E" w:rsidP="007F3F4E">
                  <w:pPr>
                    <w:pStyle w:val="Body"/>
                  </w:pPr>
                  <w:r>
                    <w:t>Robust multichip average</w:t>
                  </w:r>
                </w:p>
              </w:tc>
            </w:tr>
            <w:tr w:rsidR="007F3F4E" w14:paraId="392B97E6" w14:textId="77777777" w:rsidTr="007F3F4E">
              <w:trPr>
                <w:trHeight w:val="320"/>
              </w:trPr>
              <w:tc>
                <w:tcPr>
                  <w:tcW w:w="1739" w:type="dxa"/>
                  <w:tcBorders>
                    <w:top w:val="nil"/>
                    <w:left w:val="nil"/>
                    <w:bottom w:val="nil"/>
                    <w:right w:val="nil"/>
                  </w:tcBorders>
                  <w:shd w:val="clear" w:color="auto" w:fill="auto"/>
                  <w:noWrap/>
                  <w:vAlign w:val="bottom"/>
                  <w:hideMark/>
                </w:tcPr>
                <w:p w14:paraId="6E22D9A8" w14:textId="77777777" w:rsidR="007F3F4E" w:rsidRDefault="007F3F4E" w:rsidP="007F3F4E">
                  <w:pPr>
                    <w:pStyle w:val="Body"/>
                  </w:pPr>
                  <w:r>
                    <w:t>RNA</w:t>
                  </w:r>
                </w:p>
              </w:tc>
              <w:tc>
                <w:tcPr>
                  <w:tcW w:w="6902" w:type="dxa"/>
                  <w:tcBorders>
                    <w:top w:val="nil"/>
                    <w:left w:val="nil"/>
                    <w:bottom w:val="nil"/>
                    <w:right w:val="nil"/>
                  </w:tcBorders>
                  <w:shd w:val="clear" w:color="auto" w:fill="auto"/>
                  <w:noWrap/>
                  <w:vAlign w:val="bottom"/>
                  <w:hideMark/>
                </w:tcPr>
                <w:p w14:paraId="4A04E756" w14:textId="77777777" w:rsidR="007F3F4E" w:rsidRDefault="007F3F4E" w:rsidP="007F3F4E">
                  <w:pPr>
                    <w:pStyle w:val="Body"/>
                  </w:pPr>
                  <w:r>
                    <w:t>ribonucleic acid</w:t>
                  </w:r>
                </w:p>
              </w:tc>
            </w:tr>
            <w:tr w:rsidR="007F3F4E" w14:paraId="4C434036" w14:textId="77777777" w:rsidTr="007F3F4E">
              <w:trPr>
                <w:trHeight w:val="320"/>
              </w:trPr>
              <w:tc>
                <w:tcPr>
                  <w:tcW w:w="1739" w:type="dxa"/>
                  <w:tcBorders>
                    <w:top w:val="nil"/>
                    <w:left w:val="nil"/>
                    <w:bottom w:val="nil"/>
                    <w:right w:val="nil"/>
                  </w:tcBorders>
                  <w:shd w:val="clear" w:color="auto" w:fill="auto"/>
                  <w:noWrap/>
                  <w:vAlign w:val="bottom"/>
                  <w:hideMark/>
                </w:tcPr>
                <w:p w14:paraId="586F1B3C" w14:textId="77777777" w:rsidR="007F3F4E" w:rsidRDefault="007F3F4E" w:rsidP="007F3F4E">
                  <w:pPr>
                    <w:pStyle w:val="Body"/>
                  </w:pPr>
                  <w:r>
                    <w:t>ROC</w:t>
                  </w:r>
                </w:p>
              </w:tc>
              <w:tc>
                <w:tcPr>
                  <w:tcW w:w="6902" w:type="dxa"/>
                  <w:tcBorders>
                    <w:top w:val="nil"/>
                    <w:left w:val="nil"/>
                    <w:bottom w:val="nil"/>
                    <w:right w:val="nil"/>
                  </w:tcBorders>
                  <w:shd w:val="clear" w:color="auto" w:fill="auto"/>
                  <w:noWrap/>
                  <w:vAlign w:val="bottom"/>
                  <w:hideMark/>
                </w:tcPr>
                <w:p w14:paraId="3974ADFB" w14:textId="77777777" w:rsidR="007F3F4E" w:rsidRDefault="007F3F4E" w:rsidP="007F3F4E">
                  <w:pPr>
                    <w:pStyle w:val="Body"/>
                  </w:pPr>
                  <w:r>
                    <w:t>Receiver operator curve</w:t>
                  </w:r>
                </w:p>
              </w:tc>
            </w:tr>
            <w:tr w:rsidR="007F3F4E" w14:paraId="6F0E60EE" w14:textId="77777777" w:rsidTr="007F3F4E">
              <w:trPr>
                <w:trHeight w:val="320"/>
              </w:trPr>
              <w:tc>
                <w:tcPr>
                  <w:tcW w:w="1739" w:type="dxa"/>
                  <w:tcBorders>
                    <w:top w:val="nil"/>
                    <w:left w:val="nil"/>
                    <w:bottom w:val="nil"/>
                    <w:right w:val="nil"/>
                  </w:tcBorders>
                  <w:shd w:val="clear" w:color="auto" w:fill="auto"/>
                  <w:noWrap/>
                  <w:vAlign w:val="bottom"/>
                  <w:hideMark/>
                </w:tcPr>
                <w:p w14:paraId="4B034324" w14:textId="77777777" w:rsidR="007F3F4E" w:rsidRDefault="007F3F4E" w:rsidP="007F3F4E">
                  <w:pPr>
                    <w:pStyle w:val="Body"/>
                  </w:pPr>
                  <w:r>
                    <w:t>rpm</w:t>
                  </w:r>
                </w:p>
              </w:tc>
              <w:tc>
                <w:tcPr>
                  <w:tcW w:w="6902" w:type="dxa"/>
                  <w:tcBorders>
                    <w:top w:val="nil"/>
                    <w:left w:val="nil"/>
                    <w:bottom w:val="nil"/>
                    <w:right w:val="nil"/>
                  </w:tcBorders>
                  <w:shd w:val="clear" w:color="auto" w:fill="auto"/>
                  <w:noWrap/>
                  <w:vAlign w:val="bottom"/>
                  <w:hideMark/>
                </w:tcPr>
                <w:p w14:paraId="573388A7" w14:textId="77777777" w:rsidR="007F3F4E" w:rsidRDefault="007F3F4E" w:rsidP="007F3F4E">
                  <w:pPr>
                    <w:pStyle w:val="Body"/>
                  </w:pPr>
                  <w:r>
                    <w:t>Revolutions per minute</w:t>
                  </w:r>
                </w:p>
              </w:tc>
            </w:tr>
            <w:tr w:rsidR="007F3F4E" w14:paraId="386E583E" w14:textId="77777777" w:rsidTr="007F3F4E">
              <w:trPr>
                <w:trHeight w:val="320"/>
              </w:trPr>
              <w:tc>
                <w:tcPr>
                  <w:tcW w:w="1739" w:type="dxa"/>
                  <w:tcBorders>
                    <w:top w:val="nil"/>
                    <w:left w:val="nil"/>
                    <w:bottom w:val="nil"/>
                    <w:right w:val="nil"/>
                  </w:tcBorders>
                  <w:shd w:val="clear" w:color="auto" w:fill="auto"/>
                  <w:noWrap/>
                  <w:vAlign w:val="bottom"/>
                  <w:hideMark/>
                </w:tcPr>
                <w:p w14:paraId="15A98ABE" w14:textId="77777777" w:rsidR="007F3F4E" w:rsidRDefault="007F3F4E" w:rsidP="007F3F4E">
                  <w:pPr>
                    <w:pStyle w:val="Body"/>
                  </w:pPr>
                  <w:r>
                    <w:t>Se</w:t>
                  </w:r>
                </w:p>
              </w:tc>
              <w:tc>
                <w:tcPr>
                  <w:tcW w:w="6902" w:type="dxa"/>
                  <w:tcBorders>
                    <w:top w:val="nil"/>
                    <w:left w:val="nil"/>
                    <w:bottom w:val="nil"/>
                    <w:right w:val="nil"/>
                  </w:tcBorders>
                  <w:shd w:val="clear" w:color="auto" w:fill="auto"/>
                  <w:noWrap/>
                  <w:vAlign w:val="bottom"/>
                  <w:hideMark/>
                </w:tcPr>
                <w:p w14:paraId="243C4D4D" w14:textId="77777777" w:rsidR="007F3F4E" w:rsidRDefault="007F3F4E" w:rsidP="007F3F4E">
                  <w:pPr>
                    <w:pStyle w:val="Body"/>
                  </w:pPr>
                  <w:r>
                    <w:t>Sensitivity</w:t>
                  </w:r>
                </w:p>
              </w:tc>
            </w:tr>
            <w:tr w:rsidR="00465FC1" w14:paraId="6299D4B1" w14:textId="77777777" w:rsidTr="007F3F4E">
              <w:trPr>
                <w:trHeight w:val="320"/>
              </w:trPr>
              <w:tc>
                <w:tcPr>
                  <w:tcW w:w="1739" w:type="dxa"/>
                  <w:tcBorders>
                    <w:top w:val="nil"/>
                    <w:left w:val="nil"/>
                    <w:bottom w:val="nil"/>
                    <w:right w:val="nil"/>
                  </w:tcBorders>
                  <w:shd w:val="clear" w:color="auto" w:fill="auto"/>
                  <w:noWrap/>
                  <w:vAlign w:val="bottom"/>
                </w:tcPr>
                <w:p w14:paraId="6A65182A" w14:textId="7C83615D" w:rsidR="00465FC1" w:rsidRDefault="00465FC1" w:rsidP="007F3F4E">
                  <w:pPr>
                    <w:pStyle w:val="Body"/>
                  </w:pPr>
                  <w:r>
                    <w:lastRenderedPageBreak/>
                    <w:t>SS</w:t>
                  </w:r>
                </w:p>
              </w:tc>
              <w:tc>
                <w:tcPr>
                  <w:tcW w:w="6902" w:type="dxa"/>
                  <w:tcBorders>
                    <w:top w:val="nil"/>
                    <w:left w:val="nil"/>
                    <w:bottom w:val="nil"/>
                    <w:right w:val="nil"/>
                  </w:tcBorders>
                  <w:shd w:val="clear" w:color="auto" w:fill="auto"/>
                  <w:noWrap/>
                  <w:vAlign w:val="bottom"/>
                </w:tcPr>
                <w:p w14:paraId="435D051C" w14:textId="4569650C" w:rsidR="00465FC1" w:rsidRDefault="00465FC1" w:rsidP="007F3F4E">
                  <w:pPr>
                    <w:pStyle w:val="Body"/>
                  </w:pPr>
                  <w:r>
                    <w:t>Simple steatosis</w:t>
                  </w:r>
                </w:p>
              </w:tc>
            </w:tr>
            <w:tr w:rsidR="007F3F4E" w14:paraId="1F186F4C" w14:textId="77777777" w:rsidTr="007F3F4E">
              <w:trPr>
                <w:trHeight w:val="320"/>
              </w:trPr>
              <w:tc>
                <w:tcPr>
                  <w:tcW w:w="1739" w:type="dxa"/>
                  <w:tcBorders>
                    <w:top w:val="nil"/>
                    <w:left w:val="nil"/>
                    <w:bottom w:val="nil"/>
                    <w:right w:val="nil"/>
                  </w:tcBorders>
                  <w:shd w:val="clear" w:color="auto" w:fill="auto"/>
                  <w:noWrap/>
                  <w:vAlign w:val="bottom"/>
                  <w:hideMark/>
                </w:tcPr>
                <w:p w14:paraId="7C3C111F" w14:textId="77777777" w:rsidR="007F3F4E" w:rsidRDefault="007F3F4E" w:rsidP="007F3F4E">
                  <w:pPr>
                    <w:pStyle w:val="Body"/>
                  </w:pPr>
                  <w:proofErr w:type="spellStart"/>
                  <w:r>
                    <w:t>Sp</w:t>
                  </w:r>
                  <w:proofErr w:type="spellEnd"/>
                </w:p>
              </w:tc>
              <w:tc>
                <w:tcPr>
                  <w:tcW w:w="6902" w:type="dxa"/>
                  <w:tcBorders>
                    <w:top w:val="nil"/>
                    <w:left w:val="nil"/>
                    <w:bottom w:val="nil"/>
                    <w:right w:val="nil"/>
                  </w:tcBorders>
                  <w:shd w:val="clear" w:color="auto" w:fill="auto"/>
                  <w:noWrap/>
                  <w:vAlign w:val="bottom"/>
                  <w:hideMark/>
                </w:tcPr>
                <w:p w14:paraId="2769C0DC" w14:textId="77777777" w:rsidR="007F3F4E" w:rsidRDefault="007F3F4E" w:rsidP="007F3F4E">
                  <w:pPr>
                    <w:pStyle w:val="Body"/>
                  </w:pPr>
                  <w:r>
                    <w:t>Specificity</w:t>
                  </w:r>
                </w:p>
              </w:tc>
            </w:tr>
            <w:tr w:rsidR="007F3F4E" w14:paraId="7E214F22" w14:textId="77777777" w:rsidTr="007F3F4E">
              <w:trPr>
                <w:trHeight w:val="320"/>
              </w:trPr>
              <w:tc>
                <w:tcPr>
                  <w:tcW w:w="1739" w:type="dxa"/>
                  <w:tcBorders>
                    <w:top w:val="nil"/>
                    <w:left w:val="nil"/>
                    <w:bottom w:val="nil"/>
                    <w:right w:val="nil"/>
                  </w:tcBorders>
                  <w:shd w:val="clear" w:color="auto" w:fill="auto"/>
                  <w:noWrap/>
                  <w:vAlign w:val="bottom"/>
                  <w:hideMark/>
                </w:tcPr>
                <w:p w14:paraId="07727301" w14:textId="77777777" w:rsidR="007F3F4E" w:rsidRDefault="007F3F4E" w:rsidP="007F3F4E">
                  <w:pPr>
                    <w:pStyle w:val="Body"/>
                  </w:pPr>
                  <w:proofErr w:type="spellStart"/>
                  <w:r>
                    <w:t>SSc</w:t>
                  </w:r>
                  <w:proofErr w:type="spellEnd"/>
                </w:p>
              </w:tc>
              <w:tc>
                <w:tcPr>
                  <w:tcW w:w="6902" w:type="dxa"/>
                  <w:tcBorders>
                    <w:top w:val="nil"/>
                    <w:left w:val="nil"/>
                    <w:bottom w:val="nil"/>
                    <w:right w:val="nil"/>
                  </w:tcBorders>
                  <w:shd w:val="clear" w:color="auto" w:fill="auto"/>
                  <w:noWrap/>
                  <w:vAlign w:val="bottom"/>
                  <w:hideMark/>
                </w:tcPr>
                <w:p w14:paraId="4CB2B046" w14:textId="77777777" w:rsidR="007F3F4E" w:rsidRDefault="007F3F4E" w:rsidP="007F3F4E">
                  <w:pPr>
                    <w:pStyle w:val="Body"/>
                  </w:pPr>
                  <w:r>
                    <w:t>Systemic Sclerosis</w:t>
                  </w:r>
                </w:p>
              </w:tc>
            </w:tr>
            <w:tr w:rsidR="007F3F4E" w14:paraId="20B04D1C" w14:textId="77777777" w:rsidTr="007F3F4E">
              <w:trPr>
                <w:trHeight w:val="320"/>
              </w:trPr>
              <w:tc>
                <w:tcPr>
                  <w:tcW w:w="1739" w:type="dxa"/>
                  <w:tcBorders>
                    <w:top w:val="nil"/>
                    <w:left w:val="nil"/>
                    <w:bottom w:val="nil"/>
                    <w:right w:val="nil"/>
                  </w:tcBorders>
                  <w:shd w:val="clear" w:color="auto" w:fill="auto"/>
                  <w:noWrap/>
                  <w:vAlign w:val="bottom"/>
                  <w:hideMark/>
                </w:tcPr>
                <w:p w14:paraId="5EE5C628" w14:textId="77777777" w:rsidR="007F3F4E" w:rsidRDefault="007F3F4E" w:rsidP="007F3F4E">
                  <w:pPr>
                    <w:pStyle w:val="Body"/>
                  </w:pPr>
                  <w:proofErr w:type="spellStart"/>
                  <w:r>
                    <w:t>SSc</w:t>
                  </w:r>
                  <w:proofErr w:type="spellEnd"/>
                  <w:r>
                    <w:t>-PAH</w:t>
                  </w:r>
                </w:p>
              </w:tc>
              <w:tc>
                <w:tcPr>
                  <w:tcW w:w="6902" w:type="dxa"/>
                  <w:tcBorders>
                    <w:top w:val="nil"/>
                    <w:left w:val="nil"/>
                    <w:bottom w:val="nil"/>
                    <w:right w:val="nil"/>
                  </w:tcBorders>
                  <w:shd w:val="clear" w:color="auto" w:fill="auto"/>
                  <w:noWrap/>
                  <w:vAlign w:val="bottom"/>
                  <w:hideMark/>
                </w:tcPr>
                <w:p w14:paraId="2FEFE1A5" w14:textId="77777777" w:rsidR="007F3F4E" w:rsidRDefault="007F3F4E" w:rsidP="007F3F4E">
                  <w:pPr>
                    <w:pStyle w:val="Body"/>
                  </w:pPr>
                  <w:r>
                    <w:t>Systemic sclerosis with pulmonary arterial hypertension</w:t>
                  </w:r>
                </w:p>
              </w:tc>
            </w:tr>
            <w:tr w:rsidR="007F3F4E" w14:paraId="0BF7B593" w14:textId="77777777" w:rsidTr="007F3F4E">
              <w:trPr>
                <w:trHeight w:val="320"/>
              </w:trPr>
              <w:tc>
                <w:tcPr>
                  <w:tcW w:w="1739" w:type="dxa"/>
                  <w:tcBorders>
                    <w:top w:val="nil"/>
                    <w:left w:val="nil"/>
                    <w:bottom w:val="nil"/>
                    <w:right w:val="nil"/>
                  </w:tcBorders>
                  <w:shd w:val="clear" w:color="auto" w:fill="auto"/>
                  <w:noWrap/>
                  <w:vAlign w:val="bottom"/>
                  <w:hideMark/>
                </w:tcPr>
                <w:p w14:paraId="268B00AB" w14:textId="77777777" w:rsidR="007F3F4E" w:rsidRDefault="007F3F4E" w:rsidP="007F3F4E">
                  <w:pPr>
                    <w:pStyle w:val="Body"/>
                  </w:pPr>
                  <w:r>
                    <w:t>STH-</w:t>
                  </w:r>
                  <w:proofErr w:type="spellStart"/>
                  <w:r>
                    <w:t>Obs</w:t>
                  </w:r>
                  <w:proofErr w:type="spellEnd"/>
                </w:p>
              </w:tc>
              <w:tc>
                <w:tcPr>
                  <w:tcW w:w="6902" w:type="dxa"/>
                  <w:tcBorders>
                    <w:top w:val="nil"/>
                    <w:left w:val="nil"/>
                    <w:bottom w:val="nil"/>
                    <w:right w:val="nil"/>
                  </w:tcBorders>
                  <w:shd w:val="clear" w:color="auto" w:fill="auto"/>
                  <w:noWrap/>
                  <w:vAlign w:val="bottom"/>
                  <w:hideMark/>
                </w:tcPr>
                <w:p w14:paraId="3DA55D43" w14:textId="77777777" w:rsidR="007F3F4E" w:rsidRDefault="007F3F4E" w:rsidP="007F3F4E">
                  <w:pPr>
                    <w:pStyle w:val="Body"/>
                    <w:rPr>
                      <w:rFonts w:ascii="Times New Roman" w:hAnsi="Times New Roman" w:cs="Times New Roman"/>
                    </w:rPr>
                  </w:pPr>
                  <w:r>
                    <w:t xml:space="preserve">Sheffield Teaching Hospitals Observational Study of Patients with Pulmonary Hypertension, Cardiovascular and Lung Disease </w:t>
                  </w:r>
                </w:p>
              </w:tc>
            </w:tr>
            <w:tr w:rsidR="007F3F4E" w14:paraId="679CA435" w14:textId="77777777" w:rsidTr="007F3F4E">
              <w:trPr>
                <w:trHeight w:val="320"/>
              </w:trPr>
              <w:tc>
                <w:tcPr>
                  <w:tcW w:w="1739" w:type="dxa"/>
                  <w:tcBorders>
                    <w:top w:val="nil"/>
                    <w:left w:val="nil"/>
                    <w:bottom w:val="nil"/>
                    <w:right w:val="nil"/>
                  </w:tcBorders>
                  <w:shd w:val="clear" w:color="auto" w:fill="auto"/>
                  <w:noWrap/>
                  <w:vAlign w:val="bottom"/>
                  <w:hideMark/>
                </w:tcPr>
                <w:p w14:paraId="38FD80E6" w14:textId="77777777" w:rsidR="007F3F4E" w:rsidRDefault="007F3F4E" w:rsidP="007F3F4E">
                  <w:pPr>
                    <w:pStyle w:val="Body"/>
                  </w:pPr>
                  <w:r>
                    <w:t>TN</w:t>
                  </w:r>
                </w:p>
              </w:tc>
              <w:tc>
                <w:tcPr>
                  <w:tcW w:w="6902" w:type="dxa"/>
                  <w:tcBorders>
                    <w:top w:val="nil"/>
                    <w:left w:val="nil"/>
                    <w:bottom w:val="nil"/>
                    <w:right w:val="nil"/>
                  </w:tcBorders>
                  <w:shd w:val="clear" w:color="auto" w:fill="auto"/>
                  <w:noWrap/>
                  <w:vAlign w:val="bottom"/>
                  <w:hideMark/>
                </w:tcPr>
                <w:p w14:paraId="7046CFBE" w14:textId="77777777" w:rsidR="007F3F4E" w:rsidRDefault="007F3F4E" w:rsidP="007F3F4E">
                  <w:pPr>
                    <w:pStyle w:val="Body"/>
                  </w:pPr>
                  <w:r>
                    <w:t>True negative</w:t>
                  </w:r>
                </w:p>
              </w:tc>
            </w:tr>
            <w:tr w:rsidR="007F3F4E" w14:paraId="0DB26331" w14:textId="77777777" w:rsidTr="007F3F4E">
              <w:trPr>
                <w:trHeight w:val="320"/>
              </w:trPr>
              <w:tc>
                <w:tcPr>
                  <w:tcW w:w="1739" w:type="dxa"/>
                  <w:tcBorders>
                    <w:top w:val="nil"/>
                    <w:left w:val="nil"/>
                    <w:bottom w:val="nil"/>
                    <w:right w:val="nil"/>
                  </w:tcBorders>
                  <w:shd w:val="clear" w:color="auto" w:fill="auto"/>
                  <w:noWrap/>
                  <w:vAlign w:val="bottom"/>
                  <w:hideMark/>
                </w:tcPr>
                <w:p w14:paraId="7F546C94" w14:textId="77777777" w:rsidR="007F3F4E" w:rsidRDefault="007F3F4E" w:rsidP="007F3F4E">
                  <w:pPr>
                    <w:pStyle w:val="Body"/>
                  </w:pPr>
                  <w:r>
                    <w:t>TP</w:t>
                  </w:r>
                </w:p>
              </w:tc>
              <w:tc>
                <w:tcPr>
                  <w:tcW w:w="6902" w:type="dxa"/>
                  <w:tcBorders>
                    <w:top w:val="nil"/>
                    <w:left w:val="nil"/>
                    <w:bottom w:val="nil"/>
                    <w:right w:val="nil"/>
                  </w:tcBorders>
                  <w:shd w:val="clear" w:color="auto" w:fill="auto"/>
                  <w:noWrap/>
                  <w:vAlign w:val="bottom"/>
                  <w:hideMark/>
                </w:tcPr>
                <w:p w14:paraId="64D6561C" w14:textId="77777777" w:rsidR="007F3F4E" w:rsidRDefault="007F3F4E" w:rsidP="007F3F4E">
                  <w:pPr>
                    <w:pStyle w:val="Body"/>
                  </w:pPr>
                  <w:r>
                    <w:t>True positive</w:t>
                  </w:r>
                </w:p>
              </w:tc>
            </w:tr>
            <w:tr w:rsidR="007F3F4E" w14:paraId="5D1D49C9" w14:textId="77777777" w:rsidTr="007F3F4E">
              <w:trPr>
                <w:trHeight w:val="320"/>
              </w:trPr>
              <w:tc>
                <w:tcPr>
                  <w:tcW w:w="1739" w:type="dxa"/>
                  <w:tcBorders>
                    <w:top w:val="nil"/>
                    <w:left w:val="nil"/>
                    <w:bottom w:val="nil"/>
                    <w:right w:val="nil"/>
                  </w:tcBorders>
                  <w:shd w:val="clear" w:color="auto" w:fill="auto"/>
                  <w:noWrap/>
                  <w:vAlign w:val="bottom"/>
                  <w:hideMark/>
                </w:tcPr>
                <w:p w14:paraId="0F93FB50" w14:textId="77777777" w:rsidR="007F3F4E" w:rsidRDefault="007F3F4E" w:rsidP="007F3F4E">
                  <w:pPr>
                    <w:pStyle w:val="Body"/>
                  </w:pPr>
                  <w:r>
                    <w:t>TRV</w:t>
                  </w:r>
                </w:p>
              </w:tc>
              <w:tc>
                <w:tcPr>
                  <w:tcW w:w="6902" w:type="dxa"/>
                  <w:tcBorders>
                    <w:top w:val="nil"/>
                    <w:left w:val="nil"/>
                    <w:bottom w:val="nil"/>
                    <w:right w:val="nil"/>
                  </w:tcBorders>
                  <w:shd w:val="clear" w:color="auto" w:fill="auto"/>
                  <w:noWrap/>
                  <w:vAlign w:val="bottom"/>
                  <w:hideMark/>
                </w:tcPr>
                <w:p w14:paraId="3B1CDB7E" w14:textId="77777777" w:rsidR="007F3F4E" w:rsidRDefault="007F3F4E" w:rsidP="007F3F4E">
                  <w:pPr>
                    <w:pStyle w:val="Body"/>
                  </w:pPr>
                  <w:r>
                    <w:t>Tricuspid peak regurgitation velocity</w:t>
                  </w:r>
                </w:p>
              </w:tc>
            </w:tr>
            <w:tr w:rsidR="007F3F4E" w14:paraId="4129E670" w14:textId="77777777" w:rsidTr="007F3F4E">
              <w:trPr>
                <w:trHeight w:val="320"/>
              </w:trPr>
              <w:tc>
                <w:tcPr>
                  <w:tcW w:w="1739" w:type="dxa"/>
                  <w:tcBorders>
                    <w:top w:val="nil"/>
                    <w:left w:val="nil"/>
                    <w:bottom w:val="nil"/>
                    <w:right w:val="nil"/>
                  </w:tcBorders>
                  <w:shd w:val="clear" w:color="auto" w:fill="auto"/>
                  <w:noWrap/>
                  <w:vAlign w:val="bottom"/>
                  <w:hideMark/>
                </w:tcPr>
                <w:p w14:paraId="47A49C21" w14:textId="77777777" w:rsidR="007F3F4E" w:rsidRDefault="007F3F4E" w:rsidP="007F3F4E">
                  <w:pPr>
                    <w:pStyle w:val="Body"/>
                  </w:pPr>
                  <w:r>
                    <w:t>TTE</w:t>
                  </w:r>
                </w:p>
              </w:tc>
              <w:tc>
                <w:tcPr>
                  <w:tcW w:w="6902" w:type="dxa"/>
                  <w:tcBorders>
                    <w:top w:val="nil"/>
                    <w:left w:val="nil"/>
                    <w:bottom w:val="nil"/>
                    <w:right w:val="nil"/>
                  </w:tcBorders>
                  <w:shd w:val="clear" w:color="auto" w:fill="auto"/>
                  <w:noWrap/>
                  <w:vAlign w:val="bottom"/>
                  <w:hideMark/>
                </w:tcPr>
                <w:p w14:paraId="11067E59" w14:textId="77777777" w:rsidR="007F3F4E" w:rsidRDefault="007F3F4E" w:rsidP="007F3F4E">
                  <w:pPr>
                    <w:pStyle w:val="Body"/>
                  </w:pPr>
                  <w:r>
                    <w:t>Transthoracic echocardiography</w:t>
                  </w:r>
                </w:p>
              </w:tc>
            </w:tr>
            <w:tr w:rsidR="007F3F4E" w14:paraId="25FB9FF5" w14:textId="77777777" w:rsidTr="007F3F4E">
              <w:trPr>
                <w:trHeight w:val="320"/>
              </w:trPr>
              <w:tc>
                <w:tcPr>
                  <w:tcW w:w="1739" w:type="dxa"/>
                  <w:tcBorders>
                    <w:top w:val="nil"/>
                    <w:left w:val="nil"/>
                    <w:bottom w:val="nil"/>
                    <w:right w:val="nil"/>
                  </w:tcBorders>
                  <w:shd w:val="clear" w:color="auto" w:fill="auto"/>
                  <w:noWrap/>
                  <w:vAlign w:val="bottom"/>
                  <w:hideMark/>
                </w:tcPr>
                <w:p w14:paraId="7F7A22D0" w14:textId="77777777" w:rsidR="007F3F4E" w:rsidRDefault="007F3F4E" w:rsidP="007F3F4E">
                  <w:pPr>
                    <w:pStyle w:val="Body"/>
                  </w:pPr>
                  <w:r>
                    <w:t>VR-PAH</w:t>
                  </w:r>
                </w:p>
              </w:tc>
              <w:tc>
                <w:tcPr>
                  <w:tcW w:w="6902" w:type="dxa"/>
                  <w:tcBorders>
                    <w:top w:val="nil"/>
                    <w:left w:val="nil"/>
                    <w:bottom w:val="nil"/>
                    <w:right w:val="nil"/>
                  </w:tcBorders>
                  <w:shd w:val="clear" w:color="auto" w:fill="auto"/>
                  <w:noWrap/>
                  <w:vAlign w:val="bottom"/>
                  <w:hideMark/>
                </w:tcPr>
                <w:p w14:paraId="0B967463" w14:textId="410DAE13" w:rsidR="007F3F4E" w:rsidRDefault="000F6B60" w:rsidP="007F3F4E">
                  <w:pPr>
                    <w:pStyle w:val="Body"/>
                  </w:pPr>
                  <w:r>
                    <w:t>V</w:t>
                  </w:r>
                  <w:r w:rsidR="007F3F4E">
                    <w:t>aso</w:t>
                  </w:r>
                  <w:r>
                    <w:t>-</w:t>
                  </w:r>
                  <w:r w:rsidR="007F3F4E">
                    <w:t>responsive pulmonary arterial hypertension</w:t>
                  </w:r>
                </w:p>
              </w:tc>
            </w:tr>
            <w:tr w:rsidR="007F3F4E" w14:paraId="22128250" w14:textId="77777777" w:rsidTr="007F3F4E">
              <w:trPr>
                <w:trHeight w:val="320"/>
              </w:trPr>
              <w:tc>
                <w:tcPr>
                  <w:tcW w:w="1739" w:type="dxa"/>
                  <w:tcBorders>
                    <w:top w:val="nil"/>
                    <w:left w:val="nil"/>
                    <w:bottom w:val="nil"/>
                    <w:right w:val="nil"/>
                  </w:tcBorders>
                  <w:shd w:val="clear" w:color="auto" w:fill="auto"/>
                  <w:noWrap/>
                  <w:vAlign w:val="bottom"/>
                  <w:hideMark/>
                </w:tcPr>
                <w:p w14:paraId="41343100" w14:textId="77777777" w:rsidR="007F3F4E" w:rsidRDefault="007F3F4E" w:rsidP="007F3F4E">
                  <w:pPr>
                    <w:pStyle w:val="Body"/>
                  </w:pPr>
                  <w:r>
                    <w:t>WHO</w:t>
                  </w:r>
                </w:p>
              </w:tc>
              <w:tc>
                <w:tcPr>
                  <w:tcW w:w="6902" w:type="dxa"/>
                  <w:tcBorders>
                    <w:top w:val="nil"/>
                    <w:left w:val="nil"/>
                    <w:bottom w:val="nil"/>
                    <w:right w:val="nil"/>
                  </w:tcBorders>
                  <w:shd w:val="clear" w:color="auto" w:fill="auto"/>
                  <w:noWrap/>
                  <w:vAlign w:val="bottom"/>
                  <w:hideMark/>
                </w:tcPr>
                <w:p w14:paraId="0A48B348" w14:textId="77777777" w:rsidR="007F3F4E" w:rsidRDefault="007F3F4E" w:rsidP="007F3F4E">
                  <w:pPr>
                    <w:pStyle w:val="Body"/>
                  </w:pPr>
                  <w:r>
                    <w:t>world health organisation</w:t>
                  </w:r>
                </w:p>
              </w:tc>
            </w:tr>
            <w:tr w:rsidR="007F3F4E" w14:paraId="7B70AC7A" w14:textId="77777777" w:rsidTr="007F3F4E">
              <w:trPr>
                <w:trHeight w:val="320"/>
              </w:trPr>
              <w:tc>
                <w:tcPr>
                  <w:tcW w:w="1739" w:type="dxa"/>
                  <w:tcBorders>
                    <w:top w:val="nil"/>
                    <w:left w:val="nil"/>
                    <w:bottom w:val="nil"/>
                    <w:right w:val="nil"/>
                  </w:tcBorders>
                  <w:shd w:val="clear" w:color="auto" w:fill="auto"/>
                  <w:noWrap/>
                  <w:vAlign w:val="bottom"/>
                  <w:hideMark/>
                </w:tcPr>
                <w:p w14:paraId="3B1DF088" w14:textId="77777777" w:rsidR="007F3F4E" w:rsidRDefault="007F3F4E" w:rsidP="007F3F4E">
                  <w:pPr>
                    <w:pStyle w:val="Body"/>
                  </w:pPr>
                  <w:r>
                    <w:t xml:space="preserve">µl </w:t>
                  </w:r>
                </w:p>
              </w:tc>
              <w:tc>
                <w:tcPr>
                  <w:tcW w:w="6902" w:type="dxa"/>
                  <w:tcBorders>
                    <w:top w:val="nil"/>
                    <w:left w:val="nil"/>
                    <w:bottom w:val="nil"/>
                    <w:right w:val="nil"/>
                  </w:tcBorders>
                  <w:shd w:val="clear" w:color="auto" w:fill="auto"/>
                  <w:noWrap/>
                  <w:vAlign w:val="bottom"/>
                  <w:hideMark/>
                </w:tcPr>
                <w:p w14:paraId="06A17776" w14:textId="77777777" w:rsidR="007F3F4E" w:rsidRDefault="007F3F4E" w:rsidP="007F3F4E">
                  <w:pPr>
                    <w:pStyle w:val="Body"/>
                  </w:pPr>
                  <w:r>
                    <w:t>Microlitre</w:t>
                  </w:r>
                </w:p>
              </w:tc>
            </w:tr>
          </w:tbl>
          <w:p w14:paraId="3E290AD0" w14:textId="5919370A" w:rsidR="00A70641" w:rsidRPr="00D14367" w:rsidRDefault="00A70641" w:rsidP="00A70641">
            <w:pPr>
              <w:pStyle w:val="Body"/>
              <w:spacing w:line="240" w:lineRule="auto"/>
              <w:rPr>
                <w:bdr w:val="none" w:sz="0" w:space="0" w:color="auto"/>
              </w:rPr>
            </w:pPr>
          </w:p>
        </w:tc>
        <w:tc>
          <w:tcPr>
            <w:tcW w:w="4085" w:type="pct"/>
            <w:tcBorders>
              <w:top w:val="nil"/>
              <w:left w:val="nil"/>
              <w:bottom w:val="nil"/>
              <w:right w:val="nil"/>
            </w:tcBorders>
            <w:shd w:val="clear" w:color="auto" w:fill="auto"/>
            <w:noWrap/>
            <w:vAlign w:val="center"/>
            <w:hideMark/>
          </w:tcPr>
          <w:p w14:paraId="479093EC" w14:textId="6943839A" w:rsidR="00A70641" w:rsidRPr="00D14367" w:rsidRDefault="00A70641" w:rsidP="00A70641">
            <w:pPr>
              <w:pStyle w:val="Body"/>
              <w:spacing w:line="240" w:lineRule="auto"/>
              <w:rPr>
                <w:bdr w:val="none" w:sz="0" w:space="0" w:color="auto"/>
              </w:rPr>
            </w:pPr>
          </w:p>
        </w:tc>
      </w:tr>
    </w:tbl>
    <w:p w14:paraId="40386537" w14:textId="77777777" w:rsidR="00A70641" w:rsidRPr="00E5229C" w:rsidRDefault="00A70641" w:rsidP="00A70641">
      <w:pPr>
        <w:pStyle w:val="Body"/>
        <w:sectPr w:rsidR="00A70641" w:rsidRPr="00E5229C" w:rsidSect="0063593C">
          <w:type w:val="continuous"/>
          <w:pgSz w:w="11900" w:h="16840"/>
          <w:pgMar w:top="1411" w:right="1411" w:bottom="1411" w:left="1411" w:header="706" w:footer="706" w:gutter="0"/>
          <w:pgNumType w:fmt="lowerRoman"/>
          <w:cols w:space="708"/>
          <w:titlePg/>
          <w:docGrid w:linePitch="360"/>
        </w:sectPr>
      </w:pPr>
    </w:p>
    <w:p w14:paraId="22A7D598" w14:textId="55E0C3B3" w:rsidR="007F3F4E" w:rsidRDefault="007F3F4E">
      <w:pPr>
        <w:rPr>
          <w:rFonts w:ascii="Helvetica" w:eastAsia="Helvetica" w:hAnsi="Helvetica" w:cs="Helvetica"/>
          <w:b/>
          <w:bCs/>
          <w:color w:val="000000"/>
          <w:sz w:val="36"/>
          <w:szCs w:val="36"/>
          <w:bdr w:val="nil"/>
        </w:rPr>
      </w:pPr>
      <w:r>
        <w:br w:type="page"/>
      </w:r>
    </w:p>
    <w:p w14:paraId="7B72A86C" w14:textId="096313AE" w:rsidR="00D7260E" w:rsidRPr="00E5229C" w:rsidRDefault="00D7260E" w:rsidP="00D7260E">
      <w:pPr>
        <w:pStyle w:val="Heading1"/>
        <w:numPr>
          <w:ilvl w:val="0"/>
          <w:numId w:val="7"/>
        </w:numPr>
        <w:spacing w:before="120" w:after="120"/>
      </w:pPr>
      <w:bookmarkStart w:id="30" w:name="_Toc297817811"/>
      <w:bookmarkStart w:id="31" w:name="_Toc297818218"/>
      <w:bookmarkStart w:id="32" w:name="_Toc297818545"/>
      <w:bookmarkStart w:id="33" w:name="_Toc60773844"/>
      <w:r w:rsidRPr="00E5229C">
        <w:lastRenderedPageBreak/>
        <w:t>Introduction</w:t>
      </w:r>
      <w:bookmarkEnd w:id="0"/>
      <w:bookmarkEnd w:id="30"/>
      <w:bookmarkEnd w:id="31"/>
      <w:bookmarkEnd w:id="32"/>
      <w:bookmarkEnd w:id="33"/>
    </w:p>
    <w:p w14:paraId="1BDC3AD9" w14:textId="5BCDE177" w:rsidR="00996906" w:rsidRPr="00996906" w:rsidRDefault="00F47520" w:rsidP="00996906">
      <w:pPr>
        <w:pStyle w:val="Heading2"/>
        <w:numPr>
          <w:ilvl w:val="1"/>
          <w:numId w:val="7"/>
        </w:numPr>
        <w:spacing w:before="120" w:after="120"/>
        <w:ind w:left="578" w:hanging="578"/>
      </w:pPr>
      <w:bookmarkStart w:id="34" w:name="_Toc246745614"/>
      <w:bookmarkStart w:id="35" w:name="_Toc297817813"/>
      <w:bookmarkStart w:id="36" w:name="_Toc297818220"/>
      <w:bookmarkStart w:id="37" w:name="_Toc297818547"/>
      <w:bookmarkStart w:id="38" w:name="_Toc60773845"/>
      <w:r>
        <w:t>Pulmonary Hypertension</w:t>
      </w:r>
      <w:bookmarkEnd w:id="38"/>
    </w:p>
    <w:p w14:paraId="150C6273" w14:textId="4D03892B" w:rsidR="00F47520" w:rsidRPr="00F47520" w:rsidRDefault="00F47520" w:rsidP="00F47520">
      <w:pPr>
        <w:pStyle w:val="Body"/>
      </w:pPr>
      <w:r w:rsidRPr="00F47520">
        <w:t xml:space="preserve">Pulmonary hypertension (PH) describes a rare and diverse group of disorders defined as having a resting mean pulmonary arterial pressure of </w:t>
      </w:r>
      <w:r w:rsidR="0060760D">
        <w:rPr>
          <w:rFonts w:ascii="Calibri" w:hAnsi="Calibri"/>
        </w:rPr>
        <w:t>&gt;</w:t>
      </w:r>
      <w:r w:rsidRPr="00F47520">
        <w:t xml:space="preserve"> 2</w:t>
      </w:r>
      <w:r w:rsidR="00A251FF">
        <w:t>0</w:t>
      </w:r>
      <w:r w:rsidRPr="00F47520">
        <w:t xml:space="preserve"> mm</w:t>
      </w:r>
      <w:r w:rsidR="003C7368">
        <w:t xml:space="preserve"> </w:t>
      </w:r>
      <w:r w:rsidRPr="00F47520">
        <w:t xml:space="preserve">Hg at right heart catheterisation (RHC) </w:t>
      </w:r>
      <w:r w:rsidR="00095567">
        <w:rPr>
          <w:rFonts w:eastAsiaTheme="minorEastAsia"/>
          <w:lang w:val="en-US"/>
        </w:rPr>
        <w:fldChar w:fldCharType="begin"/>
      </w:r>
      <w:r w:rsidR="004E19A5">
        <w:rPr>
          <w:rFonts w:eastAsiaTheme="minorEastAsia"/>
          <w:lang w:val="en-US"/>
        </w:rPr>
        <w:instrText xml:space="preserve"> ADDIN PAPERS2_CITATIONS &lt;citation&gt;&lt;priority&gt;8&lt;/priority&gt;&lt;uuid&gt;13CE040E-7C16-45E8-BCE4-2CED72A84B8A&lt;/uuid&gt;&lt;publications&gt;&lt;publication&gt;&lt;subtype&gt;400&lt;/subtype&gt;&lt;title&gt;Haemodynamic definitions and updated clinical classification of pulmonary hypertension&lt;/title&gt;&lt;url&gt;http://erj.ersjournals.com/lookup/doi/10.1183/13993003.01913-2018&lt;/url&gt;&lt;volume&gt;53&lt;/volume&gt;&lt;publication_date&gt;99201901101200000000222000&lt;/publication_date&gt;&lt;uuid&gt;E3FD3495-8991-4A51-B12A-93BFE9B5D3AD&lt;/uuid&gt;&lt;type&gt;400&lt;/type&gt;&lt;accepted_date&gt;99201810091200000000222000&lt;/accepted_date&gt;&lt;number&gt;1&lt;/number&gt;&lt;submission_date&gt;99201810061200000000222000&lt;/submission_date&gt;&lt;doi&gt;10.1183/13993003.01913-2018&lt;/doi&gt;&lt;institution&gt;Université Paris-Sud, AP-HP, Centre de Référence de l'Hypertension Pulmonaire, Service de Pneumologie, Département Hospitalo-Universitaire (DHU) Thorax Innovation (TORINO), Hôpital de Bicêtre, Le Kremlin-Bicêtre, France.&lt;/institution&gt;&lt;startpage&gt;1801913&lt;/startpage&gt;&lt;bundle&gt;&lt;publication&gt;&lt;title&gt;European Respiratory Journal&lt;/title&gt;&lt;uuid&gt;B67DDBE2-BCE3-42FF-86A9-BC8F813AD582&lt;/uuid&gt;&lt;subtype&gt;-100&lt;/subtype&gt;&lt;publisher&gt;European Respiratory Society&lt;/publisher&gt;&lt;type&gt;-100&lt;/type&gt;&lt;url&gt;http://erj.ersjournals.com&lt;/url&gt;&lt;/publication&gt;&lt;/bundle&gt;&lt;authors&gt;&lt;author&gt;&lt;lastName&gt;Simonneau&lt;/lastName&gt;&lt;firstName&gt;Gérald&lt;/firstName&gt;&lt;/author&gt;&lt;author&gt;&lt;lastName&gt;Montani&lt;/lastName&gt;&lt;firstName&gt;David&lt;/firstName&gt;&lt;/author&gt;&lt;author&gt;&lt;lastName&gt;Celermajer&lt;/lastName&gt;&lt;firstName&gt;David&lt;/firstName&gt;&lt;middleNames&gt;S&lt;/middleNames&gt;&lt;/author&gt;&lt;author&gt;&lt;lastName&gt;Denton&lt;/lastName&gt;&lt;firstName&gt;Christopher&lt;/firstName&gt;&lt;middleNames&gt;P&lt;/middleNames&gt;&lt;/author&gt;&lt;author&gt;&lt;lastName&gt;Gatzoulis&lt;/lastName&gt;&lt;firstName&gt;Michael&lt;/firstName&gt;&lt;middleNames&gt;A&lt;/middleNames&gt;&lt;/author&gt;&lt;author&gt;&lt;lastName&gt;Krowka&lt;/lastName&gt;&lt;firstName&gt;Michael&lt;/firstName&gt;&lt;/author&gt;&lt;author&gt;&lt;lastName&gt;Williams&lt;/lastName&gt;&lt;firstName&gt;Paul&lt;/firstName&gt;&lt;middleNames&gt;G&lt;/middleNames&gt;&lt;/author&gt;&lt;author&gt;&lt;lastName&gt;Souza&lt;/lastName&gt;&lt;firstName&gt;Rogério&lt;/firstName&gt;&lt;/author&gt;&lt;/authors&gt;&lt;/publication&gt;&lt;/publications&gt;&lt;cites&gt;&lt;/cites&gt;&lt;/citation&gt;</w:instrText>
      </w:r>
      <w:r w:rsidR="00095567">
        <w:rPr>
          <w:rFonts w:eastAsiaTheme="minorEastAsia"/>
          <w:lang w:val="en-US"/>
        </w:rPr>
        <w:fldChar w:fldCharType="separate"/>
      </w:r>
      <w:r w:rsidR="00095567">
        <w:rPr>
          <w:rFonts w:eastAsiaTheme="minorEastAsia"/>
          <w:lang w:val="en-US"/>
        </w:rPr>
        <w:t>(</w:t>
      </w:r>
      <w:proofErr w:type="spellStart"/>
      <w:r w:rsidR="00095567">
        <w:rPr>
          <w:rFonts w:eastAsiaTheme="minorEastAsia"/>
          <w:lang w:val="en-US"/>
        </w:rPr>
        <w:t>Simonneau</w:t>
      </w:r>
      <w:proofErr w:type="spellEnd"/>
      <w:r w:rsidR="00095567">
        <w:rPr>
          <w:rFonts w:eastAsiaTheme="minorEastAsia"/>
          <w:lang w:val="en-US"/>
        </w:rPr>
        <w:t xml:space="preserve"> et al., 2019)</w:t>
      </w:r>
      <w:r w:rsidR="00095567">
        <w:rPr>
          <w:rFonts w:eastAsiaTheme="minorEastAsia"/>
          <w:lang w:val="en-US"/>
        </w:rPr>
        <w:fldChar w:fldCharType="end"/>
      </w:r>
      <w:r w:rsidR="00A251FF">
        <w:t xml:space="preserve">. </w:t>
      </w:r>
      <w:r w:rsidR="00182E77">
        <w:t xml:space="preserve">According to </w:t>
      </w:r>
      <w:r w:rsidR="00A251FF">
        <w:t>various</w:t>
      </w:r>
      <w:r w:rsidR="00182E77">
        <w:t xml:space="preserve"> combinations of </w:t>
      </w:r>
      <w:r w:rsidR="00B04A00">
        <w:t xml:space="preserve">haemodynamic observations and </w:t>
      </w:r>
      <w:r w:rsidR="003144D3">
        <w:t>risk factors</w:t>
      </w:r>
      <w:r w:rsidR="00B04A00">
        <w:t xml:space="preserve"> PH is categorised by t</w:t>
      </w:r>
      <w:r w:rsidRPr="00F47520">
        <w:t>he World Health Organisation (WHO) into 5 categories; Group 1: Pulmonary arterial hypertension, Group 2: Pulmonary hypertension due to left heart disease, Group 3: Pulmonary hypertension due to lung diseases and/or hypoxia, Group 4:</w:t>
      </w:r>
      <w:r w:rsidR="00C6312B">
        <w:t xml:space="preserve"> Pulmonary hypertension due to pulmonary artery obstructions</w:t>
      </w:r>
      <w:r w:rsidRPr="00F47520">
        <w:t xml:space="preserve">, and Group 5: Pulmonary hypertension with unclear multifactorial mechanism </w:t>
      </w:r>
      <w:r w:rsidRPr="00F47520">
        <w:fldChar w:fldCharType="begin"/>
      </w:r>
      <w:r w:rsidR="004E19A5">
        <w:instrText xml:space="preserve"> ADDIN PAPERS2_CITATIONS &lt;citation&gt;&lt;priority&gt;0&lt;/priority&gt;&lt;uuid&gt;FCC60DEB-EFAA-4DC9-B0C3-980A717935B7&lt;/uuid&gt;&lt;publications&gt;&lt;publication&gt;&lt;subtype&gt;400&lt;/subtype&gt;&lt;publisher&gt;Journal of the American College of Cardiology&lt;/publisher&gt;&lt;title&gt;Updated Clinical Classification of Pulmonary Hypertension&lt;/title&gt;&lt;url&gt;http://content.onlinejacc.org/article.aspx?articleid=1139839&amp;amp;resultClick=3&lt;/url&gt;&lt;volume&gt;54&lt;/volume&gt;&lt;publication_date&gt;99200906301200000000222000&lt;/publication_date&gt;&lt;uuid&gt;35C74FFE-9846-4B30-BDC0-4B9E4C51AE74&lt;/uuid&gt;&lt;type&gt;400&lt;/type&gt;&lt;number&gt;1s1&lt;/number&gt;&lt;doi&gt;10.1016/j.jacc.2009.04.012&lt;/doi&gt;&lt;startpage&gt;S43&lt;/startpage&gt;&lt;endpage&gt;S54&lt;/endpage&gt;&lt;bundle&gt;&lt;publication&gt;&lt;title&gt;Journal of the American College of Cardiology&lt;/title&gt;&lt;uuid&gt;79CE9EF2-CFF5-4153-A6C1-45984E5F2BEE&lt;/uuid&gt;&lt;subtype&gt;-100&lt;/subtype&gt;&lt;publisher&gt;Journal of the American College of Cardiology&lt;/publisher&gt;&lt;type&gt;-100&lt;/type&gt;&lt;url&gt;http://content.onlinejacc.org&lt;/url&gt;&lt;/publication&gt;&lt;/bundle&gt;&lt;authors&gt;&lt;author&gt;&lt;lastName&gt;Simonneau&lt;/lastName&gt;&lt;firstName&gt;Gérald&lt;/firstName&gt;&lt;/author&gt;&lt;author&gt;&lt;lastName&gt;Robbins&lt;/lastName&gt;&lt;firstName&gt;Ivan&lt;/firstName&gt;&lt;middleNames&gt;M&lt;/middleNames&gt;&lt;/author&gt;&lt;author&gt;&lt;lastName&gt;Beghetti&lt;/lastName&gt;&lt;firstName&gt;Maurice&lt;/firstName&gt;&lt;/author&gt;&lt;author&gt;&lt;lastName&gt;Channick&lt;/lastName&gt;&lt;firstName&gt;Richard&lt;/firstName&gt;&lt;middleNames&gt;N&lt;/middleNames&gt;&lt;/author&gt;&lt;author&gt;&lt;lastName&gt;Delcroix&lt;/lastName&gt;&lt;firstName&gt;Marion&lt;/firstName&gt;&lt;/author&gt;&lt;author&gt;&lt;lastName&gt;Denton&lt;/lastName&gt;&lt;firstName&gt;Christopher&lt;/firstName&gt;&lt;middleNames&gt;P&lt;/middleNames&gt;&lt;/author&gt;&lt;author&gt;&lt;lastName&gt;Elliott&lt;/lastName&gt;&lt;firstName&gt;C&lt;/firstName&gt;&lt;middleNames&gt;Gregory&lt;/middleNames&gt;&lt;/author&gt;&lt;author&gt;&lt;lastName&gt;Gaine&lt;/lastName&gt;&lt;firstName&gt;Sean&lt;/firstName&gt;&lt;middleNames&gt;P&lt;/middleNames&gt;&lt;/author&gt;&lt;author&gt;&lt;lastName&gt;Gladwin&lt;/lastName&gt;&lt;firstName&gt;Mark&lt;/firstName&gt;&lt;middleNames&gt;T&lt;/middleNames&gt;&lt;/author&gt;&lt;author&gt;&lt;lastName&gt;Jing&lt;/lastName&gt;&lt;firstName&gt;Zhi-Cheng&lt;/firstName&gt;&lt;/author&gt;&lt;author&gt;&lt;lastName&gt;Krowka&lt;/lastName&gt;&lt;firstName&gt;Michael&lt;/firstName&gt;&lt;middleNames&gt;J&lt;/middleNames&gt;&lt;/author&gt;&lt;author&gt;&lt;lastName&gt;Langleben&lt;/lastName&gt;&lt;firstName&gt;David&lt;/firstName&gt;&lt;/author&gt;&lt;author&gt;&lt;lastName&gt;Nakanishi&lt;/lastName&gt;&lt;firstName&gt;Norifumi&lt;/firstName&gt;&lt;/author&gt;&lt;author&gt;&lt;lastName&gt;Souza&lt;/lastName&gt;&lt;firstName&gt;Rogério&lt;/firstName&gt;&lt;/author&gt;&lt;/authors&gt;&lt;/publication&gt;&lt;/publications&gt;&lt;cites&gt;&lt;/cites&gt;&lt;/citation&gt;</w:instrText>
      </w:r>
      <w:r w:rsidRPr="00F47520">
        <w:fldChar w:fldCharType="separate"/>
      </w:r>
      <w:r w:rsidR="004E19A5">
        <w:rPr>
          <w:rFonts w:eastAsiaTheme="minorEastAsia"/>
        </w:rPr>
        <w:t>(</w:t>
      </w:r>
      <w:proofErr w:type="spellStart"/>
      <w:r w:rsidR="004E19A5">
        <w:rPr>
          <w:rFonts w:eastAsiaTheme="minorEastAsia"/>
        </w:rPr>
        <w:t>Simonneau</w:t>
      </w:r>
      <w:proofErr w:type="spellEnd"/>
      <w:r w:rsidR="004E19A5">
        <w:rPr>
          <w:rFonts w:eastAsiaTheme="minorEastAsia"/>
        </w:rPr>
        <w:t xml:space="preserve"> et al., 2009)</w:t>
      </w:r>
      <w:r w:rsidRPr="00F47520">
        <w:fldChar w:fldCharType="end"/>
      </w:r>
      <w:r w:rsidRPr="00F47520">
        <w:t>.</w:t>
      </w:r>
    </w:p>
    <w:p w14:paraId="47D9EAEE" w14:textId="77777777" w:rsidR="007F030E" w:rsidRPr="007F030E" w:rsidRDefault="007F030E" w:rsidP="007F030E"/>
    <w:p w14:paraId="7EAB4D91" w14:textId="4D1E0336" w:rsidR="00F47520" w:rsidRPr="00F47520" w:rsidRDefault="00D7260E" w:rsidP="00F47520">
      <w:pPr>
        <w:pStyle w:val="Heading2"/>
        <w:numPr>
          <w:ilvl w:val="1"/>
          <w:numId w:val="7"/>
        </w:numPr>
        <w:spacing w:before="120" w:after="120"/>
        <w:ind w:left="578" w:hanging="578"/>
      </w:pPr>
      <w:bookmarkStart w:id="39" w:name="_Toc60773846"/>
      <w:r w:rsidRPr="00E5229C">
        <w:t xml:space="preserve">Pulmonary </w:t>
      </w:r>
      <w:r w:rsidR="00F97727">
        <w:t xml:space="preserve">Arterial </w:t>
      </w:r>
      <w:r w:rsidRPr="00E5229C">
        <w:t>Hypertension</w:t>
      </w:r>
      <w:bookmarkEnd w:id="1"/>
      <w:bookmarkEnd w:id="34"/>
      <w:bookmarkEnd w:id="35"/>
      <w:bookmarkEnd w:id="36"/>
      <w:bookmarkEnd w:id="37"/>
      <w:bookmarkEnd w:id="39"/>
    </w:p>
    <w:p w14:paraId="13FAAC18" w14:textId="14431769" w:rsidR="00022D54" w:rsidRDefault="005179DB" w:rsidP="00996906">
      <w:pPr>
        <w:pStyle w:val="Body"/>
      </w:pPr>
      <w:r>
        <w:t xml:space="preserve">In addition to a </w:t>
      </w:r>
      <w:proofErr w:type="spellStart"/>
      <w:r>
        <w:t>mPAP</w:t>
      </w:r>
      <w:proofErr w:type="spellEnd"/>
      <w:r>
        <w:t xml:space="preserve"> ≥2</w:t>
      </w:r>
      <w:r w:rsidR="00A251FF">
        <w:t>0</w:t>
      </w:r>
      <w:r>
        <w:t xml:space="preserve"> mm Hg </w:t>
      </w:r>
      <w:r w:rsidR="00B04A00">
        <w:t>group 1</w:t>
      </w:r>
      <w:r>
        <w:t xml:space="preserve"> PH</w:t>
      </w:r>
      <w:r w:rsidR="00ED4BF4">
        <w:t xml:space="preserve">, </w:t>
      </w:r>
      <w:r w:rsidR="00F2203E">
        <w:t xml:space="preserve">diagnosis of </w:t>
      </w:r>
      <w:r w:rsidR="00ED4BF4">
        <w:t>p</w:t>
      </w:r>
      <w:r w:rsidR="00182E77">
        <w:t>ulmonary arterial h</w:t>
      </w:r>
      <w:r w:rsidR="00996906">
        <w:t>ypertension (PAH)</w:t>
      </w:r>
      <w:r w:rsidR="00F2203E">
        <w:t xml:space="preserve"> requires</w:t>
      </w:r>
      <w:r>
        <w:t xml:space="preserve"> </w:t>
      </w:r>
      <w:r w:rsidR="0063521B">
        <w:t>increase</w:t>
      </w:r>
      <w:r w:rsidR="003144D3">
        <w:t>d</w:t>
      </w:r>
      <w:r w:rsidR="0063521B">
        <w:t xml:space="preserve"> pulmonary vascular resistance</w:t>
      </w:r>
      <w:r w:rsidR="00F2203E">
        <w:t xml:space="preserve"> of </w:t>
      </w:r>
      <w:r w:rsidR="00A251FF">
        <w:t>≥</w:t>
      </w:r>
      <w:r w:rsidR="00F2203E">
        <w:t>3 Wood units</w:t>
      </w:r>
      <w:r>
        <w:t xml:space="preserve"> </w:t>
      </w:r>
      <w:r w:rsidR="003144D3">
        <w:t>in</w:t>
      </w:r>
      <w:r>
        <w:t xml:space="preserve"> the</w:t>
      </w:r>
      <w:r w:rsidRPr="005179DB">
        <w:t xml:space="preserve"> </w:t>
      </w:r>
      <w:r>
        <w:t>a</w:t>
      </w:r>
      <w:r w:rsidR="003144D3">
        <w:t>bsence of left heart disease and pulmonary thrombi</w:t>
      </w:r>
      <w:r w:rsidR="00A251FF">
        <w:t xml:space="preserve"> </w:t>
      </w:r>
      <w:r w:rsidR="00095567">
        <w:rPr>
          <w:rFonts w:eastAsiaTheme="minorEastAsia"/>
          <w:lang w:val="en-US"/>
        </w:rPr>
        <w:fldChar w:fldCharType="begin"/>
      </w:r>
      <w:r w:rsidR="004E19A5">
        <w:rPr>
          <w:rFonts w:eastAsiaTheme="minorEastAsia"/>
          <w:lang w:val="en-US"/>
        </w:rPr>
        <w:instrText xml:space="preserve"> ADDIN PAPERS2_CITATIONS &lt;citation&gt;&lt;priority&gt;10&lt;/priority&gt;&lt;uuid&gt;84274245-7D5D-457C-A881-CC456FF4B493&lt;/uuid&gt;&lt;publications&gt;&lt;publication&gt;&lt;subtype&gt;400&lt;/subtype&gt;&lt;title&gt;Haemodynamic definitions and updated clinical classification of pulmonary hypertension&lt;/title&gt;&lt;url&gt;http://erj.ersjournals.com/lookup/doi/10.1183/13993003.01913-2018&lt;/url&gt;&lt;volume&gt;53&lt;/volume&gt;&lt;publication_date&gt;99201901101200000000222000&lt;/publication_date&gt;&lt;uuid&gt;E3FD3495-8991-4A51-B12A-93BFE9B5D3AD&lt;/uuid&gt;&lt;type&gt;400&lt;/type&gt;&lt;accepted_date&gt;99201810091200000000222000&lt;/accepted_date&gt;&lt;number&gt;1&lt;/number&gt;&lt;submission_date&gt;99201810061200000000222000&lt;/submission_date&gt;&lt;doi&gt;10.1183/13993003.01913-2018&lt;/doi&gt;&lt;institution&gt;Université Paris-Sud, AP-HP, Centre de Référence de l'Hypertension Pulmonaire, Service de Pneumologie, Département Hospitalo-Universitaire (DHU) Thorax Innovation (TORINO), Hôpital de Bicêtre, Le Kremlin-Bicêtre, France.&lt;/institution&gt;&lt;startpage&gt;1801913&lt;/startpage&gt;&lt;bundle&gt;&lt;publication&gt;&lt;title&gt;European Respiratory Journal&lt;/title&gt;&lt;uuid&gt;B67DDBE2-BCE3-42FF-86A9-BC8F813AD582&lt;/uuid&gt;&lt;subtype&gt;-100&lt;/subtype&gt;&lt;publisher&gt;European Respiratory Society&lt;/publisher&gt;&lt;type&gt;-100&lt;/type&gt;&lt;url&gt;http://erj.ersjournals.com&lt;/url&gt;&lt;/publication&gt;&lt;/bundle&gt;&lt;authors&gt;&lt;author&gt;&lt;lastName&gt;Simonneau&lt;/lastName&gt;&lt;firstName&gt;Gérald&lt;/firstName&gt;&lt;/author&gt;&lt;author&gt;&lt;lastName&gt;Montani&lt;/lastName&gt;&lt;firstName&gt;David&lt;/firstName&gt;&lt;/author&gt;&lt;author&gt;&lt;lastName&gt;Celermajer&lt;/lastName&gt;&lt;firstName&gt;David&lt;/firstName&gt;&lt;middleNames&gt;S&lt;/middleNames&gt;&lt;/author&gt;&lt;author&gt;&lt;lastName&gt;Denton&lt;/lastName&gt;&lt;firstName&gt;Christopher&lt;/firstName&gt;&lt;middleNames&gt;P&lt;/middleNames&gt;&lt;/author&gt;&lt;author&gt;&lt;lastName&gt;Gatzoulis&lt;/lastName&gt;&lt;firstName&gt;Michael&lt;/firstName&gt;&lt;middleNames&gt;A&lt;/middleNames&gt;&lt;/author&gt;&lt;author&gt;&lt;lastName&gt;Krowka&lt;/lastName&gt;&lt;firstName&gt;Michael&lt;/firstName&gt;&lt;/author&gt;&lt;author&gt;&lt;lastName&gt;Williams&lt;/lastName&gt;&lt;firstName&gt;Paul&lt;/firstName&gt;&lt;middleNames&gt;G&lt;/middleNames&gt;&lt;/author&gt;&lt;author&gt;&lt;lastName&gt;Souza&lt;/lastName&gt;&lt;firstName&gt;Rogério&lt;/firstName&gt;&lt;/author&gt;&lt;/authors&gt;&lt;/publication&gt;&lt;/publications&gt;&lt;cites&gt;&lt;/cites&gt;&lt;/citation&gt;</w:instrText>
      </w:r>
      <w:r w:rsidR="00095567">
        <w:rPr>
          <w:rFonts w:eastAsiaTheme="minorEastAsia"/>
          <w:lang w:val="en-US"/>
        </w:rPr>
        <w:fldChar w:fldCharType="separate"/>
      </w:r>
      <w:r w:rsidR="00095567">
        <w:rPr>
          <w:rFonts w:eastAsiaTheme="minorEastAsia"/>
          <w:lang w:val="en-US"/>
        </w:rPr>
        <w:t>(</w:t>
      </w:r>
      <w:proofErr w:type="spellStart"/>
      <w:r w:rsidR="00095567">
        <w:rPr>
          <w:rFonts w:eastAsiaTheme="minorEastAsia"/>
          <w:lang w:val="en-US"/>
        </w:rPr>
        <w:t>Simonneau</w:t>
      </w:r>
      <w:proofErr w:type="spellEnd"/>
      <w:r w:rsidR="00095567">
        <w:rPr>
          <w:rFonts w:eastAsiaTheme="minorEastAsia"/>
          <w:lang w:val="en-US"/>
        </w:rPr>
        <w:t xml:space="preserve"> et al., 2019)</w:t>
      </w:r>
      <w:r w:rsidR="00095567">
        <w:rPr>
          <w:rFonts w:eastAsiaTheme="minorEastAsia"/>
          <w:lang w:val="en-US"/>
        </w:rPr>
        <w:fldChar w:fldCharType="end"/>
      </w:r>
      <w:r w:rsidR="0063521B">
        <w:t>.</w:t>
      </w:r>
      <w:r w:rsidR="00F2203E">
        <w:t xml:space="preserve"> </w:t>
      </w:r>
      <w:r w:rsidR="002B346C">
        <w:t xml:space="preserve">A normal right atrial pressure indicates the absence of left heart disease and is measured indirectly </w:t>
      </w:r>
      <w:r w:rsidR="00A20E2C">
        <w:t>by</w:t>
      </w:r>
      <w:r w:rsidR="002B346C">
        <w:t xml:space="preserve"> the pulmonary artery wedge pressure (PAWP)</w:t>
      </w:r>
      <w:r w:rsidR="00A20E2C">
        <w:t>. A</w:t>
      </w:r>
      <w:r w:rsidR="003144D3">
        <w:t xml:space="preserve"> PAWP of ≤15 mm Hg is </w:t>
      </w:r>
      <w:r w:rsidR="00A20E2C">
        <w:t xml:space="preserve">required for a diagnosis of </w:t>
      </w:r>
      <w:r w:rsidR="002B346C">
        <w:t>PAH. Thrombi present would indicate a diagnosis of CTEPH, this is typically determined from a</w:t>
      </w:r>
      <w:r w:rsidR="005830FB">
        <w:rPr>
          <w:rFonts w:ascii="Calibri" w:hAnsi="Calibri"/>
        </w:rPr>
        <w:t xml:space="preserve"> chest computer tomography (CT)</w:t>
      </w:r>
      <w:r w:rsidR="002B346C">
        <w:rPr>
          <w:rFonts w:ascii="Calibri" w:hAnsi="Calibri"/>
        </w:rPr>
        <w:t xml:space="preserve"> scan.</w:t>
      </w:r>
    </w:p>
    <w:p w14:paraId="5E41EECE" w14:textId="77777777" w:rsidR="006F26EF" w:rsidRDefault="006F26EF" w:rsidP="00996906">
      <w:pPr>
        <w:pStyle w:val="Body"/>
      </w:pPr>
    </w:p>
    <w:p w14:paraId="0CCBA9FE" w14:textId="2C4D07DC" w:rsidR="00F47520" w:rsidRDefault="00F47520" w:rsidP="0036015C">
      <w:pPr>
        <w:pStyle w:val="Body"/>
        <w:rPr>
          <w:rFonts w:cs="Times New Roman"/>
        </w:rPr>
      </w:pPr>
      <w:r>
        <w:t xml:space="preserve">PAH affects around 1-2 people per million worldwide with a 2:1 female bias </w:t>
      </w:r>
      <w:r>
        <w:fldChar w:fldCharType="begin"/>
      </w:r>
      <w:r w:rsidR="004E19A5">
        <w:instrText xml:space="preserve"> ADDIN PAPERS2_CITATIONS &lt;citation&gt;&lt;priority&gt;0&lt;/priority&gt;&lt;uuid&gt;8CF7485C-262C-438F-A902-04FD24175164&lt;/uuid&gt;&lt;publications&gt;&lt;publication&gt;&lt;subtype&gt;400&lt;/subtype&gt;&lt;publisher&gt;Medknow Publications&lt;/publisher&gt;&lt;title&gt;Riociguat: Something new in pulmonary hypertension therapeutics?&lt;/title&gt;&lt;url&gt;http://www.jpharmacol.com/text.asp?2015/6/1/3/149132&lt;/url&gt;&lt;volume&gt;6&lt;/volume&gt;&lt;revision_date&gt;99201408151200000000222000&lt;/revision_date&gt;&lt;publication_date&gt;99201500001200000000200000&lt;/publication_date&gt;&lt;uuid&gt;BA4519B1-602C-4EDF-A107-1E08751E7422&lt;/uuid&gt;&lt;type&gt;400&lt;/type&gt;&lt;accepted_date&gt;99201410311200000000222000&lt;/accepted_date&gt;&lt;number&gt;1&lt;/number&gt;&lt;submission_date&gt;99201406161200000000222000&lt;/submission_date&gt;&lt;doi&gt;10.4103/0976-500X.149132&lt;/doi&gt;&lt;institution&gt;Department of Cardiology, SRM Medical College Hospital and Research Centre, Chennai, Tamil Nadu, India.&lt;/institution&gt;&lt;startpage&gt;3&lt;/startpage&gt;&lt;endpage&gt;6&lt;/endpage&gt;&lt;bundle&gt;&lt;publication&gt;&lt;title&gt;Journal of Pharmacology &amp;amp; Pharmacotherapeutics&lt;/title&gt;&lt;uuid&gt;86ED79FD-A178-4BE6-A003-6F50FC0EAD0A&lt;/uuid&gt;&lt;subtype&gt;-100&lt;/subtype&gt;&lt;publisher&gt;Medknow Publications&lt;/publisher&gt;&lt;type&gt;-100&lt;/type&gt;&lt;/publication&gt;&lt;/bundle&gt;&lt;authors&gt;&lt;author&gt;&lt;lastName&gt;Shanmugam&lt;/lastName&gt;&lt;firstName&gt;Elangovan&lt;/firstName&gt;&lt;/author&gt;&lt;author&gt;&lt;lastName&gt;Jena&lt;/lastName&gt;&lt;firstName&gt;Amrita&lt;/firstName&gt;&lt;/author&gt;&lt;author&gt;&lt;lastName&gt;George&lt;/lastName&gt;&lt;firstName&gt;Melvin&lt;/firstName&gt;&lt;/author&gt;&lt;/authors&gt;&lt;/publication&gt;&lt;/publications&gt;&lt;cites&gt;&lt;/cites&gt;&lt;/citation&gt;</w:instrText>
      </w:r>
      <w:r>
        <w:fldChar w:fldCharType="separate"/>
      </w:r>
      <w:r w:rsidR="00095567">
        <w:rPr>
          <w:rFonts w:eastAsiaTheme="minorEastAsia"/>
          <w:lang w:val="en-US"/>
        </w:rPr>
        <w:t>(Shanmugam, Jena, &amp; George, 2015)</w:t>
      </w:r>
      <w:r>
        <w:fldChar w:fldCharType="end"/>
      </w:r>
      <w:r>
        <w:t xml:space="preserve">, </w:t>
      </w:r>
      <w:r>
        <w:fldChar w:fldCharType="begin"/>
      </w:r>
      <w:r w:rsidR="004E19A5">
        <w:instrText xml:space="preserve"> ADDIN PAPERS2_CITATIONS &lt;citation&gt;&lt;priority&gt;0&lt;/priority&gt;&lt;uuid&gt;AD5E1CE4-E25D-4E48-8286-5DE14A70936A&lt;/uuid&gt;&lt;publications&gt;&lt;publication&gt;&lt;subtype&gt;400&lt;/subtype&gt;&lt;publisher&gt;NIH Public Access&lt;/publisher&gt;&lt;title&gt;A Novel Channelopathy in Pulmonary Arterial Hypertension&lt;/title&gt;&lt;url&gt;http://www.nejm.org/doi/abs/10.1056/NEJMoa1211097&lt;/url&gt;&lt;volume&gt;369&lt;/volume&gt;&lt;publication_date&gt;99201307251200000000222000&lt;/publication_date&gt;&lt;uuid&gt;5136BF1D-1C8A-4D8B-86B1-1EBFC6DA3387&lt;/uuid&gt;&lt;type&gt;400&lt;/type&gt;&lt;number&gt;4&lt;/number&gt;&lt;doi&gt;10.1056/NEJMoa1211097&lt;/doi&gt;&lt;institution&gt;Department of Pediatrics, Columbia University Medical Center, New York, NY 10032, USA.&lt;/institution&gt;&lt;startpage&gt;351&lt;/startpage&gt;&lt;endpage&gt;361&lt;/endpage&gt;&lt;bundle&gt;&lt;publication&gt;&lt;title&gt;The New England journal of medicine&lt;/title&gt;&lt;uuid&gt;94738ECE-DC5D-4E27-88F4-F220710E770D&lt;/uuid&gt;&lt;subtype&gt;-100&lt;/subtype&gt;&lt;publisher&gt;NIH Public Access&lt;/publisher&gt;&lt;type&gt;-100&lt;/type&gt;&lt;/publication&gt;&lt;/bundle&gt;&lt;authors&gt;&lt;author&gt;&lt;lastName&gt;Ma&lt;/lastName&gt;&lt;firstName&gt;Lijiang&lt;/firstName&gt;&lt;/author&gt;&lt;author&gt;&lt;lastName&gt;Roman-Campos&lt;/lastName&gt;&lt;firstName&gt;Danilo&lt;/firstName&gt;&lt;/author&gt;&lt;author&gt;&lt;lastName&gt;Austin&lt;/lastName&gt;&lt;firstName&gt;Eric&lt;/firstName&gt;&lt;middleNames&gt;D&lt;/middleNames&gt;&lt;/author&gt;&lt;author&gt;&lt;lastName&gt;Eyries&lt;/lastName&gt;&lt;firstName&gt;Mélanie&lt;/firstName&gt;&lt;/author&gt;&lt;author&gt;&lt;lastName&gt;Sampson&lt;/lastName&gt;&lt;firstName&gt;Kevin&lt;/firstName&gt;&lt;middleNames&gt;S&lt;/middleNames&gt;&lt;/author&gt;&lt;author&gt;&lt;lastName&gt;Soubrier&lt;/lastName&gt;&lt;firstName&gt;Florent&lt;/firstName&gt;&lt;/author&gt;&lt;author&gt;&lt;lastName&gt;Germain&lt;/lastName&gt;&lt;firstName&gt;Marine&lt;/firstName&gt;&lt;/author&gt;&lt;author&gt;&lt;lastName&gt;Trégouët&lt;/lastName&gt;&lt;firstName&gt;David-Alexandre&lt;/firstName&gt;&lt;/author&gt;&lt;author&gt;&lt;lastName&gt;Borczuk&lt;/lastName&gt;&lt;firstName&gt;Alain&lt;/firstName&gt;&lt;/author&gt;&lt;author&gt;&lt;lastName&gt;Rosenzweig&lt;/lastName&gt;&lt;firstName&gt;Erika&lt;/firstName&gt;&lt;middleNames&gt;Berman&lt;/middleNames&gt;&lt;/author&gt;&lt;author&gt;&lt;lastName&gt;Girerd&lt;/lastName&gt;&lt;firstName&gt;Barbara&lt;/firstName&gt;&lt;/author&gt;&lt;author&gt;&lt;lastName&gt;Montani&lt;/lastName&gt;&lt;firstName&gt;David&lt;/firstName&gt;&lt;/author&gt;&lt;author&gt;&lt;lastName&gt;Humbert&lt;/lastName&gt;&lt;firstName&gt;Marc&lt;/firstName&gt;&lt;/author&gt;&lt;author&gt;&lt;lastName&gt;Loyd&lt;/lastName&gt;&lt;firstName&gt;James&lt;/firstName&gt;&lt;middleNames&gt;E&lt;/middleNames&gt;&lt;/author&gt;&lt;author&gt;&lt;lastName&gt;Kass&lt;/lastName&gt;&lt;firstName&gt;Robert&lt;/firstName&gt;&lt;middleNames&gt;S&lt;/middleNames&gt;&lt;/author&gt;&lt;author&gt;&lt;lastName&gt;Chung&lt;/lastName&gt;&lt;firstName&gt;Wendy&lt;/firstName&gt;&lt;middleNames&gt;K&lt;/middleNames&gt;&lt;/author&gt;&lt;/authors&gt;&lt;/publication&gt;&lt;/publications&gt;&lt;cites&gt;&lt;/cites&gt;&lt;/citation&gt;</w:instrText>
      </w:r>
      <w:r>
        <w:fldChar w:fldCharType="separate"/>
      </w:r>
      <w:r w:rsidR="00095567">
        <w:rPr>
          <w:rFonts w:eastAsiaTheme="minorEastAsia"/>
          <w:lang w:val="en-US"/>
        </w:rPr>
        <w:t>(Ma et al., 2013)</w:t>
      </w:r>
      <w:r>
        <w:fldChar w:fldCharType="end"/>
      </w:r>
      <w:r>
        <w:t>. Age at diagnosis is typically 30-5</w:t>
      </w:r>
      <w:r w:rsidR="00E65208">
        <w:t xml:space="preserve">0 years with a 3yr survival of 63%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&lt;citation&gt;&lt;priority&gt;13&lt;/priority&gt;&lt;uuid&gt;458544D6-7AD8-452B-B86C-9C6A549BC2AA&lt;/uuid&gt;&lt;publications&gt;&lt;publication&gt;&lt;subtype&gt;400&lt;/subtype&gt;&lt;title&gt;ASPIRE registry: Assessing the Spectrum of Pulmonary hypertension Identified at a REferral centre&lt;/title&gt;&lt;url&gt;http://erj.ersjournals.com/cgi/doi/10.1183/09031936.00078411&lt;/url&gt;&lt;volume&gt;39&lt;/volume&gt;&lt;publication_date&gt;99201203311200000000222000&lt;/publication_date&gt;&lt;uuid&gt;A8B61735-12AE-47F6-B67D-92F2DC0CDC66&lt;/uuid&gt;&lt;type&gt;400&lt;/type&gt;&lt;number&gt;4&lt;/number&gt;&lt;doi&gt;10.1183/09031936.00078411&lt;/doi&gt;&lt;startpage&gt;945&lt;/startpage&gt;&lt;endpage&gt;955&lt;/endpage&gt;&lt;bundle&gt;&lt;publication&gt;&lt;title&gt;European Respiratory Journal&lt;/title&gt;&lt;uuid&gt;B67DDBE2-BCE3-42FF-86A9-BC8F813AD582&lt;/uuid&gt;&lt;subtype&gt;-100&lt;/subtype&gt;&lt;publisher&gt;European Respiratory Society&lt;/publisher&gt;&lt;type&gt;-100&lt;/type&gt;&lt;url&gt;http://erj.ersjournals.com&lt;/url&gt;&lt;/publication&gt;&lt;/bundle&gt;&lt;authors&gt;&lt;author&gt;&lt;lastName&gt;Hurdman&lt;/lastName&gt;&lt;firstName&gt;J&lt;/firstName&gt;&lt;/author&gt;&lt;author&gt;&lt;lastName&gt;Condliffe&lt;/lastName&gt;&lt;firstName&gt;R&lt;/firstName&gt;&lt;/author&gt;&lt;author&gt;&lt;lastName&gt;Elliot&lt;/lastName&gt;&lt;firstName&gt;C&lt;/firstName&gt;&lt;middleNames&gt;A&lt;/middleNames&gt;&lt;/author&gt;&lt;author&gt;&lt;lastName&gt;Davies&lt;/lastName&gt;&lt;firstName&gt;C&lt;/firstName&gt;&lt;/author&gt;&lt;author&gt;&lt;lastName&gt;Hill&lt;/lastName&gt;&lt;firstName&gt;C&lt;/firstName&gt;&lt;/author&gt;&lt;author&gt;&lt;lastName&gt;Wild&lt;/lastName&gt;&lt;firstName&gt;J&lt;/firstName&gt;&lt;middleNames&gt;M&lt;/middleNames&gt;&lt;/author&gt;&lt;author&gt;&lt;lastName&gt;Capener&lt;/lastName&gt;&lt;firstName&gt;D&lt;/firstName&gt;&lt;/author&gt;&lt;author&gt;&lt;lastName&gt;Sephton&lt;/lastName&gt;&lt;firstName&gt;P&lt;/firstName&gt;&lt;/author&gt;&lt;author&gt;&lt;lastName&gt;Hamilton&lt;/lastName&gt;&lt;firstName&gt;N&lt;/firstName&gt;&lt;/author&gt;&lt;author&gt;&lt;lastName&gt;Armstrong&lt;/lastName&gt;&lt;firstName&gt;I&lt;/firstName&gt;&lt;middleNames&gt;J&lt;/middleNames&gt;&lt;/author&gt;&lt;author&gt;&lt;lastName&gt;Billings&lt;/lastName&gt;&lt;firstName&gt;C&lt;/firstName&gt;&lt;/author&gt;&lt;author&gt;&lt;lastName&gt;Lawrie&lt;/lastName&gt;&lt;firstName&gt;A&lt;/firstName&gt;&lt;/author&gt;&lt;author&gt;&lt;lastName&gt;Sabroe&lt;/lastName&gt;&lt;firstName&gt;I&lt;/firstName&gt;&lt;/author&gt;&lt;author&gt;&lt;lastName&gt;Akil&lt;/lastName&gt;&lt;firstName&gt;M&lt;/firstName&gt;&lt;/author&gt;&lt;author&gt;&lt;lastName&gt;O'Toole&lt;/lastName&gt;&lt;firstName&gt;L&lt;/firstName&gt;&lt;/author&gt;&lt;author&gt;&lt;lastName&gt;Kiely&lt;/lastName&gt;&lt;firstName&gt;D&lt;/firstName&gt;&lt;middleNames&gt;G&lt;/middleNames&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w:t>
      </w:r>
      <w:proofErr w:type="spellStart"/>
      <w:r w:rsidR="00095567">
        <w:rPr>
          <w:rFonts w:eastAsiaTheme="minorEastAsia"/>
          <w:lang w:val="en-US"/>
        </w:rPr>
        <w:t>Hurdman</w:t>
      </w:r>
      <w:proofErr w:type="spellEnd"/>
      <w:r w:rsidR="00095567">
        <w:rPr>
          <w:rFonts w:eastAsiaTheme="minorEastAsia"/>
          <w:lang w:val="en-US"/>
        </w:rPr>
        <w:t xml:space="preserve"> et al., 2012)</w:t>
      </w:r>
      <w:r w:rsidR="00095567">
        <w:rPr>
          <w:rFonts w:eastAsiaTheme="minorEastAsia"/>
          <w:color w:val="auto"/>
          <w:bdr w:val="none" w:sz="0" w:space="0" w:color="auto"/>
          <w:lang w:val="en-US"/>
        </w:rPr>
        <w:fldChar w:fldCharType="end"/>
      </w:r>
      <w:r>
        <w:t xml:space="preserve">. </w:t>
      </w:r>
      <w:r>
        <w:rPr>
          <w:rFonts w:cs="Times New Roman"/>
        </w:rPr>
        <w:t xml:space="preserve">Symptoms initially presented </w:t>
      </w:r>
      <w:r w:rsidRPr="007C1A3B">
        <w:rPr>
          <w:rFonts w:cs="Times New Roman"/>
        </w:rPr>
        <w:lastRenderedPageBreak/>
        <w:t xml:space="preserve">include shortness of breath, </w:t>
      </w:r>
      <w:r w:rsidRPr="007C1A3B">
        <w:rPr>
          <w:rFonts w:cs="Times New Roman"/>
          <w:lang w:val="en-US"/>
        </w:rPr>
        <w:t>fatigue, lethargy, dyspnea, and syncope or pre</w:t>
      </w:r>
      <w:r>
        <w:rPr>
          <w:rFonts w:cs="Times New Roman"/>
          <w:lang w:val="en-US"/>
        </w:rPr>
        <w:t>-</w:t>
      </w:r>
      <w:r w:rsidRPr="007C1A3B">
        <w:rPr>
          <w:rFonts w:cs="Times New Roman"/>
          <w:lang w:val="en-US"/>
        </w:rPr>
        <w:t>syncope upon moderate exertion</w:t>
      </w:r>
      <w:r w:rsidRPr="007C1A3B">
        <w:rPr>
          <w:rFonts w:cs="Times New Roman"/>
        </w:rPr>
        <w:t xml:space="preserve"> </w:t>
      </w:r>
      <w:r w:rsidRPr="007C1A3B">
        <w:rPr>
          <w:rFonts w:cs="Times New Roman"/>
        </w:rPr>
        <w:fldChar w:fldCharType="begin"/>
      </w:r>
      <w:r w:rsidR="004E19A5">
        <w:rPr>
          <w:rFonts w:cs="Times New Roman"/>
        </w:rPr>
        <w:instrText xml:space="preserve"> ADDIN PAPERS2_CITATIONS &lt;citation&gt;&lt;priority&gt;0&lt;/priority&gt;&lt;uuid&gt;A8754F7A-1636-4BC1-8754-EDF36D6AAE64&lt;/uuid&gt;&lt;publications&gt;&lt;publication&gt;&lt;subtype&gt;400&lt;/subtype&gt;&lt;publisher&gt;Lippincott Williams &amp;amp; Wilkins&lt;/publisher&gt;&lt;title&gt;Pulmonary arterial hypertension: the clinical syndrome.&lt;/title&gt;&lt;url&gt;http://circres.ahajournals.org/cgi/doi/10.1161/CIRCRESAHA.115.301146&lt;/url&gt;&lt;volume&gt;115&lt;/volume&gt;&lt;publication_date&gt;99201406201200000000222000&lt;/publication_date&gt;&lt;uuid&gt;4B020F91-F28C-42F9-9081-A24BD0E62B9D&lt;/uuid&gt;&lt;type&gt;400&lt;/type&gt;&lt;number&gt;1&lt;/number&gt;&lt;doi&gt;10.1161/CIRCRESAHA.115.301146&lt;/doi&gt;&lt;institution&gt;From Vascular Medicine Institute (Y.-C.L., K.C.P., A.L.M., M.T.G.) and Division of Pulmonary, Allergy and Critical Care Medicine, Department of Medicine (A.L.M., M.T.G.), University of Pittsburgh, PA.&lt;/institution&gt;&lt;startpage&gt;115&lt;/startpage&gt;&lt;endpage&gt;130&lt;/endpage&gt;&lt;bundle&gt;&lt;publication&gt;&lt;title&gt;Circulation Research&lt;/title&gt;&lt;uuid&gt;970BE4F4-8FFD-4321-A363-F85EC4F818D7&lt;/uuid&gt;&lt;subtype&gt;-100&lt;/subtype&gt;&lt;type&gt;-100&lt;/type&gt;&lt;/publication&gt;&lt;/bundle&gt;&lt;authors&gt;&lt;author&gt;&lt;lastName&gt;Lai&lt;/lastName&gt;&lt;firstName&gt;Yen-Chun&lt;/firstName&gt;&lt;/author&gt;&lt;author&gt;&lt;lastName&gt;Potoka&lt;/lastName&gt;&lt;firstName&gt;Karin&lt;/firstName&gt;&lt;middleNames&gt;C&lt;/middleNames&gt;&lt;/author&gt;&lt;author&gt;&lt;lastName&gt;Champion&lt;/lastName&gt;&lt;firstName&gt;Hunter&lt;/firstName&gt;&lt;middleNames&gt;C&lt;/middleNames&gt;&lt;/author&gt;&lt;author&gt;&lt;lastName&gt;Mora&lt;/lastName&gt;&lt;firstName&gt;Ana&lt;/firstName&gt;&lt;middleNames&gt;L&lt;/middleNames&gt;&lt;/author&gt;&lt;author&gt;&lt;lastName&gt;Gladwin&lt;/lastName&gt;&lt;firstName&gt;Mark&lt;/firstName&gt;&lt;middleNames&gt;T&lt;/middleNames&gt;&lt;/author&gt;&lt;/authors&gt;&lt;/publication&gt;&lt;/publications&gt;&lt;cites&gt;&lt;/cites&gt;&lt;/citation&gt;</w:instrText>
      </w:r>
      <w:r w:rsidRPr="007C1A3B">
        <w:rPr>
          <w:rFonts w:cs="Times New Roman"/>
        </w:rPr>
        <w:fldChar w:fldCharType="separate"/>
      </w:r>
      <w:r w:rsidR="004E19A5">
        <w:rPr>
          <w:rFonts w:eastAsiaTheme="minorEastAsia"/>
        </w:rPr>
        <w:t xml:space="preserve">(Y.-C. Lai, </w:t>
      </w:r>
      <w:proofErr w:type="spellStart"/>
      <w:r w:rsidR="004E19A5">
        <w:rPr>
          <w:rFonts w:eastAsiaTheme="minorEastAsia"/>
        </w:rPr>
        <w:t>Potoka</w:t>
      </w:r>
      <w:proofErr w:type="spellEnd"/>
      <w:r w:rsidR="004E19A5">
        <w:rPr>
          <w:rFonts w:eastAsiaTheme="minorEastAsia"/>
        </w:rPr>
        <w:t>, Champion, Mora, &amp; Gladwin, 2014)</w:t>
      </w:r>
      <w:r w:rsidRPr="007C1A3B">
        <w:rPr>
          <w:rFonts w:cs="Times New Roman"/>
        </w:rPr>
        <w:fldChar w:fldCharType="end"/>
      </w:r>
      <w:r>
        <w:rPr>
          <w:rFonts w:cs="Times New Roman"/>
        </w:rPr>
        <w:t>.</w:t>
      </w:r>
    </w:p>
    <w:p w14:paraId="7C45218D" w14:textId="77777777" w:rsidR="00F47520" w:rsidRPr="00A944BB" w:rsidRDefault="00F47520" w:rsidP="00F47520">
      <w:pPr>
        <w:pStyle w:val="Body"/>
        <w:rPr>
          <w:rFonts w:ascii="Times New Roman" w:hAnsi="Times New Roman" w:cs="Times New Roman"/>
        </w:rPr>
      </w:pPr>
    </w:p>
    <w:p w14:paraId="03252BD7" w14:textId="32B346E2" w:rsidR="00F47520" w:rsidRDefault="00F47520" w:rsidP="00996906">
      <w:pPr>
        <w:pStyle w:val="Body"/>
      </w:pPr>
      <w:r>
        <w:t xml:space="preserve">PAH is a complex multifactorial disease </w:t>
      </w:r>
      <w:r w:rsidRPr="007C1A3B">
        <w:rPr>
          <w:rFonts w:cs="Times New Roman"/>
        </w:rPr>
        <w:t xml:space="preserve">affecting the </w:t>
      </w:r>
      <w:r w:rsidRPr="007C1A3B">
        <w:rPr>
          <w:rFonts w:cs="Times New Roman"/>
          <w:color w:val="191919"/>
          <w:shd w:val="clear" w:color="auto" w:fill="FFFFFF"/>
        </w:rPr>
        <w:t xml:space="preserve">lung </w:t>
      </w:r>
      <w:r>
        <w:rPr>
          <w:rFonts w:cs="Times New Roman"/>
          <w:color w:val="191919"/>
          <w:shd w:val="clear" w:color="auto" w:fill="FFFFFF"/>
        </w:rPr>
        <w:t xml:space="preserve">vascular system and heart. </w:t>
      </w:r>
      <w:r w:rsidR="00F1160F">
        <w:rPr>
          <w:rFonts w:cs="Times New Roman"/>
          <w:color w:val="191919"/>
          <w:shd w:val="clear" w:color="auto" w:fill="FFFFFF"/>
        </w:rPr>
        <w:t>I</w:t>
      </w:r>
      <w:r w:rsidR="001C0E93">
        <w:rPr>
          <w:rFonts w:cs="Times New Roman"/>
          <w:color w:val="191919"/>
          <w:shd w:val="clear" w:color="auto" w:fill="FFFFFF"/>
        </w:rPr>
        <w:t>t is</w:t>
      </w:r>
      <w:r>
        <w:rPr>
          <w:rFonts w:cs="Times New Roman"/>
          <w:color w:val="191919"/>
          <w:shd w:val="clear" w:color="auto" w:fill="FFFFFF"/>
        </w:rPr>
        <w:t xml:space="preserve"> primarily characterised by </w:t>
      </w:r>
      <w:r>
        <w:t>p</w:t>
      </w:r>
      <w:r w:rsidDel="007C1A3B">
        <w:t>rogressive</w:t>
      </w:r>
      <w:r w:rsidRPr="00027261" w:rsidDel="007C1A3B">
        <w:t xml:space="preserve"> cellular remodelling within the</w:t>
      </w:r>
      <w:r w:rsidDel="007C1A3B">
        <w:t xml:space="preserve"> lung</w:t>
      </w:r>
      <w:r w:rsidRPr="00027261" w:rsidDel="007C1A3B">
        <w:t xml:space="preserve"> v</w:t>
      </w:r>
      <w:r>
        <w:t>asculature leading</w:t>
      </w:r>
      <w:r w:rsidDel="007C1A3B">
        <w:t xml:space="preserve"> to narrowing,</w:t>
      </w:r>
      <w:r w:rsidRPr="00027261" w:rsidDel="007C1A3B">
        <w:t xml:space="preserve"> occlusion </w:t>
      </w:r>
      <w:r w:rsidDel="007C1A3B">
        <w:t>and</w:t>
      </w:r>
      <w:r w:rsidRPr="00027261" w:rsidDel="007C1A3B">
        <w:t xml:space="preserve"> complete obliteration of</w:t>
      </w:r>
      <w:r>
        <w:t xml:space="preserve"> the</w:t>
      </w:r>
      <w:r w:rsidRPr="00027261" w:rsidDel="007C1A3B">
        <w:t xml:space="preserve"> distal arteries and arterioles </w:t>
      </w:r>
      <w:r w:rsidRPr="00027261" w:rsidDel="007C1A3B">
        <w:fldChar w:fldCharType="begin"/>
      </w:r>
      <w:r w:rsidR="004E19A5">
        <w:instrText xml:space="preserve"> ADDIN PAPERS2_CITATIONS &lt;citation&gt;&lt;priority&gt;0&lt;/priority&gt;&lt;uuid&gt;F5F64A11-F6A9-4A3E-9742-90006F292A1C&lt;/uuid&gt;&lt;publications&gt;&lt;publication&gt;&lt;subtype&gt;400&lt;/subtype&gt;&lt;title&gt;Cellular and molecular pathobiology of pulmonary arterial hypertension.&lt;/title&gt;&lt;url&gt;http://linkinghub.elsevier.com/retrieve/pii/S0735109704004383&lt;/url&gt;&lt;volume&gt;43&lt;/volume&gt;&lt;publication_date&gt;99200406161200000000222000&lt;/publication_date&gt;&lt;uuid&gt;95EAC9AF-55DC-4458-970F-235FE86B9FE3&lt;/uuid&gt;&lt;type&gt;400&lt;/type&gt;&lt;accepted_date&gt;99200402031200000000222000&lt;/accepted_date&gt;&lt;number&gt;12 Suppl S&lt;/number&gt;&lt;submission_date&gt;99200401071200000000222000&lt;/submission_date&gt;&lt;doi&gt;10.1016/j.jacc.2004.02.029&lt;/doi&gt;&lt;institution&gt;Service de Pneumologie et Réanimation Respiratoire, Centre des Maladies Vasculaires Pulmonaires, UPRES EA2705, Hôpital Antoine-Béclère, Université Paris-Sud, Clamart, France. humbert@ipsc.u-psud.fr&lt;/institution&gt;&lt;startpage&gt;13S&lt;/startpage&gt;&lt;endpage&gt;24S&lt;/endpage&gt;&lt;bundle&gt;&lt;publication&gt;&lt;title&gt;Journal of the American College of Cardiology&lt;/title&gt;&lt;uuid&gt;79CE9EF2-CFF5-4153-A6C1-45984E5F2BEE&lt;/uuid&gt;&lt;subtype&gt;-100&lt;/subtype&gt;&lt;publisher&gt;Journal of the American College of Cardiology&lt;/publisher&gt;&lt;type&gt;-100&lt;/type&gt;&lt;url&gt;http://content.onlinejacc.org&lt;/url&gt;&lt;/publication&gt;&lt;/bundle&gt;&lt;authors&gt;&lt;author&gt;&lt;lastName&gt;Humbert&lt;/lastName&gt;&lt;firstName&gt;Marc&lt;/firstName&gt;&lt;/author&gt;&lt;author&gt;&lt;lastName&gt;Morrell&lt;/lastName&gt;&lt;firstName&gt;Nicholas&lt;/firstName&gt;&lt;middleNames&gt;W&lt;/middleNames&gt;&lt;/author&gt;&lt;author&gt;&lt;lastName&gt;Archer&lt;/lastName&gt;&lt;firstName&gt;Stephen&lt;/firstName&gt;&lt;middleNames&gt;L&lt;/middleNames&gt;&lt;/author&gt;&lt;author&gt;&lt;lastName&gt;Stenmark&lt;/lastName&gt;&lt;firstName&gt;Kurt&lt;/firstName&gt;&lt;middleNames&gt;R&lt;/middleNames&gt;&lt;/author&gt;&lt;author&gt;&lt;lastName&gt;MacLean&lt;/lastName&gt;&lt;firstName&gt;Margaret&lt;/firstName&gt;&lt;middleNames&gt;R&lt;/middleNames&gt;&lt;/author&gt;&lt;author&gt;&lt;lastName&gt;Lang&lt;/lastName&gt;&lt;firstName&gt;Irene&lt;/firstName&gt;&lt;middleNames&gt;M&lt;/middleNames&gt;&lt;/author&gt;&lt;author&gt;&lt;lastName&gt;Christman&lt;/lastName&gt;&lt;firstName&gt;Brian&lt;/firstName&gt;&lt;middleNames&gt;W&lt;/middleNames&gt;&lt;/author&gt;&lt;author&gt;&lt;lastName&gt;Weir&lt;/lastName&gt;&lt;firstName&gt;E&lt;/firstName&gt;&lt;middleNames&gt;Kenneth&lt;/middleNames&gt;&lt;/author&gt;&lt;author&gt;&lt;lastName&gt;Eickelberg&lt;/lastName&gt;&lt;firstName&gt;Oliver&lt;/firstName&gt;&lt;/author&gt;&lt;author&gt;&lt;lastName&gt;Voelkel&lt;/lastName&gt;&lt;firstName&gt;Norbert&lt;/firstName&gt;&lt;middleNames&gt;F&lt;/middleNames&gt;&lt;/author&gt;&lt;author&gt;&lt;lastName&gt;Rabinovitch&lt;/lastName&gt;&lt;firstName&gt;Marlene&lt;/firstName&gt;&lt;/author&gt;&lt;/authors&gt;&lt;/publication&gt;&lt;/publications&gt;&lt;cites&gt;&lt;/cites&gt;&lt;/citation&gt;</w:instrText>
      </w:r>
      <w:r w:rsidRPr="00027261" w:rsidDel="007C1A3B">
        <w:fldChar w:fldCharType="separate"/>
      </w:r>
      <w:r w:rsidR="00095567">
        <w:rPr>
          <w:rFonts w:eastAsiaTheme="minorEastAsia"/>
          <w:lang w:val="en-US"/>
        </w:rPr>
        <w:t>(Humbert et al., 2004)</w:t>
      </w:r>
      <w:r w:rsidRPr="00027261" w:rsidDel="007C1A3B">
        <w:fldChar w:fldCharType="end"/>
      </w:r>
      <w:r w:rsidRPr="00027261" w:rsidDel="007C1A3B">
        <w:t xml:space="preserve">, </w:t>
      </w:r>
      <w:r w:rsidRPr="00027261" w:rsidDel="007C1A3B">
        <w:fldChar w:fldCharType="begin"/>
      </w:r>
      <w:r w:rsidR="004E19A5">
        <w:instrText xml:space="preserve"> ADDIN PAPERS2_CITATIONS &lt;citation&gt;&lt;priority&gt;0&lt;/priority&gt;&lt;uuid&gt;0C120464-5853-4146-963C-6E792C26B3B2&lt;/uuid&gt;&lt;publications&gt;&lt;publication&gt;&lt;subtype&gt;400&lt;/subtype&gt;&lt;title&gt;Molecular pathogenesis of pulmonary arterial hypertension. - PubMed - NCBI&lt;/title&gt;&lt;url&gt;http://www.jci.org/articles/view/60658&lt;/url&gt;&lt;volume&gt;122&lt;/volume&gt;&lt;publication_date&gt;99201212031200000000222000&lt;/publication_date&gt;&lt;uuid&gt;0DD3B604-A7EF-4BE2-8059-94B2F860F0F6&lt;/uuid&gt;&lt;type&gt;400&lt;/type&gt;&lt;number&gt;12&lt;/number&gt;&lt;doi&gt;10.1172/JCI60658&lt;/doi&gt;&lt;institution&gt;Stanford University School of Medicine, Stanford, California 94305-5162, USA. marlener@stanford.edu&lt;/institution&gt;&lt;startpage&gt;4306&lt;/startpage&gt;&lt;endpage&gt;4313&lt;/endpage&gt;&lt;bundle&gt;&lt;publication&gt;&lt;title&gt;Journal of Clinical Investigation&lt;/title&gt;&lt;uuid&gt;06B3D008-AAB3-477A-B431-645A79F34B3D&lt;/uuid&gt;&lt;subtype&gt;-100&lt;/subtype&gt;&lt;publisher&gt;American Society for Clinical Investigation&lt;/publisher&gt;&lt;type&gt;-100&lt;/type&gt;&lt;/publication&gt;&lt;/bundle&gt;&lt;authors&gt;&lt;author&gt;&lt;lastName&gt;Rabinovitch&lt;/lastName&gt;&lt;firstName&gt;Marlene&lt;/firstName&gt;&lt;/author&gt;&lt;/authors&gt;&lt;/publication&gt;&lt;/publications&gt;&lt;cites&gt;&lt;/cites&gt;&lt;/citation&gt;</w:instrText>
      </w:r>
      <w:r w:rsidRPr="00027261" w:rsidDel="007C1A3B">
        <w:fldChar w:fldCharType="separate"/>
      </w:r>
      <w:r w:rsidR="00095567">
        <w:rPr>
          <w:rFonts w:eastAsiaTheme="minorEastAsia"/>
          <w:lang w:val="en-US"/>
        </w:rPr>
        <w:t>(Rabinovitch, 2012)</w:t>
      </w:r>
      <w:r w:rsidRPr="00027261" w:rsidDel="007C1A3B">
        <w:fldChar w:fldCharType="end"/>
      </w:r>
      <w:r w:rsidRPr="00027261" w:rsidDel="007C1A3B">
        <w:t xml:space="preserve">. </w:t>
      </w:r>
      <w:r>
        <w:t>Proliferation of pulmonary arterial smooth muscle cells (PASMCs) is arguably the most substantial cellular change. However, initial endothelial cell death and later proliferation along with fibroblast migration and proliferation into the intima are important</w:t>
      </w:r>
      <w:r w:rsidR="001C0E93">
        <w:t xml:space="preserve"> in the</w:t>
      </w:r>
      <w:r>
        <w:t xml:space="preserve"> disease processes </w:t>
      </w:r>
      <w:r>
        <w:fldChar w:fldCharType="begin"/>
      </w:r>
      <w:r w:rsidR="004E19A5">
        <w:instrText xml:space="preserve"> ADDIN PAPERS2_CITATIONS &lt;citation&gt;&lt;priority&gt;0&lt;/priority&gt;&lt;uuid&gt;F04D3E48-4CDD-47B5-90BC-56127B171968&lt;/uuid&gt;&lt;publications&gt;&lt;publication&gt;&lt;subtype&gt;400&lt;/subtype&gt;&lt;publisher&gt;American Physiological Society&lt;/publisher&gt;&lt;title&gt;Pathogenic arterial remodeling: the good and bad of microRNAs&lt;/title&gt;&lt;url&gt;http://ajpheart.physiology.org/cgi/doi/10.1152/ajpheart.00267.2012&lt;/url&gt;&lt;volume&gt;304&lt;/volume&gt;&lt;publication_date&gt;99201304151200000000222000&lt;/publication_date&gt;&lt;uuid&gt;523BF10A-9DB1-45DE-9B82-86AD38A3DC99&lt;/uuid&gt;&lt;type&gt;400&lt;/type&gt;&lt;number&gt;8&lt;/number&gt;&lt;doi&gt;10.1152/ajpheart.00267.2012&lt;/doi&gt;&lt;institution&gt;Institute for Cardiovascular Prevention, Ludwig-Maximilians University Munich, Munich, Germany.&lt;/institution&gt;&lt;startpage&gt;H1050&lt;/startpage&gt;&lt;endpage&gt;H1059&lt;/endpage&gt;&lt;bundle&gt;&lt;publication&gt;&lt;title&gt;American Journal of Physiology - Heart and Circulatory Physiology&lt;/title&gt;&lt;uuid&gt;540A8875-060A-4D6A-8753-408C80B4A100&lt;/uuid&gt;&lt;subtype&gt;-100&lt;/subtype&gt;&lt;publisher&gt;American Physiological Society&lt;/publisher&gt;&lt;type&gt;-100&lt;/type&gt;&lt;/publication&gt;&lt;/bundle&gt;&lt;authors&gt;&lt;author&gt;&lt;lastName&gt;Wei&lt;/lastName&gt;&lt;firstName&gt;Yuanyuan&lt;/firstName&gt;&lt;/author&gt;&lt;author&gt;&lt;lastName&gt;Schober&lt;/lastName&gt;&lt;firstName&gt;Andreas&lt;/firstName&gt;&lt;/author&gt;&lt;author&gt;&lt;lastName&gt;Weber&lt;/lastName&gt;&lt;firstName&gt;Christian&lt;/firstName&gt;&lt;/author&gt;&lt;/authors&gt;&lt;/publication&gt;&lt;/publications&gt;&lt;cites&gt;&lt;/cites&gt;&lt;/citation&gt;</w:instrText>
      </w:r>
      <w:r>
        <w:fldChar w:fldCharType="separate"/>
      </w:r>
      <w:r w:rsidR="00095567">
        <w:rPr>
          <w:rFonts w:eastAsiaTheme="minorEastAsia"/>
          <w:lang w:val="en-US"/>
        </w:rPr>
        <w:t>(Wei, Schober, &amp; Weber, 2013)</w:t>
      </w:r>
      <w:r>
        <w:fldChar w:fldCharType="end"/>
      </w:r>
      <w:r>
        <w:t xml:space="preserve">. </w:t>
      </w:r>
    </w:p>
    <w:p w14:paraId="6B6B7424" w14:textId="77777777" w:rsidR="002A3C07" w:rsidRDefault="002A3C07" w:rsidP="00996906">
      <w:pPr>
        <w:pStyle w:val="Body"/>
      </w:pPr>
    </w:p>
    <w:p w14:paraId="440F9645" w14:textId="328BD50A" w:rsidR="00F47520" w:rsidRDefault="00F47520" w:rsidP="00996906">
      <w:pPr>
        <w:pStyle w:val="Body"/>
      </w:pPr>
      <w:r>
        <w:t>The remodelled vasculature</w:t>
      </w:r>
      <w:r w:rsidDel="007C1A3B">
        <w:t xml:space="preserve"> results in a paradigm shift </w:t>
      </w:r>
      <w:r>
        <w:t>in</w:t>
      </w:r>
      <w:r w:rsidDel="007C1A3B">
        <w:t xml:space="preserve"> the lung</w:t>
      </w:r>
      <w:r>
        <w:t>s,</w:t>
      </w:r>
      <w:r w:rsidR="00F1160F">
        <w:t xml:space="preserve"> changing</w:t>
      </w:r>
      <w:r w:rsidDel="007C1A3B">
        <w:t xml:space="preserve"> </w:t>
      </w:r>
      <w:r>
        <w:t xml:space="preserve">from </w:t>
      </w:r>
      <w:r w:rsidDel="007C1A3B">
        <w:t>a low resistance</w:t>
      </w:r>
      <w:r w:rsidR="001C0E93">
        <w:t xml:space="preserve"> system</w:t>
      </w:r>
      <w:r w:rsidDel="007C1A3B">
        <w:t xml:space="preserve"> </w:t>
      </w:r>
      <w:r w:rsidR="00F1160F">
        <w:t>of</w:t>
      </w:r>
      <w:r w:rsidR="001C0E93">
        <w:t xml:space="preserve"> </w:t>
      </w:r>
      <w:r w:rsidDel="007C1A3B">
        <w:t>high flow to one of high resistance</w:t>
      </w:r>
      <w:r w:rsidR="001C0E93">
        <w:t xml:space="preserve"> </w:t>
      </w:r>
      <w:r w:rsidR="00F1160F">
        <w:t xml:space="preserve">now </w:t>
      </w:r>
      <w:r w:rsidR="001C0E93">
        <w:t>resisting flow</w:t>
      </w:r>
      <w:r>
        <w:t xml:space="preserve">. To </w:t>
      </w:r>
      <w:r w:rsidR="001C0E93">
        <w:t>overcome the resistance</w:t>
      </w:r>
      <w:r w:rsidR="00F1160F">
        <w:t xml:space="preserve"> hypertrophy of the</w:t>
      </w:r>
      <w:r>
        <w:t xml:space="preserve"> right heart</w:t>
      </w:r>
      <w:r w:rsidR="00F1160F">
        <w:t xml:space="preserve"> occurs,</w:t>
      </w:r>
      <w:r>
        <w:t xml:space="preserve"> resulting in</w:t>
      </w:r>
      <w:r w:rsidR="00F1160F">
        <w:t xml:space="preserve"> the</w:t>
      </w:r>
      <w:r>
        <w:t xml:space="preserve"> high pulmonary artery pressure. </w:t>
      </w:r>
      <w:r w:rsidR="00F1160F">
        <w:t>This unnatural growth</w:t>
      </w:r>
      <w:r>
        <w:t xml:space="preserve"> impedes the normal action of the heart which ultimately fails under the strain, causing death </w:t>
      </w:r>
      <w:r w:rsidRPr="00027261" w:rsidDel="007C1A3B">
        <w:fldChar w:fldCharType="begin"/>
      </w:r>
      <w:r w:rsidR="004E19A5">
        <w:instrText xml:space="preserve"> ADDIN PAPERS2_CITATIONS &lt;citation&gt;&lt;priority&gt;0&lt;/priority&gt;&lt;uuid&gt;9F800FF4-BB68-4EE9-BD85-F21D7E835852&lt;/uuid&gt;&lt;publications&gt;&lt;publication&gt;&lt;subtype&gt;400&lt;/subtype&gt;&lt;publisher&gt;Lippincott Williams &amp;amp; Wilkins&lt;/publisher&gt;&lt;title&gt;Pulmonary arterial hypertension: the clinical syndrome.&lt;/title&gt;&lt;url&gt;http://circres.ahajournals.org/cgi/doi/10.1161/CIRCRESAHA.115.301146&lt;/url&gt;&lt;volume&gt;115&lt;/volume&gt;&lt;publication_date&gt;99201406201200000000222000&lt;/publication_date&gt;&lt;uuid&gt;4B020F91-F28C-42F9-9081-A24BD0E62B9D&lt;/uuid&gt;&lt;type&gt;400&lt;/type&gt;&lt;number&gt;1&lt;/number&gt;&lt;doi&gt;10.1161/CIRCRESAHA.115.301146&lt;/doi&gt;&lt;institution&gt;From Vascular Medicine Institute (Y.-C.L., K.C.P., A.L.M., M.T.G.) and Division of Pulmonary, Allergy and Critical Care Medicine, Department of Medicine (A.L.M., M.T.G.), University of Pittsburgh, PA.&lt;/institution&gt;&lt;startpage&gt;115&lt;/startpage&gt;&lt;endpage&gt;130&lt;/endpage&gt;&lt;bundle&gt;&lt;publication&gt;&lt;title&gt;Circulation Research&lt;/title&gt;&lt;uuid&gt;970BE4F4-8FFD-4321-A363-F85EC4F818D7&lt;/uuid&gt;&lt;subtype&gt;-100&lt;/subtype&gt;&lt;type&gt;-100&lt;/type&gt;&lt;/publication&gt;&lt;/bundle&gt;&lt;authors&gt;&lt;author&gt;&lt;lastName&gt;Lai&lt;/lastName&gt;&lt;firstName&gt;Yen-Chun&lt;/firstName&gt;&lt;/author&gt;&lt;author&gt;&lt;lastName&gt;Potoka&lt;/lastName&gt;&lt;firstName&gt;Karin&lt;/firstName&gt;&lt;middleNames&gt;C&lt;/middleNames&gt;&lt;/author&gt;&lt;author&gt;&lt;lastName&gt;Champion&lt;/lastName&gt;&lt;firstName&gt;Hunter&lt;/firstName&gt;&lt;middleNames&gt;C&lt;/middleNames&gt;&lt;/author&gt;&lt;author&gt;&lt;lastName&gt;Mora&lt;/lastName&gt;&lt;firstName&gt;Ana&lt;/firstName&gt;&lt;middleNames&gt;L&lt;/middleNames&gt;&lt;/author&gt;&lt;author&gt;&lt;lastName&gt;Gladwin&lt;/lastName&gt;&lt;firstName&gt;Mark&lt;/firstName&gt;&lt;middleNames&gt;T&lt;/middleNames&gt;&lt;/author&gt;&lt;/authors&gt;&lt;/publication&gt;&lt;/publications&gt;&lt;cites&gt;&lt;/cites&gt;&lt;/citation&gt;</w:instrText>
      </w:r>
      <w:r w:rsidRPr="00027261" w:rsidDel="007C1A3B">
        <w:fldChar w:fldCharType="separate"/>
      </w:r>
      <w:r w:rsidR="004E19A5">
        <w:rPr>
          <w:rFonts w:eastAsiaTheme="minorEastAsia"/>
        </w:rPr>
        <w:t>(Y.-C. Lai et al., 2014)</w:t>
      </w:r>
      <w:r w:rsidRPr="00027261" w:rsidDel="007C1A3B">
        <w:fldChar w:fldCharType="end"/>
      </w:r>
      <w:r>
        <w:t>.</w:t>
      </w:r>
      <w:r w:rsidRPr="006326EE">
        <w:t xml:space="preserve"> </w:t>
      </w:r>
    </w:p>
    <w:p w14:paraId="2504B3A1" w14:textId="7943E3B5" w:rsidR="00F47520" w:rsidRDefault="00F47520" w:rsidP="00996906">
      <w:pPr>
        <w:pStyle w:val="Body"/>
      </w:pPr>
      <w:r>
        <w:t xml:space="preserve">PAH </w:t>
      </w:r>
      <w:r w:rsidR="00F1160F">
        <w:t>can be</w:t>
      </w:r>
      <w:r>
        <w:t xml:space="preserve"> further classified as heritable, idiopathic or associated. Heritable PAH makes up a small percentage of all PAH cases, between 3% and 8% and is predominantly seen in families, with only a small number of spontaneous mutations in known heritable genes also classified as heritable</w:t>
      </w:r>
      <w:r w:rsidR="00F540FB" w:rsidRPr="00F540FB">
        <w:t>.</w:t>
      </w:r>
      <w:r>
        <w:t xml:space="preserve"> PAH is deemed idiopathic (IPAH) when no family history or predisposing risk factors can be identified </w:t>
      </w:r>
      <w:r>
        <w:fldChar w:fldCharType="begin"/>
      </w:r>
      <w:r w:rsidR="004E19A5">
        <w:instrText xml:space="preserve"> ADDIN PAPERS2_CITATIONS &lt;citation&gt;&lt;priority&gt;0&lt;/priority&gt;&lt;uuid&gt;D24ABAE8-708F-4F5B-9FAA-B0B6D1977A09&lt;/uuid&gt;&lt;publications&gt;&lt;publication&gt;&lt;subtype&gt;400&lt;/subtype&gt;&lt;title&gt;Updated clinical classification of pulmonary hypertension.&lt;/title&gt;&lt;url&gt;http://linkinghub.elsevier.com/retrieve/pii/S0735109713058725&lt;/url&gt;&lt;volume&gt;62&lt;/volume&gt;&lt;publication_date&gt;99201312241200000000222000&lt;/publication_date&gt;&lt;uuid&gt;12C09536-6914-4227-ACAF-7BE98A98262D&lt;/uuid&gt;&lt;type&gt;400&lt;/type&gt;&lt;accepted_date&gt;99201310221200000000222000&lt;/accepted_date&gt;&lt;number&gt;25 Suppl&lt;/number&gt;&lt;submission_date&gt;99201310151200000000222000&lt;/submission_date&gt;&lt;doi&gt;10.1016/j.jacc.2013.10.029&lt;/doi&gt;&lt;institution&gt;Assistance publique-Hôpitaux de Paris, Service de Pneumologie, Hôpital Universitaire de Bicêtre, Université Paris-Sud, Laboratoire d'excellence en recherche sur le médicament et innovation thérapeutique, and INSERM, Unité 999, Le Kremlin Bicêtre, France. Electronic address: gerald.simonneau@bct.aphp.fr.&lt;/institution&gt;&lt;startpage&gt;D34&lt;/startpage&gt;&lt;endpage&gt;41&lt;/endpage&gt;&lt;bundle&gt;&lt;publication&gt;&lt;title&gt;Journal of the American College of Cardiology&lt;/title&gt;&lt;uuid&gt;79CE9EF2-CFF5-4153-A6C1-45984E5F2BEE&lt;/uuid&gt;&lt;subtype&gt;-100&lt;/subtype&gt;&lt;publisher&gt;Journal of the American College of Cardiology&lt;/publisher&gt;&lt;type&gt;-100&lt;/type&gt;&lt;url&gt;http://content.onlinejacc.org&lt;/url&gt;&lt;/publication&gt;&lt;/bundle&gt;&lt;authors&gt;&lt;author&gt;&lt;lastName&gt;Simonneau&lt;/lastName&gt;&lt;firstName&gt;Gérald&lt;/firstName&gt;&lt;/author&gt;&lt;author&gt;&lt;lastName&gt;Gatzoulis&lt;/lastName&gt;&lt;firstName&gt;Michael&lt;/firstName&gt;&lt;middleNames&gt;A&lt;/middleNames&gt;&lt;/author&gt;&lt;author&gt;&lt;lastName&gt;Adatia&lt;/lastName&gt;&lt;firstName&gt;Ian&lt;/firstName&gt;&lt;/author&gt;&lt;author&gt;&lt;lastName&gt;Celermajer&lt;/lastName&gt;&lt;firstName&gt;David&lt;/firstName&gt;&lt;/author&gt;&lt;author&gt;&lt;lastName&gt;Denton&lt;/lastName&gt;&lt;firstName&gt;Chris&lt;/firstName&gt;&lt;/author&gt;&lt;author&gt;&lt;lastName&gt;Ghofrani&lt;/lastName&gt;&lt;firstName&gt;Ardeschir&lt;/firstName&gt;&lt;/author&gt;&lt;author&gt;&lt;lastName&gt;Gomez Sanchez&lt;/lastName&gt;&lt;firstName&gt;Miguel&lt;/firstName&gt;&lt;middleNames&gt;Angel&lt;/middleNames&gt;&lt;/author&gt;&lt;author&gt;&lt;lastName&gt;Krishna Kumar&lt;/lastName&gt;&lt;firstName&gt;R&lt;/firstName&gt;&lt;/author&gt;&lt;author&gt;&lt;lastName&gt;Landzberg&lt;/lastName&gt;&lt;firstName&gt;Michael&lt;/firstName&gt;&lt;/author&gt;&lt;author&gt;&lt;lastName&gt;Machado&lt;/lastName&gt;&lt;firstName&gt;Roberto&lt;/firstName&gt;&lt;middleNames&gt;F&lt;/middleNames&gt;&lt;/author&gt;&lt;author&gt;&lt;lastName&gt;Olschewski&lt;/lastName&gt;&lt;firstName&gt;Horst&lt;/firstName&gt;&lt;/author&gt;&lt;author&gt;&lt;lastName&gt;Robbins&lt;/lastName&gt;&lt;firstName&gt;Ivan&lt;/firstName&gt;&lt;middleNames&gt;M&lt;/middleNames&gt;&lt;/author&gt;&lt;author&gt;&lt;lastName&gt;Souza&lt;/lastName&gt;&lt;firstName&gt;Rogiero&lt;/firstName&gt;&lt;/author&gt;&lt;/authors&gt;&lt;/publication&gt;&lt;/publications&gt;&lt;cites&gt;&lt;/cites&gt;&lt;/citation&gt;</w:instrText>
      </w:r>
      <w:r>
        <w:fldChar w:fldCharType="separate"/>
      </w:r>
      <w:r w:rsidR="004E19A5">
        <w:rPr>
          <w:rFonts w:eastAsiaTheme="minorEastAsia"/>
        </w:rPr>
        <w:t>(</w:t>
      </w:r>
      <w:proofErr w:type="spellStart"/>
      <w:r w:rsidR="004E19A5">
        <w:rPr>
          <w:rFonts w:eastAsiaTheme="minorEastAsia"/>
        </w:rPr>
        <w:t>Simonneau</w:t>
      </w:r>
      <w:proofErr w:type="spellEnd"/>
      <w:r w:rsidR="004E19A5">
        <w:rPr>
          <w:rFonts w:eastAsiaTheme="minorEastAsia"/>
        </w:rPr>
        <w:t xml:space="preserve"> et al., 2013)</w:t>
      </w:r>
      <w:r>
        <w:fldChar w:fldCharType="end"/>
      </w:r>
    </w:p>
    <w:p w14:paraId="040A1C04" w14:textId="02242FC5" w:rsidR="005A629E" w:rsidRDefault="00F47520" w:rsidP="0090135B">
      <w:pPr>
        <w:pStyle w:val="Body"/>
      </w:pPr>
      <w:r>
        <w:rPr>
          <w:rFonts w:cs="Times New Roman"/>
          <w:color w:val="191919"/>
          <w:shd w:val="clear" w:color="auto" w:fill="FFFFFF"/>
        </w:rPr>
        <w:lastRenderedPageBreak/>
        <w:t>Without treatment</w:t>
      </w:r>
      <w:r w:rsidR="0090135B">
        <w:rPr>
          <w:rFonts w:cs="Times New Roman"/>
          <w:color w:val="191919"/>
          <w:shd w:val="clear" w:color="auto" w:fill="FFFFFF"/>
        </w:rPr>
        <w:t>,</w:t>
      </w:r>
      <w:r>
        <w:rPr>
          <w:rFonts w:cs="Times New Roman"/>
          <w:color w:val="191919"/>
          <w:shd w:val="clear" w:color="auto" w:fill="FFFFFF"/>
        </w:rPr>
        <w:t xml:space="preserve"> </w:t>
      </w:r>
      <w:r>
        <w:t xml:space="preserve">PAH has a median survival of 2.8 years and poor 5-year survival rates </w:t>
      </w:r>
      <w:r>
        <w:fldChar w:fldCharType="begin"/>
      </w:r>
      <w:r w:rsidR="004E19A5">
        <w:instrText xml:space="preserve"> ADDIN PAPERS2_CITATIONS &lt;citation&gt;&lt;priority&gt;0&lt;/priority&gt;&lt;uuid&gt;A8D7EA02-1DC3-4F94-918B-34E4FD6A5A17&lt;/uuid&gt;&lt;publications&gt;&lt;publication&gt;&lt;subtype&gt;400&lt;/subtype&gt;&lt;publisher&gt;NIH Public Access&lt;/publisher&gt;&lt;title&gt;A Novel Channelopathy in Pulmonary Arterial Hypertension&lt;/title&gt;&lt;url&gt;http://www.nejm.org/doi/abs/10.1056/NEJMoa1211097&lt;/url&gt;&lt;volume&gt;369&lt;/volume&gt;&lt;publication_date&gt;99201307251200000000222000&lt;/publication_date&gt;&lt;uuid&gt;5136BF1D-1C8A-4D8B-86B1-1EBFC6DA3387&lt;/uuid&gt;&lt;type&gt;400&lt;/type&gt;&lt;number&gt;4&lt;/number&gt;&lt;doi&gt;10.1056/NEJMoa1211097&lt;/doi&gt;&lt;institution&gt;Department of Pediatrics, Columbia University Medical Center, New York, NY 10032, USA.&lt;/institution&gt;&lt;startpage&gt;351&lt;/startpage&gt;&lt;endpage&gt;361&lt;/endpage&gt;&lt;bundle&gt;&lt;publication&gt;&lt;title&gt;The New England journal of medicine&lt;/title&gt;&lt;uuid&gt;94738ECE-DC5D-4E27-88F4-F220710E770D&lt;/uuid&gt;&lt;subtype&gt;-100&lt;/subtype&gt;&lt;publisher&gt;NIH Public Access&lt;/publisher&gt;&lt;type&gt;-100&lt;/type&gt;&lt;/publication&gt;&lt;/bundle&gt;&lt;authors&gt;&lt;author&gt;&lt;lastName&gt;Ma&lt;/lastName&gt;&lt;firstName&gt;Lijiang&lt;/firstName&gt;&lt;/author&gt;&lt;author&gt;&lt;lastName&gt;Roman-Campos&lt;/lastName&gt;&lt;firstName&gt;Danilo&lt;/firstName&gt;&lt;/author&gt;&lt;author&gt;&lt;lastName&gt;Austin&lt;/lastName&gt;&lt;firstName&gt;Eric&lt;/firstName&gt;&lt;middleNames&gt;D&lt;/middleNames&gt;&lt;/author&gt;&lt;author&gt;&lt;lastName&gt;Eyries&lt;/lastName&gt;&lt;firstName&gt;Mélanie&lt;/firstName&gt;&lt;/author&gt;&lt;author&gt;&lt;lastName&gt;Sampson&lt;/lastName&gt;&lt;firstName&gt;Kevin&lt;/firstName&gt;&lt;middleNames&gt;S&lt;/middleNames&gt;&lt;/author&gt;&lt;author&gt;&lt;lastName&gt;Soubrier&lt;/lastName&gt;&lt;firstName&gt;Florent&lt;/firstName&gt;&lt;/author&gt;&lt;author&gt;&lt;lastName&gt;Germain&lt;/lastName&gt;&lt;firstName&gt;Marine&lt;/firstName&gt;&lt;/author&gt;&lt;author&gt;&lt;lastName&gt;Trégouët&lt;/lastName&gt;&lt;firstName&gt;David-Alexandre&lt;/firstName&gt;&lt;/author&gt;&lt;author&gt;&lt;lastName&gt;Borczuk&lt;/lastName&gt;&lt;firstName&gt;Alain&lt;/firstName&gt;&lt;/author&gt;&lt;author&gt;&lt;lastName&gt;Rosenzweig&lt;/lastName&gt;&lt;firstName&gt;Erika&lt;/firstName&gt;&lt;middleNames&gt;Berman&lt;/middleNames&gt;&lt;/author&gt;&lt;author&gt;&lt;lastName&gt;Girerd&lt;/lastName&gt;&lt;firstName&gt;Barbara&lt;/firstName&gt;&lt;/author&gt;&lt;author&gt;&lt;lastName&gt;Montani&lt;/lastName&gt;&lt;firstName&gt;David&lt;/firstName&gt;&lt;/author&gt;&lt;author&gt;&lt;lastName&gt;Humbert&lt;/lastName&gt;&lt;firstName&gt;Marc&lt;/firstName&gt;&lt;/author&gt;&lt;author&gt;&lt;lastName&gt;Loyd&lt;/lastName&gt;&lt;firstName&gt;James&lt;/firstName&gt;&lt;middleNames&gt;E&lt;/middleNames&gt;&lt;/author&gt;&lt;author&gt;&lt;lastName&gt;Kass&lt;/lastName&gt;&lt;firstName&gt;Robert&lt;/firstName&gt;&lt;middleNames&gt;S&lt;/middleNames&gt;&lt;/author&gt;&lt;author&gt;&lt;lastName&gt;Chung&lt;/lastName&gt;&lt;firstName&gt;Wendy&lt;/firstName&gt;&lt;middleNames&gt;K&lt;/middleNames&gt;&lt;/author&gt;&lt;/authors&gt;&lt;/publication&gt;&lt;/publications&gt;&lt;cites&gt;&lt;/cites&gt;&lt;/citation&gt;</w:instrText>
      </w:r>
      <w:r>
        <w:fldChar w:fldCharType="separate"/>
      </w:r>
      <w:r w:rsidR="00095567">
        <w:rPr>
          <w:rFonts w:eastAsiaTheme="minorEastAsia"/>
          <w:lang w:val="en-US"/>
        </w:rPr>
        <w:t>(Ma et al., 2013)</w:t>
      </w:r>
      <w:r>
        <w:fldChar w:fldCharType="end"/>
      </w:r>
      <w:r>
        <w:t>. Current treatments</w:t>
      </w:r>
      <w:r w:rsidR="0090135B">
        <w:t xml:space="preserve"> roughly double the</w:t>
      </w:r>
      <w:r>
        <w:t xml:space="preserve"> median survival to around 5 years,</w:t>
      </w:r>
      <w:r w:rsidR="0090135B">
        <w:t xml:space="preserve"> but</w:t>
      </w:r>
      <w:r>
        <w:t xml:space="preserve"> they are limited in effect as only the symptoms are targeted not the underlying pathology </w:t>
      </w:r>
      <w:r>
        <w:fldChar w:fldCharType="begin"/>
      </w:r>
      <w:r w:rsidR="004E19A5">
        <w:instrText xml:space="preserve"> ADDIN PAPERS2_CITATIONS &lt;citation&gt;&lt;priority&gt;0&lt;/priority&gt;&lt;uuid&gt;90D48550-EB50-476A-97DD-D8686E8A836E&lt;/uuid&gt;&lt;publications&gt;&lt;publication&gt;&lt;subtype&gt;400&lt;/subtype&gt;&lt;title&gt;ASPIRE registry: Assessing the Spectrum of Pulmonary hypertension Identified at a REferral centre&lt;/title&gt;&lt;url&gt;http://erj.ersjournals.com/cgi/doi/10.1183/09031936.00078411&lt;/url&gt;&lt;volume&gt;39&lt;/volume&gt;&lt;publication_date&gt;99201203311200000000222000&lt;/publication_date&gt;&lt;uuid&gt;A8B61735-12AE-47F6-B67D-92F2DC0CDC66&lt;/uuid&gt;&lt;type&gt;400&lt;/type&gt;&lt;number&gt;4&lt;/number&gt;&lt;doi&gt;10.1183/09031936.00078411&lt;/doi&gt;&lt;startpage&gt;945&lt;/startpage&gt;&lt;endpage&gt;955&lt;/endpage&gt;&lt;bundle&gt;&lt;publication&gt;&lt;title&gt;European Respiratory Journal&lt;/title&gt;&lt;uuid&gt;B67DDBE2-BCE3-42FF-86A9-BC8F813AD582&lt;/uuid&gt;&lt;subtype&gt;-100&lt;/subtype&gt;&lt;publisher&gt;European Respiratory Society&lt;/publisher&gt;&lt;type&gt;-100&lt;/type&gt;&lt;url&gt;http://erj.ersjournals.com&lt;/url&gt;&lt;/publication&gt;&lt;/bundle&gt;&lt;authors&gt;&lt;author&gt;&lt;lastName&gt;Hurdman&lt;/lastName&gt;&lt;firstName&gt;J&lt;/firstName&gt;&lt;/author&gt;&lt;author&gt;&lt;lastName&gt;Condliffe&lt;/lastName&gt;&lt;firstName&gt;R&lt;/firstName&gt;&lt;/author&gt;&lt;author&gt;&lt;lastName&gt;Elliot&lt;/lastName&gt;&lt;firstName&gt;C&lt;/firstName&gt;&lt;middleNames&gt;A&lt;/middleNames&gt;&lt;/author&gt;&lt;author&gt;&lt;lastName&gt;Davies&lt;/lastName&gt;&lt;firstName&gt;C&lt;/firstName&gt;&lt;/author&gt;&lt;author&gt;&lt;lastName&gt;Hill&lt;/lastName&gt;&lt;firstName&gt;C&lt;/firstName&gt;&lt;/author&gt;&lt;author&gt;&lt;lastName&gt;Wild&lt;/lastName&gt;&lt;firstName&gt;J&lt;/firstName&gt;&lt;middleNames&gt;M&lt;/middleNames&gt;&lt;/author&gt;&lt;author&gt;&lt;lastName&gt;Capener&lt;/lastName&gt;&lt;firstName&gt;D&lt;/firstName&gt;&lt;/author&gt;&lt;author&gt;&lt;lastName&gt;Sephton&lt;/lastName&gt;&lt;firstName&gt;P&lt;/firstName&gt;&lt;/author&gt;&lt;author&gt;&lt;lastName&gt;Hamilton&lt;/lastName&gt;&lt;firstName&gt;N&lt;/firstName&gt;&lt;/author&gt;&lt;author&gt;&lt;lastName&gt;Armstrong&lt;/lastName&gt;&lt;firstName&gt;I&lt;/firstName&gt;&lt;middleNames&gt;J&lt;/middleNames&gt;&lt;/author&gt;&lt;author&gt;&lt;lastName&gt;Billings&lt;/lastName&gt;&lt;firstName&gt;C&lt;/firstName&gt;&lt;/author&gt;&lt;author&gt;&lt;lastName&gt;Lawrie&lt;/lastName&gt;&lt;firstName&gt;A&lt;/firstName&gt;&lt;/author&gt;&lt;author&gt;&lt;lastName&gt;Sabroe&lt;/lastName&gt;&lt;firstName&gt;I&lt;/firstName&gt;&lt;/author&gt;&lt;author&gt;&lt;lastName&gt;Akil&lt;/lastName&gt;&lt;firstName&gt;M&lt;/firstName&gt;&lt;/author&gt;&lt;author&gt;&lt;lastName&gt;O'Toole&lt;/lastName&gt;&lt;firstName&gt;L&lt;/firstName&gt;&lt;/author&gt;&lt;author&gt;&lt;lastName&gt;Kiely&lt;/lastName&gt;&lt;firstName&gt;D&lt;/firstName&gt;&lt;middleNames&gt;G&lt;/middleNames&gt;&lt;/author&gt;&lt;/authors&gt;&lt;/publication&gt;&lt;/publications&gt;&lt;cites&gt;&lt;/cites&gt;&lt;/citation&gt;</w:instrText>
      </w:r>
      <w:r>
        <w:fldChar w:fldCharType="separate"/>
      </w:r>
      <w:r w:rsidR="00095567">
        <w:rPr>
          <w:rFonts w:eastAsiaTheme="minorEastAsia"/>
          <w:lang w:val="en-US"/>
        </w:rPr>
        <w:t>(</w:t>
      </w:r>
      <w:proofErr w:type="spellStart"/>
      <w:r w:rsidR="00095567">
        <w:rPr>
          <w:rFonts w:eastAsiaTheme="minorEastAsia"/>
          <w:lang w:val="en-US"/>
        </w:rPr>
        <w:t>Hurdman</w:t>
      </w:r>
      <w:proofErr w:type="spellEnd"/>
      <w:r w:rsidR="00095567">
        <w:rPr>
          <w:rFonts w:eastAsiaTheme="minorEastAsia"/>
          <w:lang w:val="en-US"/>
        </w:rPr>
        <w:t xml:space="preserve"> et al., 2012)</w:t>
      </w:r>
      <w:r>
        <w:fldChar w:fldCharType="end"/>
      </w:r>
      <w:r>
        <w:t xml:space="preserve">, </w:t>
      </w:r>
      <w:r>
        <w:fldChar w:fldCharType="begin"/>
      </w:r>
      <w:r w:rsidR="004E19A5">
        <w:instrText xml:space="preserve"> ADDIN PAPERS2_CITATIONS &lt;citation&gt;&lt;priority&gt;0&lt;/priority&gt;&lt;uuid&gt;1E8A1374-E23F-40A3-83E5-A99D0E5AA47E&lt;/uuid&gt;&lt;publications&gt;&lt;publication&gt;&lt;subtype&gt;400&lt;/subtype&gt;&lt;title&gt;The role of the osteoprotegerin/tumor necrosis factor related apoptosis-inducing ligand axis in the pathogenesis of pulmonary arterial hypertension&lt;/title&gt;&lt;url&gt;http://linkinghub.elsevier.com/retrieve/pii/S1537189114001657&lt;/url&gt;&lt;volume&gt;63&lt;/volume&gt;&lt;publication_date&gt;99201412001200000000220000&lt;/publication_date&gt;&lt;uuid&gt;4A4A040C-E8F3-4796-8E1A-0924237F27E8&lt;/uuid&gt;&lt;type&gt;400&lt;/type&gt;&lt;number&gt;3&lt;/number&gt;&lt;doi&gt;10.1016/j.vph.2014.10.002&lt;/doi&gt;&lt;startpage&gt;114&lt;/startpage&gt;&lt;endpage&gt;117&lt;/endpage&gt;&lt;bundle&gt;&lt;publication&gt;&lt;title&gt;Vascular Pharmacology&lt;/title&gt;&lt;uuid&gt;2D76F014-4AF2-4BAA-9262-C6662E31C6F8&lt;/uuid&gt;&lt;subtype&gt;-100&lt;/subtype&gt;&lt;type&gt;-100&lt;/type&gt;&lt;url&gt;http://www.sciencedirect.com&lt;/url&gt;&lt;/publication&gt;&lt;/bundle&gt;&lt;authors&gt;&lt;author&gt;&lt;lastName&gt;Lawrie&lt;/lastName&gt;&lt;firstName&gt;Allan&lt;/firstName&gt;&lt;/author&gt;&lt;/authors&gt;&lt;/publication&gt;&lt;/publications&gt;&lt;cites&gt;&lt;/cites&gt;&lt;/citation&gt;</w:instrText>
      </w:r>
      <w:r>
        <w:fldChar w:fldCharType="separate"/>
      </w:r>
      <w:r w:rsidR="00095567">
        <w:rPr>
          <w:rFonts w:eastAsiaTheme="minorEastAsia"/>
          <w:lang w:val="en-US"/>
        </w:rPr>
        <w:t>(Lawrie, 2014)</w:t>
      </w:r>
      <w:r>
        <w:fldChar w:fldCharType="end"/>
      </w:r>
      <w:r>
        <w:t xml:space="preserve">. The only </w:t>
      </w:r>
      <w:r w:rsidR="0090135B">
        <w:t>treatment offering potential longer-term survival</w:t>
      </w:r>
      <w:r>
        <w:t xml:space="preserve"> is heart and lung </w:t>
      </w:r>
      <w:r w:rsidR="0090135B">
        <w:t xml:space="preserve">or lung </w:t>
      </w:r>
      <w:r>
        <w:t xml:space="preserve">transplant, these are rare and infection and rejection are major complications and survival is still limited </w:t>
      </w:r>
      <w:r>
        <w:fldChar w:fldCharType="begin"/>
      </w:r>
      <w:r w:rsidR="004E19A5">
        <w:instrText xml:space="preserve"> ADDIN PAPERS2_CITATIONS &lt;citation&gt;&lt;priority&gt;0&lt;/priority&gt;&lt;uuid&gt;CEB43DD9-1000-47A5-BA16-053A25924013&lt;/uuid&gt;&lt;publications&gt;&lt;publication&gt;&lt;subtype&gt;400&lt;/subtype&gt;&lt;publisher&gt;BioMed Central&lt;/publisher&gt;&lt;title&gt;Pulmonary arterial hypertension&lt;/title&gt;&lt;url&gt;http://www.ojrd.com/content/8/1/97&lt;/url&gt;&lt;volume&gt;8&lt;/volume&gt;&lt;publication_date&gt;99201300001200000000200000&lt;/publication_date&gt;&lt;uuid&gt;65B8112A-14FD-4515-ADD2-72BF58182AAD&lt;/uuid&gt;&lt;type&gt;400&lt;/type&gt;&lt;accepted_date&gt;99201306121200000000222000&lt;/accepted_date&gt;&lt;number&gt;1&lt;/number&gt;&lt;submission_date&gt;99201304091200000000222000&lt;/submission_date&gt;&lt;doi&gt;10.1186/1750-1172-8-97&lt;/doi&gt;&lt;startpage&gt;97&lt;/startpage&gt;&lt;bundle&gt;&lt;publication&gt;&lt;title&gt;Orphanet Journal of Rare Diseases&lt;/title&gt;&lt;uuid&gt;8734A712-44C0-430B-B17B-D934BCD24B70&lt;/uuid&gt;&lt;subtype&gt;-100&lt;/subtype&gt;&lt;publisher&gt;BioMed Central&lt;/publisher&gt;&lt;type&gt;-100&lt;/type&gt;&lt;/publication&gt;&lt;/bundle&gt;&lt;authors&gt;&lt;author&gt;&lt;lastName&gt;Montani&lt;/lastName&gt;&lt;firstName&gt;David&lt;/firstName&gt;&lt;/author&gt;&lt;author&gt;&lt;lastName&gt;Günther&lt;/lastName&gt;&lt;firstName&gt;Sven&lt;/firstName&gt;&lt;/author&gt;&lt;author&gt;&lt;lastName&gt;Dorfmüller&lt;/lastName&gt;&lt;firstName&gt;Peter&lt;/firstName&gt;&lt;/author&gt;&lt;author&gt;&lt;lastName&gt;Perros&lt;/lastName&gt;&lt;firstName&gt;Frédéric&lt;/firstName&gt;&lt;/author&gt;&lt;author&gt;&lt;lastName&gt;Girerd&lt;/lastName&gt;&lt;firstName&gt;Barbara&lt;/firstName&gt;&lt;/author&gt;&lt;author&gt;&lt;lastName&gt;Garcia&lt;/lastName&gt;&lt;firstName&gt;Gilles&lt;/firstName&gt;&lt;/author&gt;&lt;author&gt;&lt;lastName&gt;Jaïs&lt;/lastName&gt;&lt;firstName&gt;Xavier&lt;/firstName&gt;&lt;/author&gt;&lt;author&gt;&lt;lastName&gt;Savale&lt;/lastName&gt;&lt;firstName&gt;Laurent&lt;/firstName&gt;&lt;/author&gt;&lt;author&gt;&lt;lastName&gt;Artaud-Macari&lt;/lastName&gt;&lt;firstName&gt;Elise&lt;/firstName&gt;&lt;/author&gt;&lt;author&gt;&lt;lastName&gt;Price&lt;/lastName&gt;&lt;firstName&gt;Laura&lt;/firstName&gt;&lt;middleNames&gt;C&lt;/middleNames&gt;&lt;/author&gt;&lt;author&gt;&lt;lastName&gt;Humbert&lt;/lastName&gt;&lt;firstName&gt;Marc&lt;/firstName&gt;&lt;/author&gt;&lt;author&gt;&lt;lastName&gt;Simonneau&lt;/lastName&gt;&lt;firstName&gt;Gérald&lt;/firstName&gt;&lt;/author&gt;&lt;author&gt;&lt;lastName&gt;Sitbon&lt;/lastName&gt;&lt;firstName&gt;Olivier&lt;/firstName&gt;&lt;/author&gt;&lt;/authors&gt;&lt;/publication&gt;&lt;/publications&gt;&lt;cites&gt;&lt;/cites&gt;&lt;/citation&gt;</w:instrText>
      </w:r>
      <w:r>
        <w:fldChar w:fldCharType="separate"/>
      </w:r>
      <w:r w:rsidR="00095567">
        <w:rPr>
          <w:rFonts w:eastAsiaTheme="minorEastAsia"/>
          <w:lang w:val="en-US"/>
        </w:rPr>
        <w:t>(</w:t>
      </w:r>
      <w:proofErr w:type="spellStart"/>
      <w:r w:rsidR="00095567">
        <w:rPr>
          <w:rFonts w:eastAsiaTheme="minorEastAsia"/>
          <w:lang w:val="en-US"/>
        </w:rPr>
        <w:t>Montani</w:t>
      </w:r>
      <w:proofErr w:type="spellEnd"/>
      <w:r w:rsidR="00095567">
        <w:rPr>
          <w:rFonts w:eastAsiaTheme="minorEastAsia"/>
          <w:lang w:val="en-US"/>
        </w:rPr>
        <w:t xml:space="preserve"> et al., 2013)</w:t>
      </w:r>
      <w:r>
        <w:fldChar w:fldCharType="end"/>
      </w:r>
      <w:r>
        <w:t xml:space="preserve">. </w:t>
      </w:r>
    </w:p>
    <w:p w14:paraId="5FB2EEEE" w14:textId="77777777" w:rsidR="0090135B" w:rsidRDefault="0090135B" w:rsidP="005A629E">
      <w:pPr>
        <w:pStyle w:val="Body"/>
        <w:rPr>
          <w:rFonts w:ascii="Times New Roman" w:hAnsi="Times New Roman"/>
        </w:rPr>
      </w:pPr>
    </w:p>
    <w:p w14:paraId="34A8C5FD" w14:textId="66476769" w:rsidR="0090135B" w:rsidRDefault="0090135B" w:rsidP="009C51E2">
      <w:pPr>
        <w:pStyle w:val="Heading2"/>
        <w:numPr>
          <w:ilvl w:val="1"/>
          <w:numId w:val="7"/>
        </w:numPr>
        <w:spacing w:before="120" w:after="120"/>
      </w:pPr>
      <w:bookmarkStart w:id="40" w:name="_Toc60773847"/>
      <w:r>
        <w:t xml:space="preserve">Systemic Sclerosis Associated </w:t>
      </w:r>
      <w:r w:rsidRPr="00E5229C">
        <w:t xml:space="preserve">Pulmonary </w:t>
      </w:r>
      <w:r>
        <w:t xml:space="preserve">Arterial </w:t>
      </w:r>
      <w:r w:rsidRPr="00E5229C">
        <w:t>Hypertension</w:t>
      </w:r>
      <w:bookmarkEnd w:id="40"/>
    </w:p>
    <w:p w14:paraId="2797F284" w14:textId="716E9B69" w:rsidR="00991B1D" w:rsidRPr="00871535" w:rsidRDefault="00C81E84" w:rsidP="00871535">
      <w:pPr>
        <w:pStyle w:val="Body"/>
      </w:pPr>
      <w:r w:rsidRPr="00871535">
        <w:t xml:space="preserve">Systemic sclerosis </w:t>
      </w:r>
      <w:r w:rsidR="00871535" w:rsidRPr="00871535">
        <w:t>(</w:t>
      </w:r>
      <w:proofErr w:type="spellStart"/>
      <w:r w:rsidR="00871535" w:rsidRPr="00871535">
        <w:t>SSc</w:t>
      </w:r>
      <w:proofErr w:type="spellEnd"/>
      <w:r w:rsidR="00871535" w:rsidRPr="00871535">
        <w:t>)</w:t>
      </w:r>
      <w:r w:rsidR="00AC58A9">
        <w:t xml:space="preserve"> </w:t>
      </w:r>
      <w:r w:rsidRPr="00871535">
        <w:t xml:space="preserve">is a </w:t>
      </w:r>
      <w:r w:rsidR="0078319B" w:rsidRPr="00871535">
        <w:t xml:space="preserve">condition of unknown origin characterised by fibrosis of the skin and internal organs </w:t>
      </w:r>
      <w:r w:rsidR="00095567">
        <w:fldChar w:fldCharType="begin"/>
      </w:r>
      <w:r w:rsidR="004E19A5">
        <w:instrText xml:space="preserve"> ADDIN PAPERS2_CITATIONS &lt;citation&gt;&lt;priority&gt;24&lt;/priority&gt;&lt;uuid&gt;66DF31FC-4C6B-423E-9706-180359FD5299&lt;/uuid&gt;&lt;publications&gt;&lt;publication&gt;&lt;subtype&gt;400&lt;/subtype&gt;&lt;title&gt;Diagnosis and classification of systemic sclerosis.&lt;/title&gt;&lt;url&gt;http://eutils.ncbi.nlm.nih.gov/entrez/eutils/elink.fcgi?dbfrom=pubmed&amp;amp;id=20143182&amp;amp;retmode=ref&amp;amp;cmd=prlinks&lt;/url&gt;&lt;volume&gt;40&lt;/volume&gt;&lt;publication_date&gt;99201104001200000000220000&lt;/publication_date&gt;&lt;uuid&gt;D85565AF-3EA2-46E7-B649-67DE4A749605&lt;/uuid&gt;&lt;type&gt;400&lt;/type&gt;&lt;number&gt;2&lt;/number&gt;&lt;doi&gt;10.1007/s12016-010-8198-y&lt;/doi&gt;&lt;institution&gt;Department of Internal Medicine, National Scleroderma Center, Hôpital Claude Huriez, Université de Lille, France. ehachulla@chru-lille.fr&lt;/institution&gt;&lt;startpage&gt;78&lt;/startpage&gt;&lt;endpage&gt;83&lt;/endpage&gt;&lt;bundle&gt;&lt;publication&gt;&lt;title&gt;Clinical reviews in allergy &amp;amp; immunology&lt;/title&gt;&lt;uuid&gt;376F0D16-22E9-4F82-BF5A-14E77C19EDC1&lt;/uuid&gt;&lt;subtype&gt;-100&lt;/subtype&gt;&lt;type&gt;-100&lt;/type&gt;&lt;/publication&gt;&lt;/bundle&gt;&lt;authors&gt;&lt;author&gt;&lt;lastName&gt;Hachulla&lt;/lastName&gt;&lt;firstName&gt;Éric&lt;/firstName&gt;&lt;/author&gt;&lt;author&gt;&lt;lastName&gt;Launay&lt;/lastName&gt;&lt;firstName&gt;David&lt;/firstName&gt;&lt;/author&gt;&lt;/authors&gt;&lt;/publication&gt;&lt;/publications&gt;&lt;cites&gt;&lt;/cites&gt;&lt;/citation&gt;</w:instrText>
      </w:r>
      <w:r w:rsidR="00095567">
        <w:fldChar w:fldCharType="separate"/>
      </w:r>
      <w:r w:rsidR="00095567">
        <w:rPr>
          <w:rFonts w:eastAsiaTheme="minorEastAsia"/>
          <w:lang w:val="en-US"/>
        </w:rPr>
        <w:t>(</w:t>
      </w:r>
      <w:proofErr w:type="spellStart"/>
      <w:r w:rsidR="00095567">
        <w:rPr>
          <w:rFonts w:eastAsiaTheme="minorEastAsia"/>
          <w:lang w:val="en-US"/>
        </w:rPr>
        <w:t>Hachulla</w:t>
      </w:r>
      <w:proofErr w:type="spellEnd"/>
      <w:r w:rsidR="00095567">
        <w:rPr>
          <w:rFonts w:eastAsiaTheme="minorEastAsia"/>
          <w:lang w:val="en-US"/>
        </w:rPr>
        <w:t xml:space="preserve"> &amp; Launay, 2011)</w:t>
      </w:r>
      <w:r w:rsidR="00095567">
        <w:fldChar w:fldCharType="end"/>
      </w:r>
      <w:r w:rsidR="0078319B" w:rsidRPr="00871535">
        <w:t xml:space="preserve">. </w:t>
      </w:r>
      <w:r w:rsidR="00B70B01">
        <w:t>In the UK there</w:t>
      </w:r>
      <w:r w:rsidR="00A910C0" w:rsidRPr="00871535">
        <w:t xml:space="preserve"> </w:t>
      </w:r>
      <w:r w:rsidR="00871535" w:rsidRPr="00871535">
        <w:t xml:space="preserve">is a </w:t>
      </w:r>
      <w:r w:rsidR="00056E01">
        <w:t xml:space="preserve">reported </w:t>
      </w:r>
      <w:r w:rsidR="00871535" w:rsidRPr="00871535">
        <w:t>prevalence of</w:t>
      </w:r>
      <w:r w:rsidR="00A910C0" w:rsidRPr="00871535">
        <w:t xml:space="preserve"> </w:t>
      </w:r>
      <w:r w:rsidR="00991B1D" w:rsidRPr="00871535">
        <w:t>8.2 per 100,000</w:t>
      </w:r>
      <w:r w:rsidR="003403F4">
        <w:t xml:space="preserve"> </w:t>
      </w:r>
      <w:r w:rsidR="00991B1D" w:rsidRPr="00871535">
        <w:t xml:space="preserve">with a median age of 57.1 years </w:t>
      </w:r>
      <w:r w:rsidR="00095567">
        <w:fldChar w:fldCharType="begin"/>
      </w:r>
      <w:r w:rsidR="004E19A5">
        <w:instrText xml:space="preserve"> ADDIN PAPERS2_CITATIONS &lt;citation&gt;&lt;priority&gt;25&lt;/priority&gt;&lt;uuid&gt;59416D62-6271-4689-8296-9A4835C9ADCD&lt;/uuid&gt;&lt;publications&gt;&lt;publication&gt;&lt;subtype&gt;400&lt;/subtype&gt;&lt;title&gt;A study of the prevalence of systemic sclerosis in northeast England.&lt;/title&gt;&lt;url&gt;http://eutils.ncbi.nlm.nih.gov/entrez/eutils/elink.fcgi?dbfrom=pubmed&amp;amp;id=14872101&amp;amp;retmode=ref&amp;amp;cmd=prlinks&lt;/url&gt;&lt;volume&gt;43&lt;/volume&gt;&lt;publication_date&gt;99200405001200000000220000&lt;/publication_date&gt;&lt;uuid&gt;54D3DC8A-BFD2-4ECA-A3B3-763646192F5A&lt;/uuid&gt;&lt;type&gt;400&lt;/type&gt;&lt;number&gt;5&lt;/number&gt;&lt;doi&gt;10.1093/rheumatology/keh124&lt;/doi&gt;&lt;institution&gt;Department of Respiratory Medicine, Freeman Hospital, Newcastle upon Tyne, UK. robertallcock@onetel.ac.uk&lt;/institution&gt;&lt;startpage&gt;596&lt;/startpage&gt;&lt;endpage&gt;602&lt;/endpage&gt;&lt;bundle&gt;&lt;publication&gt;&lt;title&gt;Rheumatology (Oxford, England)&lt;/title&gt;&lt;uuid&gt;D36C8EA9-A732-4F9C-96F2-73BE7BDC1F22&lt;/uuid&gt;&lt;subtype&gt;-100&lt;/subtype&gt;&lt;type&gt;-100&lt;/type&gt;&lt;/publication&gt;&lt;/bundle&gt;&lt;authors&gt;&lt;author&gt;&lt;lastName&gt;Allcock&lt;/lastName&gt;&lt;firstName&gt;R&lt;/firstName&gt;&lt;middleNames&gt;J&lt;/middleNames&gt;&lt;/author&gt;&lt;author&gt;&lt;lastName&gt;Forrest&lt;/lastName&gt;&lt;firstName&gt;I&lt;/firstName&gt;&lt;/author&gt;&lt;author&gt;&lt;lastName&gt;Corris&lt;/lastName&gt;&lt;firstName&gt;P&lt;/firstName&gt;&lt;middleNames&gt;A&lt;/middleNames&gt;&lt;/author&gt;&lt;author&gt;&lt;lastName&gt;Crook&lt;/lastName&gt;&lt;firstName&gt;P&lt;/firstName&gt;&lt;middleNames&gt;R&lt;/middleNames&gt;&lt;/author&gt;&lt;author&gt;&lt;lastName&gt;Griffiths&lt;/lastName&gt;&lt;firstName&gt;I&lt;/firstName&gt;&lt;middleNames&gt;D&lt;/middleNames&gt;&lt;/author&gt;&lt;/authors&gt;&lt;/publication&gt;&lt;/publications&gt;&lt;cites&gt;&lt;/cites&gt;&lt;/citation&gt;</w:instrText>
      </w:r>
      <w:r w:rsidR="00095567">
        <w:fldChar w:fldCharType="separate"/>
      </w:r>
      <w:r w:rsidR="00095567">
        <w:rPr>
          <w:rFonts w:eastAsiaTheme="minorEastAsia"/>
          <w:lang w:val="en-US"/>
        </w:rPr>
        <w:t>(</w:t>
      </w:r>
      <w:proofErr w:type="spellStart"/>
      <w:r w:rsidR="00095567">
        <w:rPr>
          <w:rFonts w:eastAsiaTheme="minorEastAsia"/>
          <w:lang w:val="en-US"/>
        </w:rPr>
        <w:t>Allcock</w:t>
      </w:r>
      <w:proofErr w:type="spellEnd"/>
      <w:r w:rsidR="00095567">
        <w:rPr>
          <w:rFonts w:eastAsiaTheme="minorEastAsia"/>
          <w:lang w:val="en-US"/>
        </w:rPr>
        <w:t xml:space="preserve">, Forrest, </w:t>
      </w:r>
      <w:proofErr w:type="spellStart"/>
      <w:r w:rsidR="00095567">
        <w:rPr>
          <w:rFonts w:eastAsiaTheme="minorEastAsia"/>
          <w:lang w:val="en-US"/>
        </w:rPr>
        <w:t>Corris</w:t>
      </w:r>
      <w:proofErr w:type="spellEnd"/>
      <w:r w:rsidR="00095567">
        <w:rPr>
          <w:rFonts w:eastAsiaTheme="minorEastAsia"/>
          <w:lang w:val="en-US"/>
        </w:rPr>
        <w:t>, Crook, &amp; Griffiths, 2004)</w:t>
      </w:r>
      <w:r w:rsidR="00095567">
        <w:fldChar w:fldCharType="end"/>
      </w:r>
      <w:r w:rsidR="00A910C0" w:rsidRPr="00871535">
        <w:t>.</w:t>
      </w:r>
      <w:r w:rsidR="00871535" w:rsidRPr="00871535">
        <w:t xml:space="preserve"> </w:t>
      </w:r>
    </w:p>
    <w:p w14:paraId="577E2DB9" w14:textId="77777777" w:rsidR="00871535" w:rsidRDefault="00871535" w:rsidP="00991B1D">
      <w:pPr>
        <w:pStyle w:val="NormalWeb"/>
        <w:rPr>
          <w:rFonts w:eastAsia="Times New Roman"/>
          <w:color w:val="auto"/>
          <w:bdr w:val="none" w:sz="0" w:space="0" w:color="auto"/>
        </w:rPr>
      </w:pPr>
    </w:p>
    <w:p w14:paraId="1D040365" w14:textId="3AEDD371" w:rsidR="00ED631D" w:rsidRDefault="00871535" w:rsidP="00AF3D20">
      <w:pPr>
        <w:pStyle w:val="Body"/>
      </w:pPr>
      <w:r w:rsidRPr="00AF3D20">
        <w:t xml:space="preserve">PAH is a major complication associated with </w:t>
      </w:r>
      <w:proofErr w:type="spellStart"/>
      <w:r w:rsidRPr="00AF3D20">
        <w:t>SSc</w:t>
      </w:r>
      <w:proofErr w:type="spellEnd"/>
      <w:r w:rsidRPr="00AF3D20">
        <w:t xml:space="preserve"> </w:t>
      </w:r>
      <w:r w:rsidR="00E65208">
        <w:t>(PAH-</w:t>
      </w:r>
      <w:proofErr w:type="spellStart"/>
      <w:r w:rsidR="00E65208">
        <w:t>SSc</w:t>
      </w:r>
      <w:proofErr w:type="spellEnd"/>
      <w:r w:rsidR="00E65208">
        <w:t xml:space="preserve">) </w:t>
      </w:r>
      <w:r w:rsidRPr="00AF3D20">
        <w:t>with a</w:t>
      </w:r>
      <w:r w:rsidR="00056E01">
        <w:t xml:space="preserve"> not insignificant</w:t>
      </w:r>
      <w:r w:rsidRPr="00AF3D20">
        <w:t xml:space="preserve"> prevalence </w:t>
      </w:r>
      <w:r w:rsidR="00C81E84" w:rsidRPr="00AF3D20">
        <w:t xml:space="preserve">between 7.8–12% </w:t>
      </w:r>
      <w:r w:rsidR="00095567">
        <w:fldChar w:fldCharType="begin"/>
      </w:r>
      <w:r w:rsidR="004E19A5">
        <w:instrText xml:space="preserve"> ADDIN PAPERS2_CITATIONS &lt;citation&gt;&lt;priority&gt;26&lt;/priority&gt;&lt;uuid&gt;0E08A46F-AB9D-4280-939E-F1CB6F83A7DB&lt;/uuid&gt;&lt;publications&gt;&lt;publication&gt;&lt;subtype&gt;400&lt;/subtype&gt;&lt;title&gt;Early detection of pulmonary arterial hypertension in systemic sclerosis: a French nationwide prospective multicenter study.&lt;/title&gt;&lt;url&gt;http://eutils.ncbi.nlm.nih.gov/entrez/eutils/elink.fcgi?dbfrom=pubmed&amp;amp;id=16320330&amp;amp;retmode=ref&amp;amp;cmd=prlinks&lt;/url&gt;&lt;volume&gt;52&lt;/volume&gt;&lt;publication_date&gt;99200512001200000000220000&lt;/publication_date&gt;&lt;uuid&gt;4E1259E3-C7A2-454A-9539-6F5C054C035C&lt;/uuid&gt;&lt;type&gt;400&lt;/type&gt;&lt;number&gt;12&lt;/number&gt;&lt;doi&gt;10.1002/art.21433&lt;/doi&gt;&lt;institution&gt;Hôpital Claude-Huriez, Lille, France. ehachulla@chru-lille.fr&lt;/institution&gt;&lt;startpage&gt;3792&lt;/startpage&gt;&lt;endpage&gt;3800&lt;/endpage&gt;&lt;bundle&gt;&lt;publication&gt;&lt;title&gt;Arthritis and rheumatism&lt;/title&gt;&lt;uuid&gt;BF52BC14-CF78-45E6-8645-BF09500A8E1E&lt;/uuid&gt;&lt;subtype&gt;-100&lt;/subtype&gt;&lt;type&gt;-100&lt;/type&gt;&lt;/publication&gt;&lt;/bundle&gt;&lt;authors&gt;&lt;author&gt;&lt;lastName&gt;Hachulla&lt;/lastName&gt;&lt;firstName&gt;Éric&lt;/firstName&gt;&lt;/author&gt;&lt;author&gt;&lt;lastName&gt;Gressin&lt;/lastName&gt;&lt;firstName&gt;Virginie&lt;/firstName&gt;&lt;/author&gt;&lt;author&gt;&lt;lastName&gt;Guillevin&lt;/lastName&gt;&lt;firstName&gt;Loïc&lt;/firstName&gt;&lt;/author&gt;&lt;author&gt;&lt;lastName&gt;Carpentier&lt;/lastName&gt;&lt;firstName&gt;Patrick&lt;/firstName&gt;&lt;/author&gt;&lt;author&gt;&lt;lastName&gt;Diot&lt;/lastName&gt;&lt;firstName&gt;Elisabeth&lt;/firstName&gt;&lt;/author&gt;&lt;author&gt;&lt;lastName&gt;Sibilia&lt;/lastName&gt;&lt;firstName&gt;Jean&lt;/firstName&gt;&lt;/author&gt;&lt;author&gt;&lt;lastName&gt;Kahan&lt;/lastName&gt;&lt;firstName&gt;André&lt;/firstName&gt;&lt;/author&gt;&lt;author&gt;&lt;lastName&gt;Cabane&lt;/lastName&gt;&lt;firstName&gt;Jean&lt;/firstName&gt;&lt;/author&gt;&lt;author&gt;&lt;lastName&gt;Francès&lt;/lastName&gt;&lt;firstName&gt;Camille&lt;/firstName&gt;&lt;/author&gt;&lt;author&gt;&lt;lastName&gt;Launay&lt;/lastName&gt;&lt;firstName&gt;David&lt;/firstName&gt;&lt;/author&gt;&lt;author&gt;&lt;lastName&gt;Mouthon&lt;/lastName&gt;&lt;firstName&gt;Luc&lt;/firstName&gt;&lt;/author&gt;&lt;author&gt;&lt;lastName&gt;Allanore&lt;/lastName&gt;&lt;firstName&gt;Yannick&lt;/firstName&gt;&lt;/author&gt;&lt;author&gt;&lt;lastName&gt;Tiev&lt;/lastName&gt;&lt;firstName&gt;Kiet&lt;/firstName&gt;&lt;middleNames&gt;Phong&lt;/middleNames&gt;&lt;/author&gt;&lt;author&gt;&lt;lastName&gt;Clerson&lt;/lastName&gt;&lt;firstName&gt;Pierre&lt;/firstName&gt;&lt;/author&gt;&lt;author&gt;&lt;lastName&gt;Groote&lt;/lastName&gt;&lt;nonDroppingParticle&gt;de&lt;/nonDroppingParticle&gt;&lt;firstName&gt;Pascal&lt;/firstName&gt;&lt;/author&gt;&lt;author&gt;&lt;lastName&gt;Humbert&lt;/lastName&gt;&lt;firstName&gt;Marc&lt;/firstName&gt;&lt;/author&gt;&lt;/authors&gt;&lt;/publication&gt;&lt;/publications&gt;&lt;cites&gt;&lt;/cites&gt;&lt;/citation&gt;</w:instrText>
      </w:r>
      <w:r w:rsidR="00095567">
        <w:fldChar w:fldCharType="separate"/>
      </w:r>
      <w:r w:rsidR="00095567">
        <w:rPr>
          <w:rFonts w:eastAsiaTheme="minorEastAsia"/>
          <w:lang w:val="en-US"/>
        </w:rPr>
        <w:t>(</w:t>
      </w:r>
      <w:proofErr w:type="spellStart"/>
      <w:r w:rsidR="00095567">
        <w:rPr>
          <w:rFonts w:eastAsiaTheme="minorEastAsia"/>
          <w:lang w:val="en-US"/>
        </w:rPr>
        <w:t>Hachulla</w:t>
      </w:r>
      <w:proofErr w:type="spellEnd"/>
      <w:r w:rsidR="00095567">
        <w:rPr>
          <w:rFonts w:eastAsiaTheme="minorEastAsia"/>
          <w:lang w:val="en-US"/>
        </w:rPr>
        <w:t xml:space="preserve"> et al., 2005)</w:t>
      </w:r>
      <w:r w:rsidR="00095567">
        <w:fldChar w:fldCharType="end"/>
      </w:r>
      <w:r w:rsidR="00C81E84" w:rsidRPr="00AF3D20">
        <w:t xml:space="preserve">, </w:t>
      </w:r>
      <w:r w:rsidR="00095567">
        <w:fldChar w:fldCharType="begin"/>
      </w:r>
      <w:r w:rsidR="004E19A5">
        <w:instrText xml:space="preserve"> ADDIN PAPERS2_CITATIONS &lt;citation&gt;&lt;priority&gt;27&lt;/priority&gt;&lt;uuid&gt;735BC841-B076-4CE1-964C-AB088EF3BD96&lt;/uuid&gt;&lt;publications&gt;&lt;publication&gt;&lt;subtype&gt;400&lt;/subtype&gt;&lt;publisher&gt;The Journal of Rheumatology&lt;/publisher&gt;&lt;title&gt;Prevalence of pulmonary hypertension in systemic sclerosis in European Caucasians and metaanalysis of 5 studies.&lt;/title&gt;&lt;url&gt;http://www.jrheum.org/lookup/doi/10.3899/jrheum.100245&lt;/url&gt;&lt;volume&gt;37&lt;/volume&gt;&lt;publication_date&gt;99201011001200000000220000&lt;/publication_date&gt;&lt;uuid&gt;E433CB7E-2F5F-4AE5-89C0-58E5563487AA&lt;/uuid&gt;&lt;type&gt;400&lt;/type&gt;&lt;number&gt;11&lt;/number&gt;&lt;doi&gt;10.3899/jrheum.100245&lt;/doi&gt;&lt;institution&gt;Department of Rheumatology A, Paris Descartes University, Cochin Hospital, APHP, Paris, France.&lt;/institution&gt;&lt;startpage&gt;2290&lt;/startpage&gt;&lt;endpage&gt;2298&lt;/endpage&gt;&lt;bundle&gt;&lt;publication&gt;&lt;title&gt;The Journal of rheumatology&lt;/title&gt;&lt;uuid&gt;59EEB846-9552-4A7B-A1EE-C437609617FF&lt;/uuid&gt;&lt;subtype&gt;-100&lt;/subtype&gt;&lt;type&gt;-100&lt;/type&gt;&lt;/publication&gt;&lt;/bundle&gt;&lt;authors&gt;&lt;author&gt;&lt;lastName&gt;AVOUAC&lt;/lastName&gt;&lt;firstName&gt;JÉRÔME&lt;/firstName&gt;&lt;/author&gt;&lt;author&gt;&lt;lastName&gt;AIRÒ&lt;/lastName&gt;&lt;firstName&gt;PAOLO&lt;/firstName&gt;&lt;/author&gt;&lt;author&gt;&lt;lastName&gt;MEUNE&lt;/lastName&gt;&lt;firstName&gt;CHRISTOPHE&lt;/firstName&gt;&lt;/author&gt;&lt;author&gt;&lt;lastName&gt;Beretta&lt;/lastName&gt;&lt;firstName&gt;Lorenzo&lt;/firstName&gt;&lt;/author&gt;&lt;author&gt;&lt;lastName&gt;DIEUDE&lt;/lastName&gt;&lt;firstName&gt;PHILIPPE&lt;/firstName&gt;&lt;/author&gt;&lt;author&gt;&lt;lastName&gt;CARAMASCHI&lt;/lastName&gt;&lt;firstName&gt;PAOLA&lt;/firstName&gt;&lt;/author&gt;&lt;author&gt;&lt;lastName&gt;TIEV&lt;/lastName&gt;&lt;firstName&gt;KIET&lt;/firstName&gt;&lt;/author&gt;&lt;author&gt;&lt;lastName&gt;CAPPELLI&lt;/lastName&gt;&lt;firstName&gt;SUSANNA&lt;/firstName&gt;&lt;/author&gt;&lt;author&gt;&lt;lastName&gt;Diot&lt;/lastName&gt;&lt;firstName&gt;Elisabeth&lt;/firstName&gt;&lt;/author&gt;&lt;author&gt;&lt;lastName&gt;VACCA&lt;/lastName&gt;&lt;firstName&gt;ALESSANDRA&lt;/firstName&gt;&lt;/author&gt;&lt;author&gt;&lt;lastName&gt;CRACOWSKI&lt;/lastName&gt;&lt;firstName&gt;JEAN-LUC&lt;/firstName&gt;&lt;/author&gt;&lt;author&gt;&lt;lastName&gt;Sibilia&lt;/lastName&gt;&lt;firstName&gt;Jean&lt;/firstName&gt;&lt;/author&gt;&lt;author&gt;&lt;lastName&gt;Kahan&lt;/lastName&gt;&lt;firstName&gt;André&lt;/firstName&gt;&lt;/author&gt;&lt;author&gt;&lt;lastName&gt;MATUCCI-CERINIC&lt;/lastName&gt;&lt;firstName&gt;MARCO&lt;/firstName&gt;&lt;/author&gt;&lt;author&gt;&lt;lastName&gt;Allanore&lt;/lastName&gt;&lt;firstName&gt;Yannick&lt;/firstName&gt;&lt;/author&gt;&lt;/authors&gt;&lt;/publication&gt;&lt;/publications&gt;&lt;cites&gt;&lt;/cites&gt;&lt;/citation&gt;</w:instrText>
      </w:r>
      <w:r w:rsidR="00095567">
        <w:fldChar w:fldCharType="separate"/>
      </w:r>
      <w:r w:rsidR="004E19A5">
        <w:rPr>
          <w:rFonts w:eastAsiaTheme="minorEastAsia"/>
        </w:rPr>
        <w:t>(AVOUAC et al., 2010)</w:t>
      </w:r>
      <w:r w:rsidR="00095567">
        <w:fldChar w:fldCharType="end"/>
      </w:r>
      <w:r w:rsidRPr="00AF3D20">
        <w:t xml:space="preserve">. </w:t>
      </w:r>
      <w:r w:rsidR="00056E01">
        <w:t>Compared</w:t>
      </w:r>
      <w:r w:rsidR="00F6129A">
        <w:t xml:space="preserve"> with IPAH, PAH-</w:t>
      </w:r>
      <w:proofErr w:type="spellStart"/>
      <w:r w:rsidR="00F6129A">
        <w:t>SSc</w:t>
      </w:r>
      <w:proofErr w:type="spellEnd"/>
      <w:r w:rsidR="00F6129A">
        <w:t xml:space="preserve"> presents with milder </w:t>
      </w:r>
      <w:proofErr w:type="spellStart"/>
      <w:r w:rsidR="00A96F22">
        <w:t>haemodynamics</w:t>
      </w:r>
      <w:proofErr w:type="spellEnd"/>
      <w:r w:rsidR="00056E01" w:rsidRPr="00056E01">
        <w:t xml:space="preserve"> </w:t>
      </w:r>
      <w:r w:rsidR="00056E01">
        <w:t>at diagnosis</w:t>
      </w:r>
      <w:r w:rsidR="00F6129A">
        <w:t>, however, the disease progression is more rapid with a 3 year survival of</w:t>
      </w:r>
      <w:r w:rsidR="00E65208">
        <w:t xml:space="preserve"> 52%, significantly less than IPAH 63% p&lt;0.01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&lt;citation&gt;&lt;priority&gt;28&lt;/priority&gt;&lt;uuid&gt;28B5E79D-194D-49FA-9F91-CFC39D0C2DB9&lt;/uuid&gt;&lt;publications&gt;&lt;publication&gt;&lt;subtype&gt;400&lt;/subtype&gt;&lt;title&gt;ASPIRE registry: Assessing the Spectrum of Pulmonary hypertension Identified at a REferral centre&lt;/title&gt;&lt;url&gt;http://erj.ersjournals.com/cgi/doi/10.1183/09031936.00078411&lt;/url&gt;&lt;volume&gt;39&lt;/volume&gt;&lt;publication_date&gt;99201203311200000000222000&lt;/publication_date&gt;&lt;uuid&gt;A8B61735-12AE-47F6-B67D-92F2DC0CDC66&lt;/uuid&gt;&lt;type&gt;400&lt;/type&gt;&lt;number&gt;4&lt;/number&gt;&lt;doi&gt;10.1183/09031936.00078411&lt;/doi&gt;&lt;startpage&gt;945&lt;/startpage&gt;&lt;endpage&gt;955&lt;/endpage&gt;&lt;bundle&gt;&lt;publication&gt;&lt;title&gt;European Respiratory Journal&lt;/title&gt;&lt;uuid&gt;B67DDBE2-BCE3-42FF-86A9-BC8F813AD582&lt;/uuid&gt;&lt;subtype&gt;-100&lt;/subtype&gt;&lt;publisher&gt;European Respiratory Society&lt;/publisher&gt;&lt;type&gt;-100&lt;/type&gt;&lt;url&gt;http://erj.ersjournals.com&lt;/url&gt;&lt;/publication&gt;&lt;/bundle&gt;&lt;authors&gt;&lt;author&gt;&lt;lastName&gt;Hurdman&lt;/lastName&gt;&lt;firstName&gt;J&lt;/firstName&gt;&lt;/author&gt;&lt;author&gt;&lt;lastName&gt;Condliffe&lt;/lastName&gt;&lt;firstName&gt;R&lt;/firstName&gt;&lt;/author&gt;&lt;author&gt;&lt;lastName&gt;Elliot&lt;/lastName&gt;&lt;firstName&gt;C&lt;/firstName&gt;&lt;middleNames&gt;A&lt;/middleNames&gt;&lt;/author&gt;&lt;author&gt;&lt;lastName&gt;Davies&lt;/lastName&gt;&lt;firstName&gt;C&lt;/firstName&gt;&lt;/author&gt;&lt;author&gt;&lt;lastName&gt;Hill&lt;/lastName&gt;&lt;firstName&gt;C&lt;/firstName&gt;&lt;/author&gt;&lt;author&gt;&lt;lastName&gt;Wild&lt;/lastName&gt;&lt;firstName&gt;J&lt;/firstName&gt;&lt;middleNames&gt;M&lt;/middleNames&gt;&lt;/author&gt;&lt;author&gt;&lt;lastName&gt;Capener&lt;/lastName&gt;&lt;firstName&gt;D&lt;/firstName&gt;&lt;/author&gt;&lt;author&gt;&lt;lastName&gt;Sephton&lt;/lastName&gt;&lt;firstName&gt;P&lt;/firstName&gt;&lt;/author&gt;&lt;author&gt;&lt;lastName&gt;Hamilton&lt;/lastName&gt;&lt;firstName&gt;N&lt;/firstName&gt;&lt;/author&gt;&lt;author&gt;&lt;lastName&gt;Armstrong&lt;/lastName&gt;&lt;firstName&gt;I&lt;/firstName&gt;&lt;middleNames&gt;J&lt;/middleNames&gt;&lt;/author&gt;&lt;author&gt;&lt;lastName&gt;Billings&lt;/lastName&gt;&lt;firstName&gt;C&lt;/firstName&gt;&lt;/author&gt;&lt;author&gt;&lt;lastName&gt;Lawrie&lt;/lastName&gt;&lt;firstName&gt;A&lt;/firstName&gt;&lt;/author&gt;&lt;author&gt;&lt;lastName&gt;Sabroe&lt;/lastName&gt;&lt;firstName&gt;I&lt;/firstName&gt;&lt;/author&gt;&lt;author&gt;&lt;lastName&gt;Akil&lt;/lastName&gt;&lt;firstName&gt;M&lt;/firstName&gt;&lt;/author&gt;&lt;author&gt;&lt;lastName&gt;O'Toole&lt;/lastName&gt;&lt;firstName&gt;L&lt;/firstName&gt;&lt;/author&gt;&lt;author&gt;&lt;lastName&gt;Kiely&lt;/lastName&gt;&lt;firstName&gt;D&lt;/firstName&gt;&lt;middleNames&gt;G&lt;/middleNames&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w:t>
      </w:r>
      <w:proofErr w:type="spellStart"/>
      <w:r w:rsidR="00095567">
        <w:rPr>
          <w:rFonts w:eastAsiaTheme="minorEastAsia"/>
          <w:lang w:val="en-US"/>
        </w:rPr>
        <w:t>Hurdman</w:t>
      </w:r>
      <w:proofErr w:type="spellEnd"/>
      <w:r w:rsidR="00095567">
        <w:rPr>
          <w:rFonts w:eastAsiaTheme="minorEastAsia"/>
          <w:lang w:val="en-US"/>
        </w:rPr>
        <w:t xml:space="preserve"> et al., 2012)</w:t>
      </w:r>
      <w:r w:rsidR="00095567">
        <w:rPr>
          <w:rFonts w:eastAsiaTheme="minorEastAsia"/>
          <w:color w:val="auto"/>
          <w:bdr w:val="none" w:sz="0" w:space="0" w:color="auto"/>
          <w:lang w:val="en-US"/>
        </w:rPr>
        <w:fldChar w:fldCharType="end"/>
      </w:r>
      <w:r w:rsidR="00E65208">
        <w:t>.</w:t>
      </w:r>
      <w:r w:rsidR="00263816">
        <w:t xml:space="preserve"> </w:t>
      </w:r>
    </w:p>
    <w:p w14:paraId="06068283" w14:textId="77777777" w:rsidR="003B211D" w:rsidRDefault="003B211D" w:rsidP="00AF3D20">
      <w:pPr>
        <w:pStyle w:val="Body"/>
      </w:pPr>
    </w:p>
    <w:p w14:paraId="1B48DACC" w14:textId="2697E31F" w:rsidR="009C51E2" w:rsidRDefault="00ED631D" w:rsidP="00F90348">
      <w:pPr>
        <w:pStyle w:val="Body"/>
      </w:pPr>
      <w:r>
        <w:t>Due to the relatively high prevalence</w:t>
      </w:r>
      <w:r w:rsidR="000B256E">
        <w:t>, and high mortality</w:t>
      </w:r>
      <w:r>
        <w:t xml:space="preserve"> of </w:t>
      </w:r>
      <w:proofErr w:type="spellStart"/>
      <w:r>
        <w:t>SSc</w:t>
      </w:r>
      <w:proofErr w:type="spellEnd"/>
      <w:r w:rsidR="00056E01">
        <w:t>-PAH</w:t>
      </w:r>
      <w:r w:rsidR="00F90348">
        <w:t xml:space="preserve"> it is recommended in the </w:t>
      </w:r>
      <w:r w:rsidR="00F90348" w:rsidRPr="00F90348">
        <w:t xml:space="preserve">Society of Cardiology (ESC)/European Respiratory Society </w:t>
      </w:r>
      <w:r w:rsidR="00F90348">
        <w:t xml:space="preserve">guidelines that patients undergo annual screening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&lt;citation&gt;&lt;priority&gt;29&lt;/priority&gt;&lt;uuid&gt;1B596F2D-8CB1-4EDF-881F-364EB5249904&lt;/uuid&gt;&lt;publications&gt;&lt;publication&gt;&lt;subtype&gt;717&lt;/subtype&gt;&lt;title&gt;2015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Transplantation (ISHLT).&lt;/title&gt;&lt;url&gt;http://eutils.ncbi.nlm.nih.gov/entrez/eutils/elink.fcgi?dbfrom=pubmed&amp;amp;id=26320113&amp;amp;retmode=ref&amp;amp;cmd=prlinks&lt;/url&gt;&lt;volume&gt;37&lt;/volume&gt;&lt;publication_date&gt;99201601011200000000222000&lt;/publication_date&gt;&lt;uuid&gt;AC060D81-90C2-4940-BA6D-5E57C078237F&lt;/uuid&gt;&lt;type&gt;700&lt;/type&gt;&lt;number&gt;1&lt;/number&gt;&lt;citekey&gt;Galie:2016gf&lt;/citekey&gt;&lt;doi&gt;10.1093/eurheartj/ehv317&lt;/doi&gt;&lt;startpage&gt;67&lt;/startpage&gt;&lt;endpage&gt;119&lt;/endpage&gt;&lt;bundle&gt;&lt;publication&gt;&lt;title&gt;European Heart Journal&lt;/title&gt;&lt;uuid&gt;9B2F36EA-4378-47D4-BC03-5AB7B9E7132C&lt;/uuid&gt;&lt;subtype&gt;-100&lt;/subtype&gt;&lt;type&gt;-100&lt;/type&gt;&lt;/publication&gt;&lt;/bundle&gt;&lt;authors&gt;&lt;author&gt;&lt;lastName&gt;Galiè&lt;/lastName&gt;&lt;firstName&gt;Nazzareno&lt;/firstName&gt;&lt;/author&gt;&lt;author&gt;&lt;lastName&gt;Humbert&lt;/lastName&gt;&lt;firstName&gt;Marc&lt;/firstName&gt;&lt;/author&gt;&lt;author&gt;&lt;lastName&gt;Vachiery&lt;/lastName&gt;&lt;firstName&gt;Jean-Luc&lt;/firstName&gt;&lt;/author&gt;&lt;author&gt;&lt;lastName&gt;Gibbs&lt;/lastName&gt;&lt;firstName&gt;Simon&lt;/firstName&gt;&lt;/author&gt;&lt;author&gt;&lt;lastName&gt;Lang&lt;/lastName&gt;&lt;firstName&gt;Irene&lt;/firstName&gt;&lt;/author&gt;&lt;author&gt;&lt;lastName&gt;Torbicki&lt;/lastName&gt;&lt;firstName&gt;Adam&lt;/firstName&gt;&lt;/author&gt;&lt;author&gt;&lt;lastName&gt;Simonneau&lt;/lastName&gt;&lt;firstName&gt;Gérald&lt;/firstName&gt;&lt;/author&gt;&lt;author&gt;&lt;lastName&gt;Peacock&lt;/lastName&gt;&lt;firstName&gt;Andrew&lt;/firstName&gt;&lt;/author&gt;&lt;author&gt;&lt;lastName&gt;Vonk Noordegraaf&lt;/lastName&gt;&lt;firstName&gt;Anton&lt;/firstName&gt;&lt;/author&gt;&lt;author&gt;&lt;lastName&gt;Beghetti&lt;/lastName&gt;&lt;firstName&gt;Maurice&lt;/firstName&gt;&lt;/author&gt;&lt;author&gt;&lt;lastName&gt;Ghofrani&lt;/lastName&gt;&lt;firstName&gt;Ardeschir&lt;/firstName&gt;&lt;/author&gt;&lt;author&gt;&lt;lastName&gt;Gomez Sanchez&lt;/lastName&gt;&lt;firstName&gt;Miguel&lt;/firstName&gt;&lt;middleNames&gt;Angel&lt;/middleNames&gt;&lt;/author&gt;&lt;author&gt;&lt;lastName&gt;Hansmann&lt;/lastName&gt;&lt;firstName&gt;Georg&lt;/firstName&gt;&lt;/author&gt;&lt;author&gt;&lt;lastName&gt;Klepetko&lt;/lastName&gt;&lt;firstName&gt;Walter&lt;/firstName&gt;&lt;/author&gt;&lt;author&gt;&lt;lastName&gt;Lancellotti&lt;/lastName&gt;&lt;firstName&gt;Patrizio&lt;/firstName&gt;&lt;/author&gt;&lt;author&gt;&lt;lastName&gt;Matucci&lt;/lastName&gt;&lt;firstName&gt;Marco&lt;/firstName&gt;&lt;/author&gt;&lt;author&gt;&lt;lastName&gt;McDonagh&lt;/lastName&gt;&lt;firstName&gt;Theresa&lt;/firstName&gt;&lt;/author&gt;&lt;author&gt;&lt;lastName&gt;Pierard&lt;/lastName&gt;&lt;firstName&gt;Luc&lt;/firstName&gt;&lt;middleNames&gt;A&lt;/middleNames&gt;&lt;/author&gt;&lt;author&gt;&lt;lastName&gt;Trindade&lt;/lastName&gt;&lt;firstName&gt;Pedro&lt;/firstName&gt;&lt;middleNames&gt;T&lt;/middleNames&gt;&lt;/author&gt;&lt;author&gt;&lt;lastName&gt;Zompatori&lt;/lastName&gt;&lt;firstName&gt;Maurizio&lt;/firstName&gt;&lt;/author&gt;&lt;author&gt;&lt;lastName&gt;Hoeper&lt;/lastName&gt;&lt;firstName&gt;Marius&lt;/firstName&gt;&lt;/author&gt;&lt;author&gt;&lt;lastName&gt;ESC Scientific Document Group &lt;/lastName&gt;&lt;/author&gt;&lt;/authors&gt;&lt;/publication&gt;&lt;/publications&gt;&lt;cites&gt;&lt;/cites&gt;&lt;/citation&gt;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w:t>
      </w:r>
      <w:proofErr w:type="spellStart"/>
      <w:r w:rsidR="00095567">
        <w:rPr>
          <w:rFonts w:eastAsiaTheme="minorEastAsia"/>
          <w:lang w:val="en-US"/>
        </w:rPr>
        <w:t>Galiè</w:t>
      </w:r>
      <w:proofErr w:type="spellEnd"/>
      <w:r w:rsidR="00095567">
        <w:rPr>
          <w:rFonts w:eastAsiaTheme="minorEastAsia"/>
          <w:lang w:val="en-US"/>
        </w:rPr>
        <w:t xml:space="preserve"> et al., 2016)</w:t>
      </w:r>
      <w:r w:rsidR="00095567">
        <w:rPr>
          <w:rFonts w:eastAsiaTheme="minorEastAsia"/>
          <w:color w:val="auto"/>
          <w:bdr w:val="none" w:sz="0" w:space="0" w:color="auto"/>
          <w:lang w:val="en-US"/>
        </w:rPr>
        <w:fldChar w:fldCharType="end"/>
      </w:r>
      <w:r w:rsidR="00F90348">
        <w:t>.</w:t>
      </w:r>
      <w:r w:rsidR="00B82D0F">
        <w:t xml:space="preserve"> I</w:t>
      </w:r>
      <w:r w:rsidR="009C51E2">
        <w:t>t</w:t>
      </w:r>
      <w:r w:rsidR="00D5799B">
        <w:t xml:space="preserve"> is difficult to assess whether </w:t>
      </w:r>
      <w:r w:rsidR="00E83644">
        <w:t xml:space="preserve">improvements in survival from </w:t>
      </w:r>
      <w:r w:rsidR="00D5799B">
        <w:t>early detection</w:t>
      </w:r>
      <w:r w:rsidR="00E83644">
        <w:t xml:space="preserve"> are real</w:t>
      </w:r>
      <w:r w:rsidR="00F90348">
        <w:t xml:space="preserve"> </w:t>
      </w:r>
      <w:r w:rsidR="00E83644">
        <w:t>or if it is</w:t>
      </w:r>
      <w:r w:rsidR="00D5799B">
        <w:t xml:space="preserve"> lead-time bias as the </w:t>
      </w:r>
      <w:r w:rsidR="00D5799B">
        <w:lastRenderedPageBreak/>
        <w:t>diagnosis has been made earlier within the natural course of the disease.</w:t>
      </w:r>
      <w:r w:rsidR="00B0192C">
        <w:t xml:space="preserve"> </w:t>
      </w:r>
      <w:r w:rsidR="009C51E2">
        <w:t xml:space="preserve">To discern the difference </w:t>
      </w:r>
      <w:r w:rsidR="00822E94">
        <w:t>Humbert et al compar</w:t>
      </w:r>
      <w:r w:rsidR="00411257">
        <w:t>ed</w:t>
      </w:r>
      <w:r w:rsidR="00822E94">
        <w:t xml:space="preserve"> the survival of 32 incidental patients</w:t>
      </w:r>
      <w:r w:rsidR="009C51E2">
        <w:t xml:space="preserve"> identified between 2002 and 2003</w:t>
      </w:r>
      <w:r w:rsidR="00822E94">
        <w:t>, 16 were symptomatic upon referral and 16 were detected through echocardiography screening</w:t>
      </w:r>
      <w:r w:rsidR="009C51E2">
        <w:t xml:space="preserve">. The  symptomatic cohort had a 3 year survival of 31% compared with 81% for the </w:t>
      </w:r>
      <w:r w:rsidR="009C51E2" w:rsidRPr="00F90348">
        <w:t>screened</w:t>
      </w:r>
      <w:r w:rsidR="009C51E2">
        <w:t xml:space="preserve"> cohort (p &lt;0.01)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&lt;citation&gt;&lt;priority&gt;30&lt;/priority&gt;&lt;uuid&gt;9E4B719E-ED35-42F5-BC8F-18F6E687E42B&lt;/uuid&gt;&lt;publications&gt;&lt;publication&gt;&lt;subtype&gt;400&lt;/subtype&gt;&lt;title&gt;Screening for pulmonary arterial hypertension in patients with systemic sclerosis: clinical characteristics at diagnosis and long-term survival.&lt;/title&gt;&lt;url&gt;http://eutils.ncbi.nlm.nih.gov/entrez/eutils/elink.fcgi?dbfrom=pubmed&amp;amp;id=21769843&amp;amp;retmode=ref&amp;amp;cmd=prlinks&lt;/url&gt;&lt;volume&gt;63&lt;/volume&gt;&lt;publication_date&gt;99201111001200000000220000&lt;/publication_date&gt;&lt;uuid&gt;186472FC-DBC5-432E-9E82-03A6DE0B9228&lt;/uuid&gt;&lt;type&gt;400&lt;/type&gt;&lt;number&gt;11&lt;/number&gt;&lt;doi&gt;10.1002/art.30541&lt;/doi&gt;&lt;institution&gt;Université Paris-Sud, Le Kremlin-Bicêtre, France; AP-HP Hôpital Antoine Béclère, Clamart, France. marc.humbert@abc.aphp.fr&lt;/institution&gt;&lt;startpage&gt;3522&lt;/startpage&gt;&lt;endpage&gt;3530&lt;/endpage&gt;&lt;bundle&gt;&lt;publication&gt;&lt;title&gt;Arthritis and rheumatism&lt;/title&gt;&lt;uuid&gt;BF52BC14-CF78-45E6-8645-BF09500A8E1E&lt;/uuid&gt;&lt;subtype&gt;-100&lt;/subtype&gt;&lt;type&gt;-100&lt;/type&gt;&lt;/publication&gt;&lt;/bundle&gt;&lt;authors&gt;&lt;author&gt;&lt;lastName&gt;Humbert&lt;/lastName&gt;&lt;firstName&gt;Marc&lt;/firstName&gt;&lt;/author&gt;&lt;author&gt;&lt;lastName&gt;Yaici&lt;/lastName&gt;&lt;firstName&gt;Azzedine&lt;/firstName&gt;&lt;/author&gt;&lt;author&gt;&lt;lastName&gt;Groote&lt;/lastName&gt;&lt;nonDroppingParticle&gt;de&lt;/nonDroppingParticle&gt;&lt;firstName&gt;Pascal&lt;/firstName&gt;&lt;/author&gt;&lt;author&gt;&lt;lastName&gt;Montani&lt;/lastName&gt;&lt;firstName&gt;David&lt;/firstName&gt;&lt;/author&gt;&lt;author&gt;&lt;lastName&gt;Sitbon&lt;/lastName&gt;&lt;firstName&gt;Olivier&lt;/firstName&gt;&lt;/author&gt;&lt;author&gt;&lt;lastName&gt;Launay&lt;/lastName&gt;&lt;firstName&gt;David&lt;/firstName&gt;&lt;/author&gt;&lt;author&gt;&lt;lastName&gt;Gressin&lt;/lastName&gt;&lt;firstName&gt;Virginie&lt;/firstName&gt;&lt;/author&gt;&lt;author&gt;&lt;lastName&gt;Guillevin&lt;/lastName&gt;&lt;firstName&gt;Loïc&lt;/firstName&gt;&lt;/author&gt;&lt;author&gt;&lt;lastName&gt;Clerson&lt;/lastName&gt;&lt;firstName&gt;Pierre&lt;/firstName&gt;&lt;/author&gt;&lt;author&gt;&lt;lastName&gt;Simonneau&lt;/lastName&gt;&lt;firstName&gt;Gérald&lt;/firstName&gt;&lt;/author&gt;&lt;author&gt;&lt;lastName&gt;Hachulla&lt;/lastName&gt;&lt;firstName&gt;Éric&lt;/firstName&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(Humbert et al., 2011)</w:t>
      </w:r>
      <w:r w:rsidR="00095567">
        <w:rPr>
          <w:rFonts w:eastAsiaTheme="minorEastAsia"/>
          <w:color w:val="auto"/>
          <w:bdr w:val="none" w:sz="0" w:space="0" w:color="auto"/>
          <w:lang w:val="en-US"/>
        </w:rPr>
        <w:fldChar w:fldCharType="end"/>
      </w:r>
      <w:r w:rsidR="00822E94">
        <w:t xml:space="preserve">. </w:t>
      </w:r>
      <w:r w:rsidR="009C51E2">
        <w:t>Despite the small number of patients studied this indicates that a successful screening program can benefit patient survival.</w:t>
      </w:r>
      <w:r w:rsidR="006C6084">
        <w:t xml:space="preserve"> </w:t>
      </w:r>
    </w:p>
    <w:p w14:paraId="4EBC42BD" w14:textId="77777777" w:rsidR="00535592" w:rsidRDefault="00535592" w:rsidP="00535592"/>
    <w:p w14:paraId="275931BE" w14:textId="60C63AD9" w:rsidR="00535592" w:rsidRDefault="00DC5818" w:rsidP="00312CCD">
      <w:pPr>
        <w:pStyle w:val="Heading2"/>
        <w:numPr>
          <w:ilvl w:val="1"/>
          <w:numId w:val="7"/>
        </w:numPr>
        <w:spacing w:before="120" w:after="120"/>
      </w:pPr>
      <w:bookmarkStart w:id="41" w:name="_Toc60773848"/>
      <w:r>
        <w:t>Non-invasive</w:t>
      </w:r>
      <w:r w:rsidR="00535592">
        <w:t xml:space="preserve"> testing in PAH</w:t>
      </w:r>
      <w:bookmarkEnd w:id="41"/>
    </w:p>
    <w:p w14:paraId="7C251785" w14:textId="1209AB72" w:rsidR="00E4247E" w:rsidRDefault="00DC5818" w:rsidP="00E4247E">
      <w:pPr>
        <w:pStyle w:val="Body"/>
      </w:pPr>
      <w:r>
        <w:t xml:space="preserve">It </w:t>
      </w:r>
      <w:r w:rsidR="005A7641">
        <w:t>is</w:t>
      </w:r>
      <w:r>
        <w:t xml:space="preserve"> impractical to send every patient suspected of PH for RHC diagnosis</w:t>
      </w:r>
      <w:r w:rsidR="00C75073">
        <w:t xml:space="preserve">, </w:t>
      </w:r>
      <w:r w:rsidR="005F0593">
        <w:t xml:space="preserve">preliminary screening is </w:t>
      </w:r>
      <w:r w:rsidR="00E83644">
        <w:t>typically undertaken</w:t>
      </w:r>
      <w:r w:rsidR="005F0593">
        <w:t xml:space="preserve"> by several non-invasive measures</w:t>
      </w:r>
      <w:r w:rsidR="00E83644">
        <w:t xml:space="preserve"> so that only patients with a high likelihood of PH are catheterised</w:t>
      </w:r>
      <w:r>
        <w:t xml:space="preserve">. However, </w:t>
      </w:r>
      <w:r w:rsidR="00E4247E">
        <w:t>several</w:t>
      </w:r>
      <w:r w:rsidR="00E83644">
        <w:t xml:space="preserve"> tests are </w:t>
      </w:r>
      <w:r w:rsidR="00E4247E">
        <w:t>typically undertaken, some by specialists, with varying degrees of success in identifying PH.</w:t>
      </w:r>
    </w:p>
    <w:p w14:paraId="516FFBC4" w14:textId="77777777" w:rsidR="00E4247E" w:rsidRPr="00312CCD" w:rsidRDefault="00E4247E" w:rsidP="00E4247E"/>
    <w:p w14:paraId="25095C9C" w14:textId="3AD53DAB" w:rsidR="00312CCD" w:rsidRDefault="00312CCD" w:rsidP="00312CCD">
      <w:pPr>
        <w:pStyle w:val="Heading2"/>
        <w:numPr>
          <w:ilvl w:val="2"/>
          <w:numId w:val="7"/>
        </w:numPr>
        <w:spacing w:before="120" w:after="120"/>
      </w:pPr>
      <w:bookmarkStart w:id="42" w:name="_Toc60773849"/>
      <w:r>
        <w:t>Echocardiography</w:t>
      </w:r>
      <w:bookmarkEnd w:id="42"/>
      <w:r>
        <w:tab/>
      </w:r>
    </w:p>
    <w:p w14:paraId="21AB97CC" w14:textId="64CE111E" w:rsidR="004163BB" w:rsidRDefault="004163BB" w:rsidP="00B00692">
      <w:pPr>
        <w:pStyle w:val="Body"/>
      </w:pPr>
      <w:r>
        <w:t>Transthoracic echocardiography (TTE)</w:t>
      </w:r>
      <w:r w:rsidR="00E929B4">
        <w:t xml:space="preserve"> is recommended </w:t>
      </w:r>
      <w:r w:rsidR="00CC36F5">
        <w:t>to be performed when a diagnosis of PH is suspected</w:t>
      </w:r>
      <w:r w:rsidR="00117AB4">
        <w:t xml:space="preserve">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&lt;citation&gt;&lt;priority&gt;31&lt;/priority&gt;&lt;uuid&gt;EB144863-81BE-4405-A628-3937253EF2D3&lt;/uuid&gt;&lt;publications&gt;&lt;publication&gt;&lt;subtype&gt;717&lt;/subtype&gt;&lt;title&gt;2015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Transplantation (ISHLT).&lt;/title&gt;&lt;url&gt;http://eutils.ncbi.nlm.nih.gov/entrez/eutils/elink.fcgi?dbfrom=pubmed&amp;amp;id=26320113&amp;amp;retmode=ref&amp;amp;cmd=prlinks&lt;/url&gt;&lt;volume&gt;37&lt;/volume&gt;&lt;publication_date&gt;99201601011200000000222000&lt;/publication_date&gt;&lt;uuid&gt;AC060D81-90C2-4940-BA6D-5E57C078237F&lt;/uuid&gt;&lt;type&gt;700&lt;/type&gt;&lt;number&gt;1&lt;/number&gt;&lt;citekey&gt;Galie:2016gf&lt;/citekey&gt;&lt;doi&gt;10.1093/eurheartj/ehv317&lt;/doi&gt;&lt;startpage&gt;67&lt;/startpage&gt;&lt;endpage&gt;119&lt;/endpage&gt;&lt;bundle&gt;&lt;publication&gt;&lt;title&gt;European Heart Journal&lt;/title&gt;&lt;uuid&gt;9B2F36EA-4378-47D4-BC03-5AB7B9E7132C&lt;/uuid&gt;&lt;subtype&gt;-100&lt;/subtype&gt;&lt;type&gt;-100&lt;/type&gt;&lt;/publication&gt;&lt;/bundle&gt;&lt;authors&gt;&lt;author&gt;&lt;lastName&gt;Galiè&lt;/lastName&gt;&lt;firstName&gt;Nazzareno&lt;/firstName&gt;&lt;/author&gt;&lt;author&gt;&lt;lastName&gt;Humbert&lt;/lastName&gt;&lt;firstName&gt;Marc&lt;/firstName&gt;&lt;/author&gt;&lt;author&gt;&lt;lastName&gt;Vachiery&lt;/lastName&gt;&lt;firstName&gt;Jean-Luc&lt;/firstName&gt;&lt;/author&gt;&lt;author&gt;&lt;lastName&gt;Gibbs&lt;/lastName&gt;&lt;firstName&gt;Simon&lt;/firstName&gt;&lt;/author&gt;&lt;author&gt;&lt;lastName&gt;Lang&lt;/lastName&gt;&lt;firstName&gt;Irene&lt;/firstName&gt;&lt;/author&gt;&lt;author&gt;&lt;lastName&gt;Torbicki&lt;/lastName&gt;&lt;firstName&gt;Adam&lt;/firstName&gt;&lt;/author&gt;&lt;author&gt;&lt;lastName&gt;Simonneau&lt;/lastName&gt;&lt;firstName&gt;Gérald&lt;/firstName&gt;&lt;/author&gt;&lt;author&gt;&lt;lastName&gt;Peacock&lt;/lastName&gt;&lt;firstName&gt;Andrew&lt;/firstName&gt;&lt;/author&gt;&lt;author&gt;&lt;lastName&gt;Vonk Noordegraaf&lt;/lastName&gt;&lt;firstName&gt;Anton&lt;/firstName&gt;&lt;/author&gt;&lt;author&gt;&lt;lastName&gt;Beghetti&lt;/lastName&gt;&lt;firstName&gt;Maurice&lt;/firstName&gt;&lt;/author&gt;&lt;author&gt;&lt;lastName&gt;Ghofrani&lt;/lastName&gt;&lt;firstName&gt;Ardeschir&lt;/firstName&gt;&lt;/author&gt;&lt;author&gt;&lt;lastName&gt;Gomez Sanchez&lt;/lastName&gt;&lt;firstName&gt;Miguel&lt;/firstName&gt;&lt;middleNames&gt;Angel&lt;/middleNames&gt;&lt;/author&gt;&lt;author&gt;&lt;lastName&gt;Hansmann&lt;/lastName&gt;&lt;firstName&gt;Georg&lt;/firstName&gt;&lt;/author&gt;&lt;author&gt;&lt;lastName&gt;Klepetko&lt;/lastName&gt;&lt;firstName&gt;Walter&lt;/firstName&gt;&lt;/author&gt;&lt;author&gt;&lt;lastName&gt;Lancellotti&lt;/lastName&gt;&lt;firstName&gt;Patrizio&lt;/firstName&gt;&lt;/author&gt;&lt;author&gt;&lt;lastName&gt;Matucci&lt;/lastName&gt;&lt;firstName&gt;Marco&lt;/firstName&gt;&lt;/author&gt;&lt;author&gt;&lt;lastName&gt;McDonagh&lt;/lastName&gt;&lt;firstName&gt;Theresa&lt;/firstName&gt;&lt;/author&gt;&lt;author&gt;&lt;lastName&gt;Pierard&lt;/lastName&gt;&lt;firstName&gt;Luc&lt;/firstName&gt;&lt;middleNames&gt;A&lt;/middleNames&gt;&lt;/author&gt;&lt;author&gt;&lt;lastName&gt;Trindade&lt;/lastName&gt;&lt;firstName&gt;Pedro&lt;/firstName&gt;&lt;middleNames&gt;T&lt;/middleNames&gt;&lt;/author&gt;&lt;author&gt;&lt;lastName&gt;Zompatori&lt;/lastName&gt;&lt;firstName&gt;Maurizio&lt;/firstName&gt;&lt;/author&gt;&lt;author&gt;&lt;lastName&gt;Hoeper&lt;/lastName&gt;&lt;firstName&gt;Marius&lt;/firstName&gt;&lt;/author&gt;&lt;author&gt;&lt;lastName&gt;ESC Scientific Document Group &lt;/lastName&gt;&lt;/author&gt;&lt;/authors&gt;&lt;/publication&gt;&lt;/publications&gt;&lt;cites&gt;&lt;/cites&gt;&lt;/citation&gt;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w:t>
      </w:r>
      <w:proofErr w:type="spellStart"/>
      <w:r w:rsidR="00095567">
        <w:rPr>
          <w:rFonts w:eastAsiaTheme="minorEastAsia"/>
          <w:lang w:val="en-US"/>
        </w:rPr>
        <w:t>Galiè</w:t>
      </w:r>
      <w:proofErr w:type="spellEnd"/>
      <w:r w:rsidR="00095567">
        <w:rPr>
          <w:rFonts w:eastAsiaTheme="minorEastAsia"/>
          <w:lang w:val="en-US"/>
        </w:rPr>
        <w:t xml:space="preserve"> et al., 2016)</w:t>
      </w:r>
      <w:r w:rsidR="00095567">
        <w:rPr>
          <w:rFonts w:eastAsiaTheme="minorEastAsia"/>
          <w:color w:val="auto"/>
          <w:bdr w:val="none" w:sz="0" w:space="0" w:color="auto"/>
          <w:lang w:val="en-US"/>
        </w:rPr>
        <w:fldChar w:fldCharType="end"/>
      </w:r>
      <w:r w:rsidR="00117AB4">
        <w:t xml:space="preserve">. TTE </w:t>
      </w:r>
      <w:r w:rsidR="00E929B4">
        <w:t>can</w:t>
      </w:r>
      <w:r w:rsidR="00117AB4">
        <w:t xml:space="preserve"> </w:t>
      </w:r>
      <w:r w:rsidR="00CC36F5">
        <w:t xml:space="preserve">identify the effects of PH on the heart as well as estimating PAP. However, further investigations should not be based upon </w:t>
      </w:r>
      <w:r w:rsidR="00117AB4">
        <w:t>estimate</w:t>
      </w:r>
      <w:r w:rsidR="00895EBE">
        <w:t>d</w:t>
      </w:r>
      <w:r w:rsidR="00117AB4">
        <w:t xml:space="preserve"> PAP </w:t>
      </w:r>
      <w:r w:rsidR="00895EBE">
        <w:t>as there can be severe</w:t>
      </w:r>
      <w:r w:rsidR="00117AB4">
        <w:t xml:space="preserve"> over or under estimation of PAP influencing clinical management</w:t>
      </w:r>
      <w:r w:rsidR="00885DE2">
        <w:t xml:space="preserve">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&lt;citation&gt;&lt;priority&gt;32&lt;/priority&gt;&lt;uuid&gt;9653D205-82EC-47F6-86E5-C0D62C6B4DE3&lt;/uuid&gt;&lt;publications&gt;&lt;publication&gt;&lt;subtype&gt;400&lt;/subtype&gt;&lt;publisher&gt;Bioscientifica Ltd.&lt;/publisher&gt;&lt;title&gt;Echocardiographic assessment of pulmonary hypertension: a guideline protocol from the British Society of Echocardiography&lt;/title&gt;&lt;url&gt;https://erp.bioscientifica.com/view/journals/echo/5/3/ERP-17-0071.xml&lt;/url&gt;&lt;volume&gt;5&lt;/volume&gt;&lt;publication_date&gt;99201809011200000000222000&lt;/publication_date&gt;&lt;uuid&gt;7C27B6E5-16F5-4076-828A-5B00032CC4C3&lt;/uuid&gt;&lt;type&gt;400&lt;/type&gt;&lt;accepted_date&gt;99201805111200000000222000&lt;/accepted_date&gt;&lt;number&gt;3&lt;/number&gt;&lt;submission_date&gt;99201804241200000000222000&lt;/submission_date&gt;&lt;doi&gt;10.1530/ERP-17-0071&lt;/doi&gt;&lt;institution&gt;Royal United Hospital Bath NHS Foundation Trust, Bath, UK.&lt;/institution&gt;&lt;startpage&gt;G11&lt;/startpage&gt;&lt;endpage&gt;G24&lt;/endpage&gt;&lt;bundle&gt;&lt;publication&gt;&lt;title&gt;Echo Research and Practice&lt;/title&gt;&lt;uuid&gt;66C049BD-63E9-46DE-9C17-58A1AB5E97C5&lt;/uuid&gt;&lt;subtype&gt;-100&lt;/subtype&gt;&lt;publisher&gt;Bioscientifica Ltd.&lt;/publisher&gt;&lt;type&gt;-100&lt;/type&gt;&lt;/publication&gt;&lt;/bundle&gt;&lt;authors&gt;&lt;author&gt;&lt;lastName&gt;Augustine&lt;/lastName&gt;&lt;firstName&gt;Daniel&lt;/firstName&gt;&lt;middleNames&gt;X&lt;/middleNames&gt;&lt;/author&gt;&lt;author&gt;&lt;lastName&gt;Coates-Bradshaw&lt;/lastName&gt;&lt;firstName&gt;Lindsay&lt;/firstName&gt;&lt;middleNames&gt;D&lt;/middleNames&gt;&lt;/author&gt;&lt;author&gt;&lt;lastName&gt;Willis&lt;/lastName&gt;&lt;firstName&gt;James&lt;/firstName&gt;&lt;/author&gt;&lt;author&gt;&lt;lastName&gt;Harkness&lt;/lastName&gt;&lt;firstName&gt;Allan&lt;/firstName&gt;&lt;/author&gt;&lt;author&gt;&lt;lastName&gt;Ring&lt;/lastName&gt;&lt;firstName&gt;Liam&lt;/firstName&gt;&lt;/author&gt;&lt;author&gt;&lt;lastName&gt;Grapsa&lt;/lastName&gt;&lt;firstName&gt;Julia&lt;/firstName&gt;&lt;/author&gt;&lt;author&gt;&lt;lastName&gt;Coghlan&lt;/lastName&gt;&lt;firstName&gt;Gerry&lt;/firstName&gt;&lt;/author&gt;&lt;author&gt;&lt;lastName&gt;Kaye&lt;/lastName&gt;&lt;firstName&gt;Nikki&lt;/firstName&gt;&lt;/author&gt;&lt;author&gt;&lt;lastName&gt;Oxborough&lt;/lastName&gt;&lt;firstName&gt;David&lt;/firstName&gt;&lt;/author&gt;&lt;author&gt;&lt;lastName&gt;Robinson&lt;/lastName&gt;&lt;firstName&gt;Shaun&lt;/firstName&gt;&lt;/author&gt;&lt;author&gt;&lt;lastName&gt;Sandoval&lt;/lastName&gt;&lt;firstName&gt;Julie&lt;/firstName&gt;&lt;/author&gt;&lt;author&gt;&lt;lastName&gt;Rana&lt;/lastName&gt;&lt;firstName&gt;Bushra&lt;/firstName&gt;&lt;middleNames&gt;S&lt;/middleNames&gt;&lt;/author&gt;&lt;author&gt;&lt;lastName&gt;Siva&lt;/lastName&gt;&lt;firstName&gt;Anjana&lt;/firstName&gt;&lt;/author&gt;&lt;author&gt;&lt;lastName&gt;Nihoyannopoulos&lt;/lastName&gt;&lt;firstName&gt;Petros&lt;/firstName&gt;&lt;/author&gt;&lt;author&gt;&lt;lastName&gt;Howard&lt;/lastName&gt;&lt;firstName&gt;Luke&lt;/firstName&gt;&lt;middleNames&gt;S&lt;/middleNames&gt;&lt;/author&gt;&lt;author&gt;&lt;lastName&gt;Fox&lt;/lastName&gt;&lt;firstName&gt;Kevin&lt;/firstName&gt;&lt;/author&gt;&lt;author&gt;&lt;lastName&gt;Bhattacharyya&lt;/lastName&gt;&lt;firstName&gt;Sanjeev&lt;/firstName&gt;&lt;/author&gt;&lt;author&gt;&lt;lastName&gt;Sharma&lt;/lastName&gt;&lt;firstName&gt;Vishal&lt;/firstName&gt;&lt;/author&gt;&lt;author&gt;&lt;lastName&gt;Steeds&lt;/lastName&gt;&lt;firstName&gt;Richard&lt;/firstName&gt;&lt;middleNames&gt;P&lt;/middleNames&gt;&lt;/author&gt;&lt;author&gt;&lt;lastName&gt;Mathew&lt;/lastName&gt;&lt;firstName&gt;Thomas&lt;/firstName&gt;&lt;/author&gt;&lt;author&gt;&lt;lastName&gt;Committee&lt;/lastName&gt;&lt;firstName&gt;the&lt;/firstName&gt;&lt;middleNames&gt;British Society of Echocardiography Education&lt;/middleNames&gt;&lt;/author&gt;&lt;/authors&gt;&lt;/publication&gt;&lt;/publications&gt;&lt;cites&gt;&lt;/cites&gt;&lt;/citation&gt;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(Augustine et al., 2018)</w:t>
      </w:r>
      <w:r w:rsidR="00095567">
        <w:rPr>
          <w:rFonts w:eastAsiaTheme="minorEastAsia"/>
          <w:color w:val="auto"/>
          <w:bdr w:val="none" w:sz="0" w:space="0" w:color="auto"/>
          <w:lang w:val="en-US"/>
        </w:rPr>
        <w:fldChar w:fldCharType="end"/>
      </w:r>
      <w:r w:rsidR="00117AB4">
        <w:t>.</w:t>
      </w:r>
    </w:p>
    <w:p w14:paraId="69F4E35F" w14:textId="77777777" w:rsidR="00997324" w:rsidRDefault="00997324" w:rsidP="004163BB"/>
    <w:p w14:paraId="4DF3A2CB" w14:textId="6D0DE530" w:rsidR="0084397B" w:rsidRDefault="00997324" w:rsidP="00B00692">
      <w:pPr>
        <w:pStyle w:val="Body"/>
      </w:pPr>
      <w:r>
        <w:t>The primary measurement is</w:t>
      </w:r>
      <w:r w:rsidR="0084397B">
        <w:t xml:space="preserve"> </w:t>
      </w:r>
      <w:r w:rsidR="00B47E7D">
        <w:t>tricuspid peak regurgitation veloci</w:t>
      </w:r>
      <w:r w:rsidR="0067328B">
        <w:t>ty (</w:t>
      </w:r>
      <w:r w:rsidR="0084397B">
        <w:t>TRV</w:t>
      </w:r>
      <w:r w:rsidR="0067328B">
        <w:t>)</w:t>
      </w:r>
      <w:r>
        <w:t xml:space="preserve">, A TRV of </w:t>
      </w:r>
      <w:r w:rsidR="0084397B">
        <w:t xml:space="preserve">&gt;3.4 </w:t>
      </w:r>
      <w:proofErr w:type="spellStart"/>
      <w:r w:rsidR="0084397B">
        <w:t>ms</w:t>
      </w:r>
      <w:proofErr w:type="spellEnd"/>
      <w:r w:rsidR="0084397B">
        <w:t xml:space="preserve"> is indicative of PH</w:t>
      </w:r>
      <w:r>
        <w:t>, requiring RHC. However,</w:t>
      </w:r>
      <w:r w:rsidR="002A3BC0">
        <w:t xml:space="preserve"> a TRV &lt;3.4 </w:t>
      </w:r>
      <w:proofErr w:type="spellStart"/>
      <w:r w:rsidR="002A3BC0">
        <w:t>ms</w:t>
      </w:r>
      <w:proofErr w:type="spellEnd"/>
      <w:r w:rsidR="002A3BC0">
        <w:t xml:space="preserve"> does not preclude the diagnosis of PH</w:t>
      </w:r>
      <w:r>
        <w:t xml:space="preserve"> and t</w:t>
      </w:r>
      <w:r w:rsidR="002A3BC0">
        <w:t xml:space="preserve">he likelihood of PH must then be assessed </w:t>
      </w:r>
      <w:r>
        <w:t>by</w:t>
      </w:r>
      <w:r w:rsidR="002A3BC0">
        <w:t xml:space="preserve"> </w:t>
      </w:r>
      <w:r>
        <w:t>combining</w:t>
      </w:r>
      <w:r w:rsidR="002A3BC0">
        <w:t xml:space="preserve"> </w:t>
      </w:r>
      <w:r>
        <w:t>the results of</w:t>
      </w:r>
      <w:r w:rsidR="002A3BC0">
        <w:t xml:space="preserve"> several other </w:t>
      </w:r>
      <w:r>
        <w:t xml:space="preserve">echocardiographic </w:t>
      </w:r>
      <w:r w:rsidR="002A3BC0">
        <w:t>measure</w:t>
      </w:r>
      <w:r w:rsidR="00885DE2">
        <w:t>ments</w:t>
      </w:r>
      <w:r w:rsidR="00223207">
        <w:t xml:space="preserve">, </w:t>
      </w:r>
      <w:r w:rsidR="001F41FB">
        <w:t xml:space="preserve">detailed in </w:t>
      </w:r>
      <w:r w:rsidR="001F41FB">
        <w:fldChar w:fldCharType="begin"/>
      </w:r>
      <w:r w:rsidR="001F41FB">
        <w:instrText xml:space="preserve"> REF _Ref24227559 \h </w:instrText>
      </w:r>
      <w:r w:rsidR="001F41FB">
        <w:fldChar w:fldCharType="separate"/>
      </w:r>
      <w:r w:rsidR="00885DE4">
        <w:t xml:space="preserve">Table </w:t>
      </w:r>
      <w:r w:rsidR="00885DE4">
        <w:rPr>
          <w:noProof/>
        </w:rPr>
        <w:t>1</w:t>
      </w:r>
      <w:r w:rsidR="00885DE4">
        <w:noBreakHyphen/>
      </w:r>
      <w:r w:rsidR="00885DE4">
        <w:rPr>
          <w:noProof/>
        </w:rPr>
        <w:t>1</w:t>
      </w:r>
      <w:r w:rsidR="001F41FB">
        <w:fldChar w:fldCharType="end"/>
      </w:r>
      <w:r w:rsidR="002A3BC0">
        <w:t>.</w:t>
      </w:r>
      <w:r w:rsidR="00223207" w:rsidRPr="00223207">
        <w:rPr>
          <w:rFonts w:ascii="AdvOTb7819099" w:eastAsia="Times New Roman" w:hAnsi="AdvOTb7819099"/>
          <w:color w:val="auto"/>
          <w:sz w:val="18"/>
          <w:szCs w:val="18"/>
          <w:bdr w:val="none" w:sz="0" w:space="0" w:color="auto"/>
        </w:rPr>
        <w:t xml:space="preserve"> </w:t>
      </w:r>
    </w:p>
    <w:p w14:paraId="509A8BAD" w14:textId="50C9149D" w:rsidR="001F41FB" w:rsidRDefault="001F41FB" w:rsidP="004163BB">
      <w:r>
        <w:rPr>
          <w:noProof/>
        </w:rPr>
        <w:lastRenderedPageBreak/>
        <w:drawing>
          <wp:inline distT="0" distB="0" distL="0" distR="0" wp14:anchorId="36981057" wp14:editId="020339B2">
            <wp:extent cx="5764530" cy="2471420"/>
            <wp:effectExtent l="0" t="0" r="127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9-11-08 at 14.23.41.png"/>
                    <pic:cNvPicPr/>
                  </pic:nvPicPr>
                  <pic:blipFill>
                    <a:blip r:embed="rId12"/>
                    <a:stretch>
                      <a:fillRect/>
                    </a:stretch>
                  </pic:blipFill>
                  <pic:spPr>
                    <a:xfrm>
                      <a:off x="0" y="0"/>
                      <a:ext cx="5764530" cy="2471420"/>
                    </a:xfrm>
                    <a:prstGeom prst="rect">
                      <a:avLst/>
                    </a:prstGeom>
                  </pic:spPr>
                </pic:pic>
              </a:graphicData>
            </a:graphic>
          </wp:inline>
        </w:drawing>
      </w:r>
    </w:p>
    <w:p w14:paraId="4D28B8A8" w14:textId="0C44C524" w:rsidR="001F41FB" w:rsidRPr="004163BB" w:rsidRDefault="001F41FB" w:rsidP="001F41FB">
      <w:pPr>
        <w:pStyle w:val="Caption"/>
      </w:pPr>
      <w:bookmarkStart w:id="43" w:name="_Ref24227559"/>
      <w:bookmarkStart w:id="44" w:name="_Toc60597173"/>
      <w:r>
        <w:t xml:space="preserve">Table </w:t>
      </w:r>
      <w:r w:rsidR="004D7B97">
        <w:fldChar w:fldCharType="begin"/>
      </w:r>
      <w:r w:rsidR="004D7B97">
        <w:instrText xml:space="preserve"> STYLEREF 1 \s </w:instrText>
      </w:r>
      <w:r w:rsidR="004D7B97">
        <w:fldChar w:fldCharType="separate"/>
      </w:r>
      <w:r w:rsidR="00885DE4">
        <w:rPr>
          <w:noProof/>
        </w:rPr>
        <w:t>1</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1</w:t>
      </w:r>
      <w:r w:rsidR="004D7B97">
        <w:fldChar w:fldCharType="end"/>
      </w:r>
      <w:bookmarkEnd w:id="43"/>
      <w:r w:rsidR="00150E34">
        <w:t xml:space="preserve"> Recommended process to evaluate the probability of PH via echocardiographic methods</w:t>
      </w:r>
      <w:r w:rsidR="00223207">
        <w:t xml:space="preserve"> </w:t>
      </w:r>
      <w:r w:rsidR="00150E34">
        <w:t>taken from the 2015 European Society of Cardiology/European Respiratory Society guidelines</w:t>
      </w:r>
      <w:r w:rsidR="00B00692">
        <w:t xml:space="preserve"> </w:t>
      </w:r>
      <w:r w:rsidR="00095567">
        <w:rPr>
          <w:rFonts w:eastAsiaTheme="minorEastAsia" w:cs="TUOS Blake"/>
          <w:color w:val="auto"/>
          <w:bdr w:val="none" w:sz="0" w:space="0" w:color="auto"/>
          <w:lang w:val="en-US"/>
        </w:rPr>
        <w:fldChar w:fldCharType="begin"/>
      </w:r>
      <w:r w:rsidR="004E19A5">
        <w:rPr>
          <w:rFonts w:eastAsiaTheme="minorEastAsia" w:cs="TUOS Blake"/>
          <w:color w:val="auto"/>
          <w:bdr w:val="none" w:sz="0" w:space="0" w:color="auto"/>
          <w:lang w:val="en-US"/>
        </w:rPr>
        <w:instrText xml:space="preserve"> ADDIN PAPERS2_CITATIONS &lt;citation&gt;&lt;priority&gt;33&lt;/priority&gt;&lt;uuid&gt;0E7B8D7D-BA8F-476D-BD19-58DD60F2A245&lt;/uuid&gt;&lt;publications&gt;&lt;publication&gt;&lt;subtype&gt;717&lt;/subtype&gt;&lt;title&gt;2015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Transplantation (ISHLT).&lt;/title&gt;&lt;url&gt;http://eutils.ncbi.nlm.nih.gov/entrez/eutils/elink.fcgi?dbfrom=pubmed&amp;amp;id=26320113&amp;amp;retmode=ref&amp;amp;cmd=prlinks&lt;/url&gt;&lt;volume&gt;37&lt;/volume&gt;&lt;publication_date&gt;99201601011200000000222000&lt;/publication_date&gt;&lt;uuid&gt;AC060D81-90C2-4940-BA6D-5E57C078237F&lt;/uuid&gt;&lt;type&gt;700&lt;/type&gt;&lt;number&gt;1&lt;/number&gt;&lt;citekey&gt;Galie:2016gf&lt;/citekey&gt;&lt;doi&gt;10.1093/eurheartj/ehv317&lt;/doi&gt;&lt;startpage&gt;67&lt;/startpage&gt;&lt;endpage&gt;119&lt;/endpage&gt;&lt;bundle&gt;&lt;publication&gt;&lt;title&gt;European Heart Journal&lt;/title&gt;&lt;uuid&gt;9B2F36EA-4378-47D4-BC03-5AB7B9E7132C&lt;/uuid&gt;&lt;subtype&gt;-100&lt;/subtype&gt;&lt;type&gt;-100&lt;/type&gt;&lt;/publication&gt;&lt;/bundle&gt;&lt;authors&gt;&lt;author&gt;&lt;lastName&gt;Galiè&lt;/lastName&gt;&lt;firstName&gt;Nazzareno&lt;/firstName&gt;&lt;/author&gt;&lt;author&gt;&lt;lastName&gt;Humbert&lt;/lastName&gt;&lt;firstName&gt;Marc&lt;/firstName&gt;&lt;/author&gt;&lt;author&gt;&lt;lastName&gt;Vachiery&lt;/lastName&gt;&lt;firstName&gt;Jean-Luc&lt;/firstName&gt;&lt;/author&gt;&lt;author&gt;&lt;lastName&gt;Gibbs&lt;/lastName&gt;&lt;firstName&gt;Simon&lt;/firstName&gt;&lt;/author&gt;&lt;author&gt;&lt;lastName&gt;Lang&lt;/lastName&gt;&lt;firstName&gt;Irene&lt;/firstName&gt;&lt;/author&gt;&lt;author&gt;&lt;lastName&gt;Torbicki&lt;/lastName&gt;&lt;firstName&gt;Adam&lt;/firstName&gt;&lt;/author&gt;&lt;author&gt;&lt;lastName&gt;Simonneau&lt;/lastName&gt;&lt;firstName&gt;Gérald&lt;/firstName&gt;&lt;/author&gt;&lt;author&gt;&lt;lastName&gt;Peacock&lt;/lastName&gt;&lt;firstName&gt;Andrew&lt;/firstName&gt;&lt;/author&gt;&lt;author&gt;&lt;lastName&gt;Vonk Noordegraaf&lt;/lastName&gt;&lt;firstName&gt;Anton&lt;/firstName&gt;&lt;/author&gt;&lt;author&gt;&lt;lastName&gt;Beghetti&lt;/lastName&gt;&lt;firstName&gt;Maurice&lt;/firstName&gt;&lt;/author&gt;&lt;author&gt;&lt;lastName&gt;Ghofrani&lt;/lastName&gt;&lt;firstName&gt;Ardeschir&lt;/firstName&gt;&lt;/author&gt;&lt;author&gt;&lt;lastName&gt;Gomez Sanchez&lt;/lastName&gt;&lt;firstName&gt;Miguel&lt;/firstName&gt;&lt;middleNames&gt;Angel&lt;/middleNames&gt;&lt;/author&gt;&lt;author&gt;&lt;lastName&gt;Hansmann&lt;/lastName&gt;&lt;firstName&gt;Georg&lt;/firstName&gt;&lt;/author&gt;&lt;author&gt;&lt;lastName&gt;Klepetko&lt;/lastName&gt;&lt;firstName&gt;Walter&lt;/firstName&gt;&lt;/author&gt;&lt;author&gt;&lt;lastName&gt;Lancellotti&lt;/lastName&gt;&lt;firstName&gt;Patrizio&lt;/firstName&gt;&lt;/author&gt;&lt;author&gt;&lt;lastName&gt;Matucci&lt;/lastName&gt;&lt;firstName&gt;Marco&lt;/firstName&gt;&lt;/author&gt;&lt;author&gt;&lt;lastName&gt;McDonagh&lt;/lastName&gt;&lt;firstName&gt;Theresa&lt;/firstName&gt;&lt;/author&gt;&lt;author&gt;&lt;lastName&gt;Pierard&lt;/lastName&gt;&lt;firstName&gt;Luc&lt;/firstName&gt;&lt;middleNames&gt;A&lt;/middleNames&gt;&lt;/author&gt;&lt;author&gt;&lt;lastName&gt;Trindade&lt;/lastName&gt;&lt;firstName&gt;Pedro&lt;/firstName&gt;&lt;middleNames&gt;T&lt;/middleNames&gt;&lt;/author&gt;&lt;author&gt;&lt;lastName&gt;Zompatori&lt;/lastName&gt;&lt;firstName&gt;Maurizio&lt;/firstName&gt;&lt;/author&gt;&lt;author&gt;&lt;lastName&gt;Hoeper&lt;/lastName&gt;&lt;firstName&gt;Marius&lt;/firstName&gt;&lt;/author&gt;&lt;author&gt;&lt;lastName&gt;ESC Scientific Document Group &lt;/lastName&gt;&lt;/author&gt;&lt;/authors&gt;&lt;/publication&gt;&lt;/publications&gt;&lt;cites&gt;&lt;/cites&gt;&lt;/citation&gt;</w:instrText>
      </w:r>
      <w:r w:rsidR="00095567">
        <w:rPr>
          <w:rFonts w:eastAsiaTheme="minorEastAsia" w:cs="TUOS Blake"/>
          <w:color w:val="auto"/>
          <w:bdr w:val="none" w:sz="0" w:space="0" w:color="auto"/>
          <w:lang w:val="en-US"/>
        </w:rPr>
        <w:fldChar w:fldCharType="separate"/>
      </w:r>
      <w:r w:rsidR="00095567">
        <w:rPr>
          <w:rFonts w:eastAsiaTheme="minorEastAsia" w:cs="TUOS Blake"/>
          <w:lang w:val="en-US"/>
        </w:rPr>
        <w:t>(</w:t>
      </w:r>
      <w:proofErr w:type="spellStart"/>
      <w:r w:rsidR="00095567">
        <w:rPr>
          <w:rFonts w:eastAsiaTheme="minorEastAsia" w:cs="TUOS Blake"/>
          <w:lang w:val="en-US"/>
        </w:rPr>
        <w:t>Galiè</w:t>
      </w:r>
      <w:proofErr w:type="spellEnd"/>
      <w:r w:rsidR="00095567">
        <w:rPr>
          <w:rFonts w:eastAsiaTheme="minorEastAsia" w:cs="TUOS Blake"/>
          <w:lang w:val="en-US"/>
        </w:rPr>
        <w:t xml:space="preserve"> et al., 2016)</w:t>
      </w:r>
      <w:r w:rsidR="00095567">
        <w:rPr>
          <w:rFonts w:eastAsiaTheme="minorEastAsia" w:cs="TUOS Blake"/>
          <w:color w:val="auto"/>
          <w:bdr w:val="none" w:sz="0" w:space="0" w:color="auto"/>
          <w:lang w:val="en-US"/>
        </w:rPr>
        <w:fldChar w:fldCharType="end"/>
      </w:r>
      <w:r w:rsidR="00150E34">
        <w:t>.</w:t>
      </w:r>
      <w:bookmarkEnd w:id="44"/>
    </w:p>
    <w:p w14:paraId="05C96006" w14:textId="5B57D0A1" w:rsidR="00AF5C69" w:rsidRDefault="00AF5C69" w:rsidP="00312CCD"/>
    <w:p w14:paraId="3345D1BF" w14:textId="0B450D71" w:rsidR="00AF5C69" w:rsidRDefault="00AF5C69" w:rsidP="00AF5C69">
      <w:pPr>
        <w:pStyle w:val="Heading2"/>
        <w:numPr>
          <w:ilvl w:val="2"/>
          <w:numId w:val="7"/>
        </w:numPr>
        <w:spacing w:before="120" w:after="120"/>
      </w:pPr>
      <w:bookmarkStart w:id="45" w:name="_Toc60773850"/>
      <w:r>
        <w:t>Pulmonary Function Test</w:t>
      </w:r>
      <w:r w:rsidR="00AF345F">
        <w:t>s</w:t>
      </w:r>
      <w:bookmarkEnd w:id="45"/>
    </w:p>
    <w:p w14:paraId="537E03FE" w14:textId="0C06EC35" w:rsidR="00307A59" w:rsidRDefault="00C4244D" w:rsidP="00784D37">
      <w:pPr>
        <w:pStyle w:val="Body"/>
      </w:pPr>
      <w:r>
        <w:t>Pulmonary function tests</w:t>
      </w:r>
      <w:r w:rsidR="009A02E1">
        <w:t xml:space="preserve"> (PFT)</w:t>
      </w:r>
      <w:r>
        <w:t xml:space="preserve"> measure the lung </w:t>
      </w:r>
      <w:r w:rsidR="005E407F">
        <w:t>function and</w:t>
      </w:r>
      <w:r>
        <w:t xml:space="preserve"> are economical</w:t>
      </w:r>
      <w:r w:rsidR="006F4724">
        <w:t>.</w:t>
      </w:r>
      <w:r>
        <w:t xml:space="preserve"> </w:t>
      </w:r>
      <w:r w:rsidR="00343A63">
        <w:t>A large variety of measures are available during PFT the most useful in PAH is the d</w:t>
      </w:r>
      <w:r w:rsidR="00BC6C03">
        <w:t xml:space="preserve">iffusing capacity </w:t>
      </w:r>
      <w:r>
        <w:t>of the lungs for carbon monoxide (DLCO)</w:t>
      </w:r>
      <w:r w:rsidR="00343A63">
        <w:t>. This is an indicator of impaired diffusion of gases into the blood</w:t>
      </w:r>
      <w:r>
        <w:t xml:space="preserve">. </w:t>
      </w:r>
      <w:r w:rsidR="00343A63">
        <w:t>Patients inhale a</w:t>
      </w:r>
      <w:r>
        <w:t xml:space="preserve"> gas with known quantity of carbon monoxide (CO) </w:t>
      </w:r>
      <w:r w:rsidR="00343A63">
        <w:t xml:space="preserve">and </w:t>
      </w:r>
      <w:r>
        <w:t>h</w:t>
      </w:r>
      <w:r w:rsidR="00343A63">
        <w:t>o</w:t>
      </w:r>
      <w:r>
        <w:t>ld for 10 seconds, and then the quantity of CO is measured upon exhalation</w:t>
      </w:r>
      <w:r w:rsidR="00793342">
        <w:t xml:space="preserve">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&lt;citation&gt;&lt;priority&gt;34&lt;/priority&gt;&lt;uuid&gt;E6662A0A-DDC8-47AA-A5AF-46341BDD943F&lt;/uuid&gt;&lt;publications&gt;&lt;publication&gt;&lt;subtype&gt;400&lt;/subtype&gt;&lt;title&gt;Standardisation of the single-breath determination of carbon monoxide uptake in the lung.&lt;/title&gt;&lt;url&gt;http://eutils.ncbi.nlm.nih.gov/entrez/eutils/elink.fcgi?dbfrom=pubmed&amp;amp;id=16204605&amp;amp;retmode=ref&amp;amp;cmd=prlinks&lt;/url&gt;&lt;volume&gt;26&lt;/volume&gt;&lt;publication_date&gt;99200510001200000000220000&lt;/publication_date&gt;&lt;uuid&gt;BA6A4D3B-BAED-47FA-9A81-7B3924A97FEF&lt;/uuid&gt;&lt;type&gt;400&lt;/type&gt;&lt;number&gt;4&lt;/number&gt;&lt;doi&gt;10.1183/09031936.05.00034905&lt;/doi&gt;&lt;institution&gt;Duke University Medical Center, Durham, NC, USA.&lt;/institution&gt;&lt;startpage&gt;720&lt;/startpage&gt;&lt;endpage&gt;735&lt;/endpage&gt;&lt;bundle&gt;&lt;publication&gt;&lt;title&gt;European Respiratory Journal&lt;/title&gt;&lt;uuid&gt;B67DDBE2-BCE3-42FF-86A9-BC8F813AD582&lt;/uuid&gt;&lt;subtype&gt;-100&lt;/subtype&gt;&lt;publisher&gt;European Respiratory Society&lt;/publisher&gt;&lt;type&gt;-100&lt;/type&gt;&lt;url&gt;http://erj.ersjournals.com&lt;/url&gt;&lt;/publication&gt;&lt;/bundle&gt;&lt;authors&gt;&lt;author&gt;&lt;lastName&gt;MacIntyre&lt;/lastName&gt;&lt;firstName&gt;N&lt;/firstName&gt;&lt;/author&gt;&lt;author&gt;&lt;lastName&gt;Crapo&lt;/lastName&gt;&lt;firstName&gt;R&lt;/firstName&gt;&lt;middleNames&gt;O&lt;/middleNames&gt;&lt;/author&gt;&lt;author&gt;&lt;lastName&gt;Viegi&lt;/lastName&gt;&lt;firstName&gt;G&lt;/firstName&gt;&lt;/author&gt;&lt;author&gt;&lt;lastName&gt;Johnson&lt;/lastName&gt;&lt;firstName&gt;D&lt;/firstName&gt;&lt;middleNames&gt;C&lt;/middleNames&gt;&lt;/author&gt;&lt;author&gt;&lt;lastName&gt;Grinten&lt;/lastName&gt;&lt;nonDroppingParticle&gt;van der&lt;/nonDroppingParticle&gt;&lt;firstName&gt;C&lt;/firstName&gt;&lt;middleNames&gt;P M&lt;/middleNames&gt;&lt;/author&gt;&lt;author&gt;&lt;lastName&gt;Brusasco&lt;/lastName&gt;&lt;firstName&gt;V&lt;/firstName&gt;&lt;/author&gt;&lt;author&gt;&lt;lastName&gt;Burgos&lt;/lastName&gt;&lt;firstName&gt;F&lt;/firstName&gt;&lt;/author&gt;&lt;author&gt;&lt;lastName&gt;Casaburi&lt;/lastName&gt;&lt;firstName&gt;R&lt;/firstName&gt;&lt;/author&gt;&lt;author&gt;&lt;lastName&gt;Coates&lt;/lastName&gt;&lt;firstName&gt;A&lt;/firstName&gt;&lt;/author&gt;&lt;author&gt;&lt;lastName&gt;Enright&lt;/lastName&gt;&lt;firstName&gt;P&lt;/firstName&gt;&lt;/author&gt;&lt;author&gt;&lt;lastName&gt;Gustafsson&lt;/lastName&gt;&lt;firstName&gt;P&lt;/firstName&gt;&lt;/author&gt;&lt;author&gt;&lt;lastName&gt;Hankinson&lt;/lastName&gt;&lt;firstName&gt;J&lt;/firstName&gt;&lt;/author&gt;&lt;author&gt;&lt;lastName&gt;Jensen&lt;/lastName&gt;&lt;firstName&gt;R&lt;/firstName&gt;&lt;/author&gt;&lt;author&gt;&lt;lastName&gt;McKay&lt;/lastName&gt;&lt;firstName&gt;R&lt;/firstName&gt;&lt;/author&gt;&lt;author&gt;&lt;lastName&gt;Miller&lt;/lastName&gt;&lt;firstName&gt;M&lt;/firstName&gt;&lt;middleNames&gt;R&lt;/middleNames&gt;&lt;/author&gt;&lt;author&gt;&lt;lastName&gt;Navajas&lt;/lastName&gt;&lt;firstName&gt;D&lt;/firstName&gt;&lt;/author&gt;&lt;author&gt;&lt;lastName&gt;Pedersen&lt;/lastName&gt;&lt;firstName&gt;O&lt;/firstName&gt;&lt;middleNames&gt;F&lt;/middleNames&gt;&lt;/author&gt;&lt;author&gt;&lt;lastName&gt;Pellegrino&lt;/lastName&gt;&lt;firstName&gt;R&lt;/firstName&gt;&lt;/author&gt;&lt;author&gt;&lt;lastName&gt;Wanger&lt;/lastName&gt;&lt;firstName&gt;J&lt;/firstName&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w:t>
      </w:r>
      <w:proofErr w:type="spellStart"/>
      <w:r w:rsidR="00095567">
        <w:rPr>
          <w:rFonts w:eastAsiaTheme="minorEastAsia"/>
          <w:lang w:val="en-US"/>
        </w:rPr>
        <w:t>MacIntyre</w:t>
      </w:r>
      <w:proofErr w:type="spellEnd"/>
      <w:r w:rsidR="00095567">
        <w:rPr>
          <w:rFonts w:eastAsiaTheme="minorEastAsia"/>
          <w:lang w:val="en-US"/>
        </w:rPr>
        <w:t xml:space="preserve"> et al., 2005)</w:t>
      </w:r>
      <w:r w:rsidR="00095567">
        <w:rPr>
          <w:rFonts w:eastAsiaTheme="minorEastAsia"/>
          <w:color w:val="auto"/>
          <w:bdr w:val="none" w:sz="0" w:space="0" w:color="auto"/>
          <w:lang w:val="en-US"/>
        </w:rPr>
        <w:fldChar w:fldCharType="end"/>
      </w:r>
      <w:r>
        <w:t xml:space="preserve">. </w:t>
      </w:r>
      <w:r w:rsidR="00307A59">
        <w:t>A DLCO of</w:t>
      </w:r>
      <w:r w:rsidR="006F4724">
        <w:t xml:space="preserve"> &lt; 50 % is predictive of PAH whilst a DLCO</w:t>
      </w:r>
      <w:r w:rsidR="00307A59">
        <w:t xml:space="preserve"> &lt;</w:t>
      </w:r>
      <w:r w:rsidR="006F4724">
        <w:t xml:space="preserve"> </w:t>
      </w:r>
      <w:r w:rsidR="00307A59">
        <w:t>45</w:t>
      </w:r>
      <w:r w:rsidR="006F4724">
        <w:t xml:space="preserve">  </w:t>
      </w:r>
      <w:r w:rsidR="00307A59">
        <w:t xml:space="preserve">% is associated with </w:t>
      </w:r>
      <w:r w:rsidR="00671BC3">
        <w:t xml:space="preserve">a </w:t>
      </w:r>
      <w:r w:rsidR="00307A59">
        <w:t>poor</w:t>
      </w:r>
      <w:r w:rsidR="00671BC3">
        <w:t xml:space="preserve"> 3 year survival of 38% compared to 80% (p </w:t>
      </w:r>
      <w:r w:rsidR="00F91FDE">
        <w:t>=</w:t>
      </w:r>
      <w:r w:rsidR="00671BC3">
        <w:t xml:space="preserve"> 0.00</w:t>
      </w:r>
      <w:r w:rsidR="00F91FDE">
        <w:t>2</w:t>
      </w:r>
      <w:r w:rsidR="00671BC3">
        <w:t xml:space="preserve">) </w:t>
      </w:r>
      <w:r w:rsidR="006F4724">
        <w:t>(</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&lt;citation&gt;&lt;priority&gt;35&lt;/priority&gt;&lt;uuid&gt;B45D1979-BC52-4EA3-A917-03E036103377&lt;/uuid&gt;&lt;publications&gt;&lt;publication&gt;&lt;subtype&gt;400&lt;/subtype&gt;&lt;title&gt;Echocardiography and pulmonary function as screening tests for pulmonary arterial hypertension in systemic sclerosis.&lt;/title&gt;&lt;url&gt;http://eutils.ncbi.nlm.nih.gov/entrez/eutils/elink.fcgi?dbfrom=pubmed&amp;amp;id=15024134&amp;amp;retmode=ref&amp;amp;cmd=prlinks&lt;/url&gt;&lt;volume&gt;43&lt;/volume&gt;&lt;publication_date&gt;99200404001200000000220000&lt;/publication_date&gt;&lt;uuid&gt;0A55A453-3A43-4655-B1CF-1131EFE39A3C&lt;/uuid&gt;&lt;type&gt;400&lt;/type&gt;&lt;number&gt;4&lt;/number&gt;&lt;doi&gt;10.1093/rheumatology/keh067&lt;/doi&gt;&lt;institution&gt;Department of Rheumatology, Royal Free Hospital, Pond Street, London NW32QG, UK.&lt;/institution&gt;&lt;startpage&gt;461&lt;/startpage&gt;&lt;endpage&gt;466&lt;/endpage&gt;&lt;bundle&gt;&lt;publication&gt;&lt;title&gt;Rheumatology (Oxford, England)&lt;/title&gt;&lt;uuid&gt;D36C8EA9-A732-4F9C-96F2-73BE7BDC1F22&lt;/uuid&gt;&lt;subtype&gt;-100&lt;/subtype&gt;&lt;type&gt;-100&lt;/type&gt;&lt;/publication&gt;&lt;/bundle&gt;&lt;authors&gt;&lt;author&gt;&lt;lastName&gt;Mukerjee&lt;/lastName&gt;&lt;firstName&gt;D&lt;/firstName&gt;&lt;/author&gt;&lt;author&gt;&lt;lastName&gt;St George&lt;/lastName&gt;&lt;firstName&gt;D&lt;/firstName&gt;&lt;/author&gt;&lt;author&gt;&lt;lastName&gt;Knight&lt;/lastName&gt;&lt;firstName&gt;C&lt;/firstName&gt;&lt;/author&gt;&lt;author&gt;&lt;lastName&gt;Davar&lt;/lastName&gt;&lt;firstName&gt;J&lt;/firstName&gt;&lt;/author&gt;&lt;author&gt;&lt;lastName&gt;Wells&lt;/lastName&gt;&lt;firstName&gt;A&lt;/firstName&gt;&lt;middleNames&gt;U&lt;/middleNames&gt;&lt;/author&gt;&lt;author&gt;&lt;lastName&gt;Bois&lt;/lastName&gt;&lt;firstName&gt;R&lt;/firstName&gt;&lt;middleNames&gt;M&lt;/middleNames&gt;&lt;droppingParticle&gt;Du&lt;/droppingParticle&gt;&lt;/author&gt;&lt;author&gt;&lt;lastName&gt;Black&lt;/lastName&gt;&lt;firstName&gt;C&lt;/firstName&gt;&lt;middleNames&gt;M&lt;/middleNames&gt;&lt;/author&gt;&lt;author&gt;&lt;lastName&gt;Coghlan&lt;/lastName&gt;&lt;firstName&gt;J&lt;/firstName&gt;&lt;middleNames&gt;G&lt;/middleNames&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w:t>
      </w:r>
      <w:proofErr w:type="spellStart"/>
      <w:r w:rsidR="00095567">
        <w:rPr>
          <w:rFonts w:eastAsiaTheme="minorEastAsia"/>
          <w:lang w:val="en-US"/>
        </w:rPr>
        <w:t>Mukerjee</w:t>
      </w:r>
      <w:proofErr w:type="spellEnd"/>
      <w:r w:rsidR="00095567">
        <w:rPr>
          <w:rFonts w:eastAsiaTheme="minorEastAsia"/>
          <w:lang w:val="en-US"/>
        </w:rPr>
        <w:t xml:space="preserve"> et al., 2004)</w:t>
      </w:r>
      <w:r w:rsidR="00095567">
        <w:rPr>
          <w:rFonts w:eastAsiaTheme="minorEastAsia"/>
          <w:color w:val="auto"/>
          <w:bdr w:val="none" w:sz="0" w:space="0" w:color="auto"/>
          <w:lang w:val="en-US"/>
        </w:rPr>
        <w:fldChar w:fldCharType="end"/>
      </w:r>
      <w:r w:rsidR="006F4724">
        <w:t xml:space="preserve">,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&lt;citation&gt;&lt;priority&gt;36&lt;/priority&gt;&lt;uuid&gt;C11DEC45-1947-4EFD-A910-135BD90E9220&lt;/uuid&gt;&lt;publications&gt;&lt;publication&gt;&lt;subtype&gt;400&lt;/subtype&gt;&lt;title&gt;Severely reduced diffusion capacity in idiopathic pulmonary arterial hypertension: patient characteristics and treatment responses.&lt;/title&gt;&lt;url&gt;http://eutils.ncbi.nlm.nih.gov/entrez/eutils/elink.fcgi?dbfrom=pubmed&amp;amp;id=23949959&amp;amp;retmode=ref&amp;amp;cmd=prlinks&lt;/url&gt;&lt;volume&gt;42&lt;/volume&gt;&lt;publication_date&gt;99201312001200000000220000&lt;/publication_date&gt;&lt;uuid&gt;D0BF357C-6DEE-4894-A0DA-1CA5DCC9AC28&lt;/uuid&gt;&lt;type&gt;400&lt;/type&gt;&lt;number&gt;6&lt;/number&gt;&lt;doi&gt;10.1183/09031936.00184412&lt;/doi&gt;&lt;institution&gt;Institute for Cardiovascular Research, VU University Medical Center, Amsterdam.&lt;/institution&gt;&lt;startpage&gt;1575&lt;/startpage&gt;&lt;endpage&gt;1585&lt;/endpage&gt;&lt;bundle&gt;&lt;publication&gt;&lt;title&gt;The European respiratory journal&lt;/title&gt;&lt;uuid&gt;7E3A0D77-6E17-4AF8-93BD-4FEDBA5A088B&lt;/uuid&gt;&lt;subtype&gt;-100&lt;/subtype&gt;&lt;type&gt;-100&lt;/type&gt;&lt;/publication&gt;&lt;/bundle&gt;&lt;authors&gt;&lt;author&gt;&lt;lastName&gt;Trip&lt;/lastName&gt;&lt;firstName&gt;Pia&lt;/firstName&gt;&lt;/author&gt;&lt;author&gt;&lt;lastName&gt;Nossent&lt;/lastName&gt;&lt;firstName&gt;Esther&lt;/firstName&gt;&lt;middleNames&gt;J&lt;/middleNames&gt;&lt;/author&gt;&lt;author&gt;&lt;lastName&gt;Man&lt;/lastName&gt;&lt;nonDroppingParticle&gt;de&lt;/nonDroppingParticle&gt;&lt;firstName&gt;Frances&lt;/firstName&gt;&lt;middleNames&gt;S&lt;/middleNames&gt;&lt;/author&gt;&lt;author&gt;&lt;lastName&gt;Berk&lt;/lastName&gt;&lt;nonDroppingParticle&gt;van den&lt;/nonDroppingParticle&gt;&lt;firstName&gt;Inge&lt;/firstName&gt;&lt;middleNames&gt;A H&lt;/middleNames&gt;&lt;/author&gt;&lt;author&gt;&lt;lastName&gt;Boonstra&lt;/lastName&gt;&lt;firstName&gt;Anco&lt;/firstName&gt;&lt;/author&gt;&lt;author&gt;&lt;lastName&gt;Groepenhoff&lt;/lastName&gt;&lt;firstName&gt;Herman&lt;/firstName&gt;&lt;/author&gt;&lt;author&gt;&lt;lastName&gt;Leter&lt;/lastName&gt;&lt;firstName&gt;Edward&lt;/firstName&gt;&lt;middleNames&gt;M&lt;/middleNames&gt;&lt;/author&gt;&lt;author&gt;&lt;lastName&gt;Westerhof&lt;/lastName&gt;&lt;firstName&gt;Nico&lt;/firstName&gt;&lt;/author&gt;&lt;author&gt;&lt;lastName&gt;Grünberg&lt;/lastName&gt;&lt;firstName&gt;Katrien&lt;/firstName&gt;&lt;/author&gt;&lt;author&gt;&lt;lastName&gt;Bogaard&lt;/lastName&gt;&lt;firstName&gt;Harm&lt;/firstName&gt;&lt;middleNames&gt;Jan&lt;/middleNames&gt;&lt;/author&gt;&lt;author&gt;&lt;lastName&gt;Vonk Noordegraaf&lt;/lastName&gt;&lt;firstName&gt;Anton&lt;/firstName&gt;&lt;/author&gt;&lt;/authors&gt;&lt;/publication&gt;&lt;/publications&gt;&lt;cites&gt;&lt;/cites&gt;&lt;/citation&gt;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(Trip et al., 2013)</w:t>
      </w:r>
      <w:r w:rsidR="00095567">
        <w:rPr>
          <w:rFonts w:eastAsiaTheme="minorEastAsia"/>
          <w:color w:val="auto"/>
          <w:bdr w:val="none" w:sz="0" w:space="0" w:color="auto"/>
          <w:lang w:val="en-US"/>
        </w:rPr>
        <w:fldChar w:fldCharType="end"/>
      </w:r>
      <w:r w:rsidR="006F4724">
        <w:rPr>
          <w:rFonts w:eastAsiaTheme="minorEastAsia"/>
          <w:color w:val="auto"/>
          <w:bdr w:val="none" w:sz="0" w:space="0" w:color="auto"/>
          <w:lang w:val="en-US"/>
        </w:rPr>
        <w:t>)</w:t>
      </w:r>
      <w:r w:rsidR="00307A59">
        <w:t xml:space="preserve">. </w:t>
      </w:r>
    </w:p>
    <w:p w14:paraId="536A4525" w14:textId="77777777" w:rsidR="005A7641" w:rsidRDefault="005A7641" w:rsidP="00312CCD"/>
    <w:p w14:paraId="4BE1091A" w14:textId="77777777" w:rsidR="00AF5C69" w:rsidRPr="00312CCD" w:rsidRDefault="00AF5C69" w:rsidP="00312CCD"/>
    <w:p w14:paraId="7B56043B" w14:textId="0A847152" w:rsidR="00312CCD" w:rsidRDefault="00312CCD" w:rsidP="00535592">
      <w:pPr>
        <w:pStyle w:val="Heading2"/>
        <w:numPr>
          <w:ilvl w:val="2"/>
          <w:numId w:val="7"/>
        </w:numPr>
        <w:spacing w:before="120" w:after="120"/>
      </w:pPr>
      <w:bookmarkStart w:id="46" w:name="_Toc60773851"/>
      <w:r>
        <w:t>NT-</w:t>
      </w:r>
      <w:proofErr w:type="spellStart"/>
      <w:r>
        <w:t>proBNP</w:t>
      </w:r>
      <w:bookmarkEnd w:id="46"/>
      <w:proofErr w:type="spellEnd"/>
      <w:r>
        <w:tab/>
      </w:r>
    </w:p>
    <w:p w14:paraId="630252F9" w14:textId="0A1AC5C6" w:rsidR="00535592" w:rsidRDefault="00535592" w:rsidP="00535592">
      <w:pPr>
        <w:pStyle w:val="Body"/>
      </w:pPr>
      <w:r>
        <w:t>The N-terminal fragment from the protein pro-BNP (NT-</w:t>
      </w:r>
      <w:proofErr w:type="spellStart"/>
      <w:r>
        <w:t>proBNP</w:t>
      </w:r>
      <w:proofErr w:type="spellEnd"/>
      <w:r>
        <w:t>) is currently the only guideline recommended blood-based biomarker and can be used</w:t>
      </w:r>
      <w:r w:rsidR="00EE5FC3">
        <w:t xml:space="preserve"> to aid diagnosis and </w:t>
      </w:r>
      <w:r>
        <w:t xml:space="preserve"> distinguish patients with poor prognosis </w:t>
      </w:r>
      <w:r>
        <w:fldChar w:fldCharType="begin"/>
      </w:r>
      <w:r w:rsidR="004E19A5">
        <w:instrText xml:space="preserve"> ADDIN PAPERS2_CITATIONS &lt;citation&gt;&lt;priority&gt;0&lt;/priority&gt;&lt;uuid&gt;73CA83C4-F7DE-4872-B8EE-78EBF12F4347&lt;/uuid&gt;&lt;publications&gt;&lt;publication&gt;&lt;subtype&gt;717&lt;/subtype&gt;&lt;title&gt;Guidelines for the diagnosis and treatment of pulmonary hypertension: the Task Force for the Diagnosis and Treatment of Pulmonary Hypertension of the European Society of Cardiology (ESC) and the European Respiratory Society (ERS), endorsed by the International Society of Heart and Lung Transplantation (ISHLT).&lt;/title&gt;&lt;url&gt;http://eurheartj.oxfordjournals.org/cgi/doi/10.1093/eurheartj/ehp297&lt;/url&gt;&lt;volume&gt;30&lt;/volume&gt;&lt;publication_date&gt;99200910001200000000220000&lt;/publication_date&gt;&lt;uuid&gt;C6EDBCFA-5AF7-4D26-9F26-57D80C39F1DB&lt;/uuid&gt;&lt;type&gt;700&lt;/type&gt;&lt;number&gt;20&lt;/number&gt;&lt;doi&gt;10.1093/eurheartj/ehp297&lt;/doi&gt;&lt;institution&gt;Institute of Cardiology, Bologna University Hospital, Via Massarenti, 9, 40138 Bologna, Italy. nazzareno.galie@unibo.it&lt;/institution&gt;&lt;startpage&gt;2493&lt;/startpage&gt;&lt;endpage&gt;2537&lt;/endpage&gt;&lt;bundle&gt;&lt;publication&gt;&lt;title&gt;European Heart Journal&lt;/title&gt;&lt;uuid&gt;9B2F36EA-4378-47D4-BC03-5AB7B9E7132C&lt;/uuid&gt;&lt;subtype&gt;-100&lt;/subtype&gt;&lt;type&gt;-100&lt;/type&gt;&lt;/publication&gt;&lt;/bundle&gt;&lt;authors&gt;&lt;author&gt;&lt;lastName&gt;Galiè&lt;/lastName&gt;&lt;firstName&gt;Nazzareno&lt;/firstName&gt;&lt;/author&gt;&lt;author&gt;&lt;lastName&gt;Hoeper&lt;/lastName&gt;&lt;firstName&gt;Marius&lt;/firstName&gt;&lt;middleNames&gt;M&lt;/middleNames&gt;&lt;/author&gt;&lt;author&gt;&lt;lastName&gt;Humbert&lt;/lastName&gt;&lt;firstName&gt;Marc&lt;/firstName&gt;&lt;/author&gt;&lt;author&gt;&lt;lastName&gt;Torbicki&lt;/lastName&gt;&lt;firstName&gt;Adam&lt;/firstName&gt;&lt;/author&gt;&lt;author&gt;&lt;lastName&gt;Vachiery&lt;/lastName&gt;&lt;firstName&gt;Jean-Luc&lt;/firstName&gt;&lt;/author&gt;&lt;author&gt;&lt;lastName&gt;Barbera&lt;/lastName&gt;&lt;firstName&gt;Joan&lt;/firstName&gt;&lt;middleNames&gt;Albert&lt;/middleNames&gt;&lt;/author&gt;&lt;author&gt;&lt;lastName&gt;Beghetti&lt;/lastName&gt;&lt;firstName&gt;Maurice&lt;/firstName&gt;&lt;/author&gt;&lt;author&gt;&lt;lastName&gt;Corris&lt;/lastName&gt;&lt;firstName&gt;Paul&lt;/firstName&gt;&lt;/author&gt;&lt;author&gt;&lt;lastName&gt;Gaine&lt;/lastName&gt;&lt;firstName&gt;Sean&lt;/firstName&gt;&lt;/author&gt;&lt;author&gt;&lt;lastName&gt;Gibbs&lt;/lastName&gt;&lt;firstName&gt;J&lt;/firstName&gt;&lt;middleNames&gt;Simon&lt;/middleNames&gt;&lt;/author&gt;&lt;author&gt;&lt;lastName&gt;Gomez Sanchez&lt;/lastName&gt;&lt;firstName&gt;Miguel&lt;/firstName&gt;&lt;middleNames&gt;Angel&lt;/middleNames&gt;&lt;/author&gt;&lt;author&gt;&lt;lastName&gt;Jondeau&lt;/lastName&gt;&lt;firstName&gt;Guillaume&lt;/firstName&gt;&lt;/author&gt;&lt;author&gt;&lt;lastName&gt;Klepetko&lt;/lastName&gt;&lt;firstName&gt;Walter&lt;/firstName&gt;&lt;/author&gt;&lt;author&gt;&lt;lastName&gt;Opitz&lt;/lastName&gt;&lt;firstName&gt;Christian&lt;/firstName&gt;&lt;/author&gt;&lt;author&gt;&lt;lastName&gt;Peacock&lt;/lastName&gt;&lt;firstName&gt;Andrew&lt;/firstName&gt;&lt;/author&gt;&lt;author&gt;&lt;lastName&gt;Rubin&lt;/lastName&gt;&lt;firstName&gt;Lewis&lt;/firstName&gt;&lt;/author&gt;&lt;author&gt;&lt;lastName&gt;Zellweger&lt;/lastName&gt;&lt;firstName&gt;Michael&lt;/firstName&gt;&lt;/author&gt;&lt;author&gt;&lt;lastName&gt;Simonneau&lt;/lastName&gt;&lt;firstName&gt;Gérald&lt;/firstName&gt;&lt;/author&gt;&lt;author&gt;&lt;lastName&gt;ESC Committee for Practice Guidelines (CPG)&lt;/lastName&gt;&lt;/author&gt;&lt;/authors&gt;&lt;/publication&gt;&lt;/publications&gt;&lt;cites&gt;&lt;/cites&gt;&lt;/citation&gt;</w:instrText>
      </w:r>
      <w:r>
        <w:fldChar w:fldCharType="separate"/>
      </w:r>
      <w:r w:rsidR="00095567">
        <w:rPr>
          <w:rFonts w:eastAsiaTheme="minorEastAsia"/>
          <w:lang w:val="en-US"/>
        </w:rPr>
        <w:t>(</w:t>
      </w:r>
      <w:proofErr w:type="spellStart"/>
      <w:r w:rsidR="00095567">
        <w:rPr>
          <w:rFonts w:eastAsiaTheme="minorEastAsia"/>
          <w:lang w:val="en-US"/>
        </w:rPr>
        <w:t>Galiè</w:t>
      </w:r>
      <w:proofErr w:type="spellEnd"/>
      <w:r w:rsidR="00095567">
        <w:rPr>
          <w:rFonts w:eastAsiaTheme="minorEastAsia"/>
          <w:lang w:val="en-US"/>
        </w:rPr>
        <w:t xml:space="preserve"> et al., 2009)</w:t>
      </w:r>
      <w:r>
        <w:fldChar w:fldCharType="end"/>
      </w:r>
      <w:r>
        <w:t xml:space="preserve">,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&lt;citation&gt;&lt;priority&gt;38&lt;/priority&gt;&lt;uuid&gt;260B1123-7BD5-4457-AB29-21C89032EF82&lt;/uuid&gt;&lt;publications&gt;&lt;publication&gt;&lt;subtype&gt;717&lt;/subtype&gt;&lt;title&gt;2015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Transplantation (ISHLT).&lt;/title&gt;&lt;url&gt;http://eutils.ncbi.nlm.nih.gov/entrez/eutils/elink.fcgi?dbfrom=pubmed&amp;amp;id=26320113&amp;amp;retmode=ref&amp;amp;cmd=prlinks&lt;/url&gt;&lt;volume&gt;37&lt;/volume&gt;&lt;publication_date&gt;99201601011200000000222000&lt;/publication_date&gt;&lt;uuid&gt;AC060D81-90C2-4940-BA6D-5E57C078237F&lt;/uuid&gt;&lt;type&gt;700&lt;/type&gt;&lt;number&gt;1&lt;/number&gt;&lt;citekey&gt;Galie:2016gf&lt;/citekey&gt;&lt;doi&gt;10.1093/eurheartj/ehv317&lt;/doi&gt;&lt;startpage&gt;67&lt;/startpage&gt;&lt;endpage&gt;119&lt;/endpage&gt;&lt;bundle&gt;&lt;publication&gt;&lt;title&gt;European Heart Journal&lt;/title&gt;&lt;uuid&gt;9B2F36EA-4378-47D4-BC03-5AB7B9E7132C&lt;/uuid&gt;&lt;subtype&gt;-100&lt;/subtype&gt;&lt;type&gt;-100&lt;/type&gt;&lt;/publication&gt;&lt;/bundle&gt;&lt;authors&gt;&lt;author&gt;&lt;lastName&gt;Galiè&lt;/lastName&gt;&lt;firstName&gt;Nazzareno&lt;/firstName&gt;&lt;/author&gt;&lt;author&gt;&lt;lastName&gt;Humbert&lt;/lastName&gt;&lt;firstName&gt;Marc&lt;/firstName&gt;&lt;/author&gt;&lt;author&gt;&lt;lastName&gt;Vachiery&lt;/lastName&gt;&lt;firstName&gt;Jean-Luc&lt;/firstName&gt;&lt;/author&gt;&lt;author&gt;&lt;lastName&gt;Gibbs&lt;/lastName&gt;&lt;firstName&gt;Simon&lt;/firstName&gt;&lt;/author&gt;&lt;author&gt;&lt;lastName&gt;Lang&lt;/lastName&gt;&lt;firstName&gt;Irene&lt;/firstName&gt;&lt;/author&gt;&lt;author&gt;&lt;lastName&gt;Torbicki&lt;/lastName&gt;&lt;firstName&gt;Adam&lt;/firstName&gt;&lt;/author&gt;&lt;author&gt;&lt;lastName&gt;Simonneau&lt;/lastName&gt;&lt;firstName&gt;Gérald&lt;/firstName&gt;&lt;/author&gt;&lt;author&gt;&lt;lastName&gt;Peacock&lt;/lastName&gt;&lt;firstName&gt;Andrew&lt;/firstName&gt;&lt;/author&gt;&lt;author&gt;&lt;lastName&gt;Vonk Noordegraaf&lt;/lastName&gt;&lt;firstName&gt;Anton&lt;/firstName&gt;&lt;/author&gt;&lt;author&gt;&lt;lastName&gt;Beghetti&lt;/lastName&gt;&lt;firstName&gt;Maurice&lt;/firstName&gt;&lt;/author&gt;&lt;author&gt;&lt;lastName&gt;Ghofrani&lt;/lastName&gt;&lt;firstName&gt;Ardeschir&lt;/firstName&gt;&lt;/author&gt;&lt;author&gt;&lt;lastName&gt;Gomez Sanchez&lt;/lastName&gt;&lt;firstName&gt;Miguel&lt;/firstName&gt;&lt;middleNames&gt;Angel&lt;/middleNames&gt;&lt;/author&gt;&lt;author&gt;&lt;lastName&gt;Hansmann&lt;/lastName&gt;&lt;firstName&gt;Georg&lt;/firstName&gt;&lt;/author&gt;&lt;author&gt;&lt;lastName&gt;Klepetko&lt;/lastName&gt;&lt;firstName&gt;Walter&lt;/firstName&gt;&lt;/author&gt;&lt;author&gt;&lt;lastName&gt;Lancellotti&lt;/lastName&gt;&lt;firstName&gt;Patrizio&lt;/firstName&gt;&lt;/author&gt;&lt;author&gt;&lt;lastName&gt;Matucci&lt;/lastName&gt;&lt;firstName&gt;Marco&lt;/firstName&gt;&lt;/author&gt;&lt;author&gt;&lt;lastName&gt;McDonagh&lt;/lastName&gt;&lt;firstName&gt;Theresa&lt;/firstName&gt;&lt;/author&gt;&lt;author&gt;&lt;lastName&gt;Pierard&lt;/lastName&gt;&lt;firstName&gt;Luc&lt;/firstName&gt;&lt;middleNames&gt;A&lt;/middleNames&gt;&lt;/author&gt;&lt;author&gt;&lt;lastName&gt;Trindade&lt;/lastName&gt;&lt;firstName&gt;Pedro&lt;/firstName&gt;&lt;middleNames&gt;T&lt;/middleNames&gt;&lt;/author&gt;&lt;author&gt;&lt;lastName&gt;Zompatori&lt;/lastName&gt;&lt;firstName&gt;Maurizio&lt;/firstName&gt;&lt;/author&gt;&lt;author&gt;&lt;lastName&gt;Hoeper&lt;/lastName&gt;&lt;firstName&gt;Marius&lt;/firstName&gt;&lt;/author&gt;&lt;author&gt;&lt;lastName&gt;ESC Scientific Document Group &lt;/lastName&gt;&lt;/author&gt;&lt;/authors&gt;&lt;/publication&gt;&lt;/publications&gt;&lt;cites&gt;&lt;/cites&gt;&lt;/citation&gt;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w:t>
      </w:r>
      <w:proofErr w:type="spellStart"/>
      <w:r w:rsidR="00095567">
        <w:rPr>
          <w:rFonts w:eastAsiaTheme="minorEastAsia"/>
          <w:lang w:val="en-US"/>
        </w:rPr>
        <w:t>Galiè</w:t>
      </w:r>
      <w:proofErr w:type="spellEnd"/>
      <w:r w:rsidR="00095567">
        <w:rPr>
          <w:rFonts w:eastAsiaTheme="minorEastAsia"/>
          <w:lang w:val="en-US"/>
        </w:rPr>
        <w:t xml:space="preserve"> et al., 2016)</w:t>
      </w:r>
      <w:r w:rsidR="00095567">
        <w:rPr>
          <w:rFonts w:eastAsiaTheme="minorEastAsia"/>
          <w:color w:val="auto"/>
          <w:bdr w:val="none" w:sz="0" w:space="0" w:color="auto"/>
          <w:lang w:val="en-US"/>
        </w:rPr>
        <w:fldChar w:fldCharType="end"/>
      </w:r>
      <w:r>
        <w:t xml:space="preserve">, whereby High levels are associated with poor survival </w:t>
      </w:r>
      <w:r>
        <w:fldChar w:fldCharType="begin"/>
      </w:r>
      <w:r w:rsidR="004E19A5">
        <w:instrText xml:space="preserve"> ADDIN PAPERS2_CITATIONS &lt;citation&gt;&lt;priority&gt;0&lt;/priority&gt;&lt;uuid&gt;AB2FD1C0-1454-400B-8242-D440C8A62763&lt;/uuid&gt;&lt;publications&gt;&lt;publication&gt;&lt;subtype&gt;400&lt;/subtype&gt;&lt;title&gt;Role of N-terminal brain natriuretic peptide (N-TproBNP) in scleroderma-associated pulmonary arterial hypertension.&lt;/title&gt;&lt;url&gt;http://eurheartj.oxfordjournals.org/cgi/doi/10.1093/eurheartj/ehi891&lt;/url&gt;&lt;volume&gt;27&lt;/volume&gt;&lt;publication_date&gt;99200606001200000000220000&lt;/publication_date&gt;&lt;uuid&gt;7284D6CC-BC84-4EFD-9608-E09885211B8A&lt;/uuid&gt;&lt;type&gt;400&lt;/type&gt;&lt;number&gt;12&lt;/number&gt;&lt;doi&gt;10.1093/eurheartj/ehi891&lt;/doi&gt;&lt;institution&gt;Department of Cardiology, Royal Free Hospital, London, UK.&lt;/institution&gt;&lt;startpage&gt;1485&lt;/startpage&gt;&lt;endpage&gt;1494&lt;/endpage&gt;&lt;bundle&gt;&lt;publication&gt;&lt;title&gt;European Heart Journal&lt;/title&gt;&lt;uuid&gt;9B2F36EA-4378-47D4-BC03-5AB7B9E7132C&lt;/uuid&gt;&lt;subtype&gt;-100&lt;/subtype&gt;&lt;type&gt;-100&lt;/type&gt;&lt;/publication&gt;&lt;/bundle&gt;&lt;authors&gt;&lt;author&gt;&lt;lastName&gt;Williams&lt;/lastName&gt;&lt;firstName&gt;Mark&lt;/firstName&gt;&lt;middleNames&gt;H&lt;/middleNames&gt;&lt;/author&gt;&lt;author&gt;&lt;lastName&gt;Handler&lt;/lastName&gt;&lt;firstName&gt;Clive&lt;/firstName&gt;&lt;middleNames&gt;E&lt;/middleNames&gt;&lt;/author&gt;&lt;author&gt;&lt;lastName&gt;Akram&lt;/lastName&gt;&lt;firstName&gt;Raza&lt;/firstName&gt;&lt;/author&gt;&lt;author&gt;&lt;lastName&gt;Smith&lt;/lastName&gt;&lt;firstName&gt;Colette&lt;/firstName&gt;&lt;middleNames&gt;J&lt;/middleNames&gt;&lt;/author&gt;&lt;author&gt;&lt;lastName&gt;Das&lt;/lastName&gt;&lt;firstName&gt;Clare&lt;/firstName&gt;&lt;/author&gt;&lt;author&gt;&lt;lastName&gt;Smee&lt;/lastName&gt;&lt;firstName&gt;Joanna&lt;/firstName&gt;&lt;/author&gt;&lt;author&gt;&lt;lastName&gt;Nair&lt;/lastName&gt;&lt;firstName&gt;Devaki&lt;/firstName&gt;&lt;/author&gt;&lt;author&gt;&lt;lastName&gt;Denton&lt;/lastName&gt;&lt;firstName&gt;Christopher&lt;/firstName&gt;&lt;middleNames&gt;P&lt;/middleNames&gt;&lt;/author&gt;&lt;author&gt;&lt;lastName&gt;Black&lt;/lastName&gt;&lt;firstName&gt;Carol&lt;/firstName&gt;&lt;middleNames&gt;M&lt;/middleNames&gt;&lt;/author&gt;&lt;author&gt;&lt;lastName&gt;Coghlan&lt;/lastName&gt;&lt;firstName&gt;John&lt;/firstName&gt;&lt;middleNames&gt;G&lt;/middleNames&gt;&lt;/author&gt;&lt;/authors&gt;&lt;/publication&gt;&lt;/publications&gt;&lt;cites&gt;&lt;/cites&gt;&lt;/citation&gt;</w:instrText>
      </w:r>
      <w:r>
        <w:fldChar w:fldCharType="separate"/>
      </w:r>
      <w:r w:rsidR="00095567">
        <w:rPr>
          <w:rFonts w:eastAsiaTheme="minorEastAsia"/>
          <w:lang w:val="en-US"/>
        </w:rPr>
        <w:t>(Williams et al., 2006)</w:t>
      </w:r>
      <w:r>
        <w:fldChar w:fldCharType="end"/>
      </w:r>
      <w:r>
        <w:t xml:space="preserve">, </w:t>
      </w:r>
      <w:r>
        <w:fldChar w:fldCharType="begin"/>
      </w:r>
      <w:r w:rsidR="004E19A5">
        <w:instrText xml:space="preserve"> ADDIN PAPERS2_CITATIONS &lt;citation&gt;&lt;priority&gt;0&lt;/priority&gt;&lt;uuid&gt;8DA1D223-F7DA-4293-89E5-B6CEC1425581&lt;/uuid&gt;&lt;publications&gt;&lt;publication&gt;&lt;subtype&gt;400&lt;/subtype&gt;&lt;title&gt;Serum N-terminal brain natriuretic peptide as a prognostic parameter in patients with pulmonary hypertension.&lt;/title&gt;&lt;url&gt;http://linkinghub.elsevier.com/retrieve/pii/S0012369215507125&lt;/url&gt;&lt;volume&gt;129&lt;/volume&gt;&lt;publication_date&gt;99200605001200000000220000&lt;/publication_date&gt;&lt;uuid&gt;1288862A-B5A2-4611-83BE-F416864310AE&lt;/uuid&gt;&lt;type&gt;400&lt;/type&gt;&lt;number&gt;5&lt;/number&gt;&lt;doi&gt;10.1378/chest.129.5.1313&lt;/doi&gt;&lt;institution&gt;Department of Chest Medicine, National Research Institute of Tuberculosis and Lung Diseases, Ul Plocka 26, 01-138 Warsaw, Poland. a.fijalkowska@igichp.edu.pl&lt;/institution&gt;&lt;startpage&gt;1313&lt;/startpage&gt;&lt;endpage&gt;1321&lt;/endpage&gt;&lt;bundle&gt;&lt;publication&gt;&lt;title&gt;Chest&lt;/title&gt;&lt;uuid&gt;7AB45E3F-A848-4E50-88B7-8C8DE4A58CEC&lt;/uuid&gt;&lt;subtype&gt;-100&lt;/subtype&gt;&lt;publisher&gt;American College of Chest Physicians&lt;/publisher&gt;&lt;type&gt;-100&lt;/type&gt;&lt;/publication&gt;&lt;/bundle&gt;&lt;authors&gt;&lt;author&gt;&lt;lastName&gt;Fijalkowska&lt;/lastName&gt;&lt;firstName&gt;Anna&lt;/firstName&gt;&lt;/author&gt;&lt;author&gt;&lt;lastName&gt;Kurzyna&lt;/lastName&gt;&lt;firstName&gt;Marcin&lt;/firstName&gt;&lt;/author&gt;&lt;author&gt;&lt;lastName&gt;Torbicki&lt;/lastName&gt;&lt;firstName&gt;Adam&lt;/firstName&gt;&lt;/author&gt;&lt;author&gt;&lt;lastName&gt;Szewczyk&lt;/lastName&gt;&lt;firstName&gt;Grzegorz&lt;/firstName&gt;&lt;/author&gt;&lt;author&gt;&lt;lastName&gt;Florczyk&lt;/lastName&gt;&lt;firstName&gt;Michal&lt;/firstName&gt;&lt;/author&gt;&lt;author&gt;&lt;lastName&gt;Pruszczyk&lt;/lastName&gt;&lt;firstName&gt;Piotr&lt;/firstName&gt;&lt;/author&gt;&lt;author&gt;&lt;lastName&gt;Szturmowicz&lt;/lastName&gt;&lt;firstName&gt;Monika&lt;/firstName&gt;&lt;/author&gt;&lt;/authors&gt;&lt;/publication&gt;&lt;/publications&gt;&lt;cites&gt;&lt;/cites&gt;&lt;/citation&gt;</w:instrText>
      </w:r>
      <w:r>
        <w:fldChar w:fldCharType="separate"/>
      </w:r>
      <w:r w:rsidR="00095567">
        <w:rPr>
          <w:rFonts w:eastAsiaTheme="minorEastAsia"/>
          <w:lang w:val="en-US"/>
        </w:rPr>
        <w:t>(</w:t>
      </w:r>
      <w:proofErr w:type="spellStart"/>
      <w:r w:rsidR="00095567">
        <w:rPr>
          <w:rFonts w:eastAsiaTheme="minorEastAsia"/>
          <w:lang w:val="en-US"/>
        </w:rPr>
        <w:t>Fijalkowska</w:t>
      </w:r>
      <w:proofErr w:type="spellEnd"/>
      <w:r w:rsidR="00095567">
        <w:rPr>
          <w:rFonts w:eastAsiaTheme="minorEastAsia"/>
          <w:lang w:val="en-US"/>
        </w:rPr>
        <w:t xml:space="preserve"> et al., </w:t>
      </w:r>
      <w:r w:rsidR="00095567">
        <w:rPr>
          <w:rFonts w:eastAsiaTheme="minorEastAsia"/>
          <w:lang w:val="en-US"/>
        </w:rPr>
        <w:lastRenderedPageBreak/>
        <w:t>2006)</w:t>
      </w:r>
      <w:r>
        <w:fldChar w:fldCharType="end"/>
      </w:r>
      <w:r>
        <w:t>. NT-</w:t>
      </w:r>
      <w:proofErr w:type="spellStart"/>
      <w:r>
        <w:t>proBNP</w:t>
      </w:r>
      <w:proofErr w:type="spellEnd"/>
      <w:r>
        <w:t xml:space="preserve"> is the stable cleavage product of brain type natriuretic peptide (BNP) which is released in response to ventricular stress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&lt;citation&gt;&lt;priority&gt;41&lt;/priority&gt;&lt;uuid&gt;9A408B2B-DB60-4E96-B86E-34E107EB9649&lt;/uuid&gt;&lt;publications&gt;&lt;publication&gt;&lt;subtype&gt;400&lt;/subtype&gt;&lt;title&gt;Biomarkers in pulmonary hypertension.&lt;/title&gt;&lt;url&gt;http://eutils.ncbi.nlm.nih.gov/entrez/eutils/elink.fcgi?dbfrom=pubmed&amp;amp;id=18669790&amp;amp;retmode=ref&amp;amp;cmd=prlinks&lt;/url&gt;&lt;volume&gt;32&lt;/volume&gt;&lt;publication_date&gt;99200808001200000000220000&lt;/publication_date&gt;&lt;uuid&gt;C29A9081-C62B-4A2E-82B4-D0B73DDDB0B0&lt;/uuid&gt;&lt;type&gt;400&lt;/type&gt;&lt;number&gt;2&lt;/number&gt;&lt;doi&gt;10.1183/09031936.00160307&lt;/doi&gt;&lt;institution&gt;Dept of Thoracic Medicine, St Vincent's Hospital, 390 Victoria Street, Darlinghurst, NSW 2010, Australia.&lt;/institution&gt;&lt;startpage&gt;503&lt;/startpage&gt;&lt;endpage&gt;512&lt;/endpage&gt;&lt;bundle&gt;&lt;publication&gt;&lt;title&gt;The European respiratory journal&lt;/title&gt;&lt;uuid&gt;7E3A0D77-6E17-4AF8-93BD-4FEDBA5A088B&lt;/uuid&gt;&lt;subtype&gt;-100&lt;/subtype&gt;&lt;type&gt;-100&lt;/type&gt;&lt;/publication&gt;&lt;/bundle&gt;&lt;authors&gt;&lt;author&gt;&lt;lastName&gt;Warwick&lt;/lastName&gt;&lt;firstName&gt;G&lt;/firstName&gt;&lt;/author&gt;&lt;author&gt;&lt;lastName&gt;Thomas&lt;/lastName&gt;&lt;firstName&gt;P&lt;/firstName&gt;&lt;middleNames&gt;S&lt;/middleNames&gt;&lt;/author&gt;&lt;author&gt;&lt;lastName&gt;Yates&lt;/lastName&gt;&lt;firstName&gt;D&lt;/firstName&gt;&lt;middleNames&gt;H&lt;/middleNames&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(Warwick, Thomas, &amp; Yates, 2008)</w:t>
      </w:r>
      <w:r w:rsidR="00095567">
        <w:rPr>
          <w:rFonts w:eastAsiaTheme="minorEastAsia"/>
          <w:color w:val="auto"/>
          <w:bdr w:val="none" w:sz="0" w:space="0" w:color="auto"/>
          <w:lang w:val="en-US"/>
        </w:rPr>
        <w:fldChar w:fldCharType="end"/>
      </w:r>
      <w:r>
        <w:t>. BNP relieves ventricular stress by lowering blood pressure, by signalling venous dilation.</w:t>
      </w:r>
    </w:p>
    <w:p w14:paraId="6B35FA83" w14:textId="77777777" w:rsidR="00535592" w:rsidRDefault="00535592" w:rsidP="00535592">
      <w:pPr>
        <w:pStyle w:val="Heading2"/>
        <w:numPr>
          <w:ilvl w:val="0"/>
          <w:numId w:val="0"/>
        </w:numPr>
        <w:spacing w:before="120" w:after="120"/>
        <w:ind w:left="720"/>
      </w:pPr>
    </w:p>
    <w:p w14:paraId="10D86E8D" w14:textId="74E4699C" w:rsidR="00535592" w:rsidRDefault="00312CCD" w:rsidP="00312CCD">
      <w:pPr>
        <w:pStyle w:val="Heading2"/>
        <w:numPr>
          <w:ilvl w:val="2"/>
          <w:numId w:val="7"/>
        </w:numPr>
        <w:spacing w:before="120" w:after="120"/>
      </w:pPr>
      <w:bookmarkStart w:id="47" w:name="_Toc60773852"/>
      <w:r>
        <w:t xml:space="preserve">Measured </w:t>
      </w:r>
      <w:r w:rsidR="00535592">
        <w:t xml:space="preserve">Walk </w:t>
      </w:r>
      <w:r>
        <w:t>Distance Measures</w:t>
      </w:r>
      <w:bookmarkEnd w:id="47"/>
      <w:r w:rsidR="00535592">
        <w:tab/>
      </w:r>
    </w:p>
    <w:p w14:paraId="117B41CA" w14:textId="157D8197" w:rsidR="00535592" w:rsidRDefault="00535592" w:rsidP="00535592">
      <w:pPr>
        <w:pStyle w:val="Body"/>
      </w:pPr>
      <w:r>
        <w:t xml:space="preserve">Due to their simplicity walking tests measuring distance travelled are commonly used to </w:t>
      </w:r>
      <w:r w:rsidR="00D52545">
        <w:t>assess</w:t>
      </w:r>
      <w:r>
        <w:t xml:space="preserve"> patient exercise capacity. Currently the</w:t>
      </w:r>
      <w:r w:rsidR="006F4724">
        <w:t>re are two</w:t>
      </w:r>
      <w:r>
        <w:t xml:space="preserve"> protocols used</w:t>
      </w:r>
      <w:r w:rsidR="006F4724">
        <w:t xml:space="preserve">, most commonly the </w:t>
      </w:r>
      <w:r>
        <w:t xml:space="preserve">distance </w:t>
      </w:r>
      <w:r w:rsidR="006F4724">
        <w:t>covered</w:t>
      </w:r>
      <w:r>
        <w:t xml:space="preserve"> within a timed walk, the 6-minute walk test (6MWT), or </w:t>
      </w:r>
      <w:r w:rsidR="006F4724">
        <w:t>the distance covered during an</w:t>
      </w:r>
      <w:r>
        <w:t xml:space="preserve"> incremental shuttle walk test (ISWT). </w:t>
      </w:r>
    </w:p>
    <w:p w14:paraId="02BAFC9D" w14:textId="77777777" w:rsidR="00784D37" w:rsidRDefault="00784D37" w:rsidP="00535592">
      <w:pPr>
        <w:pStyle w:val="Body"/>
      </w:pPr>
    </w:p>
    <w:p w14:paraId="40979243" w14:textId="65B95060" w:rsidR="00535592" w:rsidRDefault="00535592" w:rsidP="00535592">
      <w:pPr>
        <w:pStyle w:val="Body"/>
      </w:pPr>
      <w:r>
        <w:t xml:space="preserve">In the ISWT a patient is required to walk between two targets 10-meters apart. The time given to walk between the targets is gradually reduced until the patient fails to reach a target within the allotted time. The ISWT is advantageous as it only requires a 10-meter corridor instead of the 30-meter corridor used it the 6MWT. The change in ISWT distance measured at 1-year following start of treatment has been shown to be prognostic in patients with PAH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&lt;citation&gt;&lt;priority&gt;42&lt;/priority&gt;&lt;uuid&gt;94C715C6-2136-4893-9389-11AACD97E510&lt;/uuid&gt;&lt;publications&gt;&lt;publication&gt;&lt;subtype&gt;400&lt;/subtype&gt;&lt;title&gt;Incremental shuttle walk test distance and autonomic dysfunction predict survival in pulmonary arterial hypertension&lt;/title&gt;&lt;url&gt;https://linkinghub.elsevier.com/retrieve/pii/S1053249817317515&lt;/url&gt;&lt;volume&gt;36&lt;/volume&gt;&lt;publication_date&gt;99201708001200000000220000&lt;/publication_date&gt;&lt;uuid&gt;2FC942F1-3C49-4004-8821-06EAA65370B2&lt;/uuid&gt;&lt;type&gt;400&lt;/type&gt;&lt;number&gt;8&lt;/number&gt;&lt;doi&gt;10.1016/j.healun.2017.04.008&lt;/doi&gt;&lt;startpage&gt;871&lt;/startpage&gt;&lt;endpage&gt;879&lt;/endpage&gt;&lt;bundle&gt;&lt;publication&gt;&lt;title&gt;The Journal of Heart and Lung Transplantation&lt;/title&gt;&lt;uuid&gt;A801BA62-A55B-41C5-8EB6-47D2CE1DE3CA&lt;/uuid&gt;&lt;subtype&gt;-100&lt;/subtype&gt;&lt;type&gt;-100&lt;/type&gt;&lt;/publication&gt;&lt;/bundle&gt;&lt;authors&gt;&lt;author&gt;&lt;lastName&gt;Billings&lt;/lastName&gt;&lt;firstName&gt;Catherine&lt;/firstName&gt;&lt;middleNames&gt;G&lt;/middleNames&gt;&lt;/author&gt;&lt;author&gt;&lt;lastName&gt;Hurdman&lt;/lastName&gt;&lt;firstName&gt;Judith&lt;/firstName&gt;&lt;middleNames&gt;A&lt;/middleNames&gt;&lt;/author&gt;&lt;author&gt;&lt;lastName&gt;Condliffe&lt;/lastName&gt;&lt;firstName&gt;Robin&lt;/firstName&gt;&lt;/author&gt;&lt;author&gt;&lt;lastName&gt;Elliot&lt;/lastName&gt;&lt;firstName&gt;Charlie&lt;/firstName&gt;&lt;middleNames&gt;A&lt;/middleNames&gt;&lt;/author&gt;&lt;author&gt;&lt;lastName&gt;Smith&lt;/lastName&gt;&lt;firstName&gt;Ian&lt;/firstName&gt;&lt;middleNames&gt;A&lt;/middleNames&gt;&lt;/author&gt;&lt;author&gt;&lt;lastName&gt;Austin&lt;/lastName&gt;&lt;firstName&gt;Matthew&lt;/firstName&gt;&lt;/author&gt;&lt;author&gt;&lt;lastName&gt;Armstrong&lt;/lastName&gt;&lt;firstName&gt;Iain&lt;/firstName&gt;&lt;middleNames&gt;J&lt;/middleNames&gt;&lt;/author&gt;&lt;author&gt;&lt;lastName&gt;Hamilton&lt;/lastName&gt;&lt;firstName&gt;Neil&lt;/firstName&gt;&lt;/author&gt;&lt;author&gt;&lt;lastName&gt;Charalampopoulos&lt;/lastName&gt;&lt;firstName&gt;Athanasios&lt;/firstName&gt;&lt;/author&gt;&lt;author&gt;&lt;lastName&gt;Sabroe&lt;/lastName&gt;&lt;firstName&gt;Ian&lt;/firstName&gt;&lt;/author&gt;&lt;author&gt;&lt;lastName&gt;Swift&lt;/lastName&gt;&lt;firstName&gt;Andrew&lt;/firstName&gt;&lt;middleNames&gt;J&lt;/middleNames&gt;&lt;/author&gt;&lt;author&gt;&lt;lastName&gt;Rothman&lt;/lastName&gt;&lt;firstName&gt;Alexander&lt;/firstName&gt;&lt;middleNames&gt;M&lt;/middleNames&gt;&lt;/author&gt;&lt;author&gt;&lt;lastName&gt;Wild&lt;/lastName&gt;&lt;firstName&gt;Jim&lt;/firstName&gt;&lt;middleNames&gt;M&lt;/middleNames&gt;&lt;/author&gt;&lt;author&gt;&lt;lastName&gt;Lawrie&lt;/lastName&gt;&lt;firstName&gt;Allan&lt;/firstName&gt;&lt;/author&gt;&lt;author&gt;&lt;lastName&gt;Waterhouse&lt;/lastName&gt;&lt;firstName&gt;Judith&lt;/firstName&gt;&lt;middleNames&gt;C&lt;/middleNames&gt;&lt;/author&gt;&lt;author&gt;&lt;lastName&gt;Kiely&lt;/lastName&gt;&lt;firstName&gt;David&lt;/firstName&gt;&lt;middleNames&gt;G&lt;/middleNames&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(Billings et al., 2017)</w:t>
      </w:r>
      <w:r w:rsidR="00095567">
        <w:rPr>
          <w:rFonts w:eastAsiaTheme="minorEastAsia"/>
          <w:color w:val="auto"/>
          <w:bdr w:val="none" w:sz="0" w:space="0" w:color="auto"/>
          <w:lang w:val="en-US"/>
        </w:rPr>
        <w:fldChar w:fldCharType="end"/>
      </w:r>
      <w:r>
        <w:t>. With a distance ≤120 meters being associated with an increased 2-year mortality.</w:t>
      </w:r>
    </w:p>
    <w:p w14:paraId="11D2F0CE" w14:textId="77777777" w:rsidR="00535592" w:rsidRDefault="00535592" w:rsidP="00535592">
      <w:pPr>
        <w:pStyle w:val="Body"/>
      </w:pPr>
    </w:p>
    <w:p w14:paraId="3C3BFF2A" w14:textId="264DE9F1" w:rsidR="00535592" w:rsidRDefault="00535592" w:rsidP="00535592">
      <w:pPr>
        <w:pStyle w:val="Body"/>
      </w:pPr>
      <w:r>
        <w:t xml:space="preserve">It was recently demonstrated in the 6MWT that patients who walked &lt;165 meters was predictive of higher likelihood of mortality within 1 year and conversely a distance &gt;440 meters being predictive of survival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&lt;citation&gt;&lt;priority&gt;43&lt;/priority&gt;&lt;uuid&gt;B25B601F-520F-4A48-AFA5-9BB37CE1D728&lt;/uuid&gt;&lt;publications&gt;&lt;publication&gt;&lt;subtype&gt;400&lt;/subtype&gt;&lt;publisher&gt;Springer Berlin Heidelberg&lt;/publisher&gt;&lt;title&gt;The 6MWT as a prognostic tool in pulmonary arterial hypertension: results from the COMPERA registry.&lt;/title&gt;&lt;url&gt;http://link.springer.com/10.1007/s00392-018-1207-5&lt;/url&gt;&lt;volume&gt;107&lt;/volume&gt;&lt;publication_date&gt;99201806001200000000220000&lt;/publication_date&gt;&lt;uuid&gt;FF9CDD18-212A-47DE-B76D-4C6FEDF0F1B6&lt;/uuid&gt;&lt;type&gt;400&lt;/type&gt;&lt;accepted_date&gt;99201801221200000000222000&lt;/accepted_date&gt;&lt;number&gt;6&lt;/number&gt;&lt;submission_date&gt;99201709081200000000222000&lt;/submission_date&gt;&lt;doi&gt;10.1007/s00392-018-1207-5&lt;/doi&gt;&lt;institution&gt;Department of Cardiology, Angiology, Pneumology, University of Heidelberg, Im Neuenheimer Feld 410, 69120, Heidelberg, Germany. thomas.zelniker@med.uni-heidelberg.de.&lt;/institution&gt;&lt;startpage&gt;460&lt;/startpage&gt;&lt;endpage&gt;470&lt;/endpage&gt;&lt;bundle&gt;&lt;publication&gt;&lt;title&gt;Clinical research in cardiology : official journal of the German Cardiac Society&lt;/title&gt;&lt;uuid&gt;E9E074CD-25B5-40DB-9506-C5169954CDD5&lt;/uuid&gt;&lt;subtype&gt;-100&lt;/subtype&gt;&lt;publisher&gt;Springer Berlin Heidelberg&lt;/publisher&gt;&lt;type&gt;-100&lt;/type&gt;&lt;/publication&gt;&lt;/bundle&gt;&lt;authors&gt;&lt;author&gt;&lt;lastName&gt;Zelniker&lt;/lastName&gt;&lt;firstName&gt;Thomas&lt;/firstName&gt;&lt;middleNames&gt;A&lt;/middleNames&gt;&lt;/author&gt;&lt;author&gt;&lt;lastName&gt;Huscher&lt;/lastName&gt;&lt;firstName&gt;Dörte&lt;/firstName&gt;&lt;/author&gt;&lt;author&gt;&lt;lastName&gt;Vonk Noordegraaf&lt;/lastName&gt;&lt;firstName&gt;Anton&lt;/firstName&gt;&lt;/author&gt;&lt;author&gt;&lt;lastName&gt;Ewert&lt;/lastName&gt;&lt;firstName&gt;Ralf&lt;/firstName&gt;&lt;/author&gt;&lt;author&gt;&lt;lastName&gt;Lange&lt;/lastName&gt;&lt;firstName&gt;Tobias&lt;/firstName&gt;&lt;middleNames&gt;J&lt;/middleNames&gt;&lt;/author&gt;&lt;author&gt;&lt;lastName&gt;Klose&lt;/lastName&gt;&lt;firstName&gt;Hans&lt;/firstName&gt;&lt;/author&gt;&lt;author&gt;&lt;lastName&gt;Dumitrescu&lt;/lastName&gt;&lt;firstName&gt;Daniel&lt;/firstName&gt;&lt;/author&gt;&lt;author&gt;&lt;lastName&gt;Halank&lt;/lastName&gt;&lt;firstName&gt;Michael&lt;/firstName&gt;&lt;/author&gt;&lt;author&gt;&lt;lastName&gt;Held&lt;/lastName&gt;&lt;firstName&gt;Matthis&lt;/firstName&gt;&lt;/author&gt;&lt;author&gt;&lt;lastName&gt;Gall&lt;/lastName&gt;&lt;firstName&gt;Henning&lt;/firstName&gt;&lt;/author&gt;&lt;author&gt;&lt;lastName&gt;Pittrow&lt;/lastName&gt;&lt;firstName&gt;David&lt;/firstName&gt;&lt;/author&gt;&lt;author&gt;&lt;lastName&gt;Hoeper&lt;/lastName&gt;&lt;firstName&gt;Marius&lt;/firstName&gt;&lt;middleNames&gt;M&lt;/middleNames&gt;&lt;/author&gt;&lt;author&gt;&lt;lastName&gt;Frankenstein&lt;/lastName&gt;&lt;firstName&gt;Lutz&lt;/firstName&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w:t>
      </w:r>
      <w:proofErr w:type="spellStart"/>
      <w:r w:rsidR="00095567">
        <w:rPr>
          <w:rFonts w:eastAsiaTheme="minorEastAsia"/>
          <w:lang w:val="en-US"/>
        </w:rPr>
        <w:t>Zelniker</w:t>
      </w:r>
      <w:proofErr w:type="spellEnd"/>
      <w:r w:rsidR="00095567">
        <w:rPr>
          <w:rFonts w:eastAsiaTheme="minorEastAsia"/>
          <w:lang w:val="en-US"/>
        </w:rPr>
        <w:t xml:space="preserve"> et al., 2018)</w:t>
      </w:r>
      <w:r w:rsidR="00095567">
        <w:rPr>
          <w:rFonts w:eastAsiaTheme="minorEastAsia"/>
          <w:color w:val="auto"/>
          <w:bdr w:val="none" w:sz="0" w:space="0" w:color="auto"/>
          <w:lang w:val="en-US"/>
        </w:rPr>
        <w:fldChar w:fldCharType="end"/>
      </w:r>
      <w:r>
        <w:t>. However, the study noted that the change in 6MWT whilst prognostic was less predictive than the absolute distance travelled.</w:t>
      </w:r>
    </w:p>
    <w:p w14:paraId="3DE77D6B" w14:textId="77777777" w:rsidR="00784D37" w:rsidRDefault="00784D37" w:rsidP="00535592">
      <w:pPr>
        <w:pStyle w:val="Body"/>
      </w:pPr>
    </w:p>
    <w:p w14:paraId="13293F1A" w14:textId="54E937D0" w:rsidR="00FB326F" w:rsidRPr="007F030E" w:rsidRDefault="00535592" w:rsidP="00531EEC">
      <w:pPr>
        <w:pStyle w:val="Body"/>
      </w:pPr>
      <w:r>
        <w:t xml:space="preserve">Research into translating walk tests into a form of active-monitoring has been suggested by replacing walk tests with accelerometer-based </w:t>
      </w:r>
      <w:r w:rsidRPr="005F406D">
        <w:t>measurements</w:t>
      </w:r>
      <w:r>
        <w:t>. Sehgal et al., monitored 20 patients between follow-up visits 1</w:t>
      </w:r>
      <w:r w:rsidRPr="005F406D">
        <w:t>36.4 (± 47.3) days</w:t>
      </w:r>
      <w:r>
        <w:t xml:space="preserve"> using wrist-based step counters. The change in daily step count correlated with the change in 6MWT, however, the accelerometer results did not correlate with measurements for NT-</w:t>
      </w:r>
      <w:proofErr w:type="spellStart"/>
      <w:r>
        <w:t>proBNP</w:t>
      </w:r>
      <w:proofErr w:type="spellEnd"/>
      <w:r>
        <w:t xml:space="preserve">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&lt;citation&gt;&lt;priority&gt;44&lt;/priority&gt;&lt;uuid&gt;DF98B57B-25BF-4F2D-81BD-6E254418D095&lt;/uuid&gt;&lt;publications&gt;&lt;publication&gt;&lt;subtype&gt;400&lt;/subtype&gt;&lt;publisher&gt;Springer US&lt;/publisher&gt;&lt;title&gt;Counting Steps: A New Way to Monitor Patients with Pulmonary Arterial Hypertension.&lt;/title&gt;&lt;url&gt;http://link.springer.com/10.1007/s00408-019-00239-y&lt;/url&gt;&lt;volume&gt;197&lt;/volume&gt;&lt;publication_date&gt;99201908001200000000220000&lt;/publication_date&gt;&lt;uuid&gt;6DC8164B-ABCC-4585-B279-EEC8AFFFA4C0&lt;/uuid&gt;&lt;type&gt;400&lt;/type&gt;&lt;accepted_date&gt;99201905111200000000222000&lt;/accepted_date&gt;&lt;number&gt;4&lt;/number&gt;&lt;submission_date&gt;99201901251200000000222000&lt;/submission_date&gt;&lt;doi&gt;10.1007/s00408-019-00239-y&lt;/doi&gt;&lt;institution&gt;Department of Thoracic Medicine and Surgery, Lewis Katz School of Medicine At Temple University, Philadelphia, PA, USA. sameep.sehgal@tuhs.temple.edu.&lt;/institution&gt;&lt;startpage&gt;501&lt;/startpage&gt;&lt;endpage&gt;508&lt;/endpage&gt;&lt;bundle&gt;&lt;publication&gt;&lt;title&gt;Lung&lt;/title&gt;&lt;uuid&gt;B19A464C-F4B6-42D4-B995-9198EABE24B3&lt;/uuid&gt;&lt;subtype&gt;-100&lt;/subtype&gt;&lt;publisher&gt;Springer US&lt;/publisher&gt;&lt;type&gt;-100&lt;/type&gt;&lt;/publication&gt;&lt;/bundle&gt;&lt;authors&gt;&lt;author&gt;&lt;lastName&gt;Sehgal&lt;/lastName&gt;&lt;firstName&gt;Sameep&lt;/firstName&gt;&lt;/author&gt;&lt;author&gt;&lt;lastName&gt;Chowdhury&lt;/lastName&gt;&lt;firstName&gt;Ananda&lt;/firstName&gt;&lt;/author&gt;&lt;author&gt;&lt;lastName&gt;Rabih&lt;/lastName&gt;&lt;firstName&gt;Fadi&lt;/firstName&gt;&lt;/author&gt;&lt;author&gt;&lt;lastName&gt;Gadre&lt;/lastName&gt;&lt;firstName&gt;Abhishek&lt;/firstName&gt;&lt;/author&gt;&lt;author&gt;&lt;lastName&gt;Park&lt;/lastName&gt;&lt;firstName&gt;Margaret&lt;/firstName&gt;&lt;middleNames&gt;M&lt;/middleNames&gt;&lt;/author&gt;&lt;author&gt;&lt;lastName&gt;Li&lt;/lastName&gt;&lt;firstName&gt;Manshi&lt;/firstName&gt;&lt;/author&gt;&lt;author&gt;&lt;lastName&gt;Wang&lt;/lastName&gt;&lt;firstName&gt;Xiaofeng&lt;/firstName&gt;&lt;/author&gt;&lt;author&gt;&lt;lastName&gt;Highland&lt;/lastName&gt;&lt;firstName&gt;Kristin&lt;/firstName&gt;&lt;middleNames&gt;B&lt;/middleNames&gt;&lt;/author&gt;&lt;author&gt;&lt;lastName&gt;STep-count using an Accelerometer for Monitoring PAH—STAMP Study group&lt;/lastName&gt;&lt;/author&gt;&lt;/authors&gt;&lt;/publication&gt;&lt;/publications&gt;&lt;cites&gt;&lt;/cites&gt;&lt;/citation&gt;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(Sehgal et al., 2019)</w:t>
      </w:r>
      <w:r w:rsidR="00095567">
        <w:rPr>
          <w:rFonts w:eastAsiaTheme="minorEastAsia"/>
          <w:color w:val="auto"/>
          <w:bdr w:val="none" w:sz="0" w:space="0" w:color="auto"/>
          <w:lang w:val="en-US"/>
        </w:rPr>
        <w:fldChar w:fldCharType="end"/>
      </w:r>
      <w:r>
        <w:t>.</w:t>
      </w:r>
    </w:p>
    <w:p w14:paraId="347554A4" w14:textId="77777777" w:rsidR="00983CF7" w:rsidRPr="007F030E" w:rsidRDefault="00983CF7" w:rsidP="00983CF7"/>
    <w:p w14:paraId="143CDED7" w14:textId="77777777" w:rsidR="00983CF7" w:rsidRDefault="00983CF7" w:rsidP="00983CF7">
      <w:pPr>
        <w:pStyle w:val="Heading2"/>
        <w:numPr>
          <w:ilvl w:val="1"/>
          <w:numId w:val="7"/>
        </w:numPr>
        <w:spacing w:before="120" w:after="120"/>
        <w:ind w:left="578" w:hanging="578"/>
      </w:pPr>
      <w:bookmarkStart w:id="48" w:name="_Toc60773853"/>
      <w:r>
        <w:t>MicroRNAs</w:t>
      </w:r>
      <w:bookmarkEnd w:id="48"/>
    </w:p>
    <w:p w14:paraId="3B4D26DB" w14:textId="467C332C" w:rsidR="00B54344" w:rsidRPr="00B54344" w:rsidRDefault="00B54344" w:rsidP="00B54344">
      <w:pPr>
        <w:pStyle w:val="Body"/>
      </w:pPr>
      <w:r w:rsidRPr="00B54344">
        <w:t xml:space="preserve">Micro-RNAs (miRNA) are relatively recently described mediators of post-transcriptional regulation of gene expression. They are short (21-24nt) non-coding single stranded RNAs that negatively regulate gene expression </w:t>
      </w:r>
      <w:r w:rsidRPr="00B54344">
        <w:fldChar w:fldCharType="begin"/>
      </w:r>
      <w:r w:rsidR="004E19A5">
        <w:instrText xml:space="preserve"> ADDIN PAPERS2_CITATIONS &lt;citation&gt;&lt;priority&gt;0&lt;/priority&gt;&lt;uuid&gt;A5194B81-ECBF-4FF1-9B87-6E444BE087F8&lt;/uuid&gt;&lt;publications&gt;&lt;publication&gt;&lt;subtype&gt;400&lt;/subtype&gt;&lt;publisher&gt;Elsevier&lt;/publisher&gt;&lt;title&gt;A short history of a short RNA&lt;/title&gt;&lt;url&gt;http://www.cell.com/article/S0092867404000352/fulltext&lt;/url&gt;&lt;volume&gt;116&lt;/volume&gt;&lt;publication_date&gt;99200401001200000000220000&lt;/publication_date&gt;&lt;uuid&gt;1EB16307-16F9-45C3-9905-52FD30C2CC58&lt;/uuid&gt;&lt;type&gt;400&lt;/type&gt;&lt;number&gt;2 Suppl&lt;/number&gt;&lt;doi&gt;10.1016/S0092-8674(04)00035-2&lt;/doi&gt;&lt;institution&gt;Department of Genetics Dartmouth Medical School Hanover, New Hampshire 03755, USA.&lt;/institution&gt;&lt;startpage&gt;S89&lt;/startpage&gt;&lt;endpage&gt;S92&lt;/endpage&gt;&lt;bundle&gt;&lt;publication&gt;&lt;title&gt;Cell&lt;/title&gt;&lt;uuid&gt;B20B40D2-1DB6-4891-9792-D2BB703AC941&lt;/uuid&gt;&lt;subtype&gt;-100&lt;/subtype&gt;&lt;publisher&gt;Elsevier&lt;/publisher&gt;&lt;type&gt;-100&lt;/type&gt;&lt;/publication&gt;&lt;/bundle&gt;&lt;authors&gt;&lt;author&gt;&lt;lastName&gt;Lee&lt;/lastName&gt;&lt;firstName&gt;Rosalind&lt;/firstName&gt;&lt;/author&gt;&lt;author&gt;&lt;lastName&gt;Feinbaum&lt;/lastName&gt;&lt;firstName&gt;Rhonda&lt;/firstName&gt;&lt;/author&gt;&lt;author&gt;&lt;lastName&gt;Ambros&lt;/lastName&gt;&lt;firstName&gt;Victor&lt;/firstName&gt;&lt;/author&gt;&lt;/authors&gt;&lt;/publication&gt;&lt;/publications&gt;&lt;cites&gt;&lt;/cites&gt;&lt;/citation&gt;</w:instrText>
      </w:r>
      <w:r w:rsidRPr="00B54344">
        <w:fldChar w:fldCharType="separate"/>
      </w:r>
      <w:r w:rsidR="004E19A5">
        <w:rPr>
          <w:rFonts w:eastAsiaTheme="minorEastAsia"/>
        </w:rPr>
        <w:t xml:space="preserve">(Lee, </w:t>
      </w:r>
      <w:proofErr w:type="spellStart"/>
      <w:r w:rsidR="004E19A5">
        <w:rPr>
          <w:rFonts w:eastAsiaTheme="minorEastAsia"/>
        </w:rPr>
        <w:t>Feinbaum</w:t>
      </w:r>
      <w:proofErr w:type="spellEnd"/>
      <w:r w:rsidR="004E19A5">
        <w:rPr>
          <w:rFonts w:eastAsiaTheme="minorEastAsia"/>
        </w:rPr>
        <w:t xml:space="preserve">, &amp; </w:t>
      </w:r>
      <w:proofErr w:type="spellStart"/>
      <w:r w:rsidR="004E19A5">
        <w:rPr>
          <w:rFonts w:eastAsiaTheme="minorEastAsia"/>
        </w:rPr>
        <w:t>Ambros</w:t>
      </w:r>
      <w:proofErr w:type="spellEnd"/>
      <w:r w:rsidR="004E19A5">
        <w:rPr>
          <w:rFonts w:eastAsiaTheme="minorEastAsia"/>
        </w:rPr>
        <w:t>, 2004)</w:t>
      </w:r>
      <w:r w:rsidRPr="00B54344">
        <w:fldChar w:fldCharType="end"/>
      </w:r>
      <w:r w:rsidRPr="00B54344">
        <w:t>,</w:t>
      </w:r>
      <w:r w:rsidRPr="00B54344">
        <w:fldChar w:fldCharType="begin"/>
      </w:r>
      <w:r w:rsidR="004E19A5">
        <w:instrText xml:space="preserve"> ADDIN PAPERS2_CITATIONS &lt;citation&gt;&lt;priority&gt;0&lt;/priority&gt;&lt;uuid&gt;CFAC724D-ADC5-465F-84D1-E7D818097218&lt;/uuid&gt;&lt;publications&gt;&lt;publication&gt;&lt;subtype&gt;400&lt;/subtype&gt;&lt;title&gt;Biological principles of microRNA-mediated regulation: shared themes amid diversity.&lt;/title&gt;&lt;url&gt;http://www.nature.com/doifinder/10.1038/nrg2455&lt;/url&gt;&lt;volume&gt;9&lt;/volume&gt;&lt;publication_date&gt;99200811001200000000220000&lt;/publication_date&gt;&lt;uuid&gt;E0086EAE-BCCA-4C47-B131-C108E7788AAE&lt;/uuid&gt;&lt;type&gt;400&lt;/type&gt;&lt;number&gt;11&lt;/number&gt;&lt;doi&gt;10.1038/nrg2455&lt;/doi&gt;&lt;institution&gt;Sloan-Kettering Institute, Department of Developmental Biology, 521 Rockefeller Research Labs, 1275 York Avenue, Box 252, New York, New York 10065, USA.&lt;/institution&gt;&lt;startpage&gt;831&lt;/startpage&gt;&lt;endpage&gt;842&lt;/endpage&gt;&lt;bundle&gt;&lt;publication&gt;&lt;title&gt;Nature Reviews Genetics&lt;/title&gt;&lt;uuid&gt;49B77B54-1F0C-49C6-B9BB-0C4290C1EE77&lt;/uuid&gt;&lt;subtype&gt;-100&lt;/subtype&gt;&lt;publisher&gt;Nature Publishing Group&lt;/publisher&gt;&lt;type&gt;-100&lt;/type&gt;&lt;/publication&gt;&lt;/bundle&gt;&lt;authors&gt;&lt;author&gt;&lt;lastName&gt;Flynt&lt;/lastName&gt;&lt;firstName&gt;Alex&lt;/firstName&gt;&lt;middleNames&gt;S&lt;/middleNames&gt;&lt;/author&gt;&lt;author&gt;&lt;lastName&gt;Lai&lt;/lastName&gt;&lt;firstName&gt;Eric&lt;/firstName&gt;&lt;middleNames&gt;C&lt;/middleNames&gt;&lt;/author&gt;&lt;/authors&gt;&lt;/publication&gt;&lt;/publications&gt;&lt;cites&gt;&lt;/cites&gt;&lt;/citation&gt;</w:instrText>
      </w:r>
      <w:r w:rsidRPr="00B54344">
        <w:fldChar w:fldCharType="separate"/>
      </w:r>
      <w:r w:rsidR="00095567">
        <w:rPr>
          <w:rFonts w:eastAsiaTheme="minorEastAsia"/>
          <w:lang w:val="en-US"/>
        </w:rPr>
        <w:t>(Flynt &amp; Lai, 2008)</w:t>
      </w:r>
      <w:r w:rsidRPr="00B54344">
        <w:fldChar w:fldCharType="end"/>
      </w:r>
      <w:r w:rsidRPr="00B54344">
        <w:t xml:space="preserve">. Originally discovered in nematodes they are now known to be key regulators of gene expression with </w:t>
      </w:r>
      <w:r w:rsidR="00F6269A">
        <w:t>48,860</w:t>
      </w:r>
      <w:r w:rsidRPr="00B54344">
        <w:t xml:space="preserve"> mature sequences </w:t>
      </w:r>
      <w:r w:rsidR="00F6269A">
        <w:t xml:space="preserve">across 271 organisms </w:t>
      </w:r>
      <w:r w:rsidRPr="00B54344">
        <w:t xml:space="preserve">reported </w:t>
      </w:r>
      <w:r w:rsidR="00F6269A">
        <w:t>in</w:t>
      </w:r>
      <w:r w:rsidRPr="00B54344">
        <w:t xml:space="preserve"> </w:t>
      </w:r>
      <w:proofErr w:type="spellStart"/>
      <w:r w:rsidRPr="00B54344">
        <w:t>miRBase</w:t>
      </w:r>
      <w:proofErr w:type="spellEnd"/>
      <w:r w:rsidRPr="00B54344">
        <w:t xml:space="preserve"> release 2</w:t>
      </w:r>
      <w:r w:rsidR="00F6269A">
        <w:t xml:space="preserve">2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&lt;citation&gt;&lt;priority&gt;47&lt;/priority&gt;&lt;uuid&gt;097CAA9B-E56D-404D-8AD4-8F357C89D631&lt;/uuid&gt;&lt;publications&gt;&lt;publication&gt;&lt;subtype&gt;400&lt;/subtype&gt;&lt;title&gt;miRBase: from microRNA sequences to function.&lt;/title&gt;&lt;url&gt;https://academic.oup.com/nar/article/47/D1/D155/5179337&lt;/url&gt;&lt;volume&gt;47&lt;/volume&gt;&lt;publication_date&gt;99201901081200000000222000&lt;/publication_date&gt;&lt;uuid&gt;B8E8BC41-4958-41FC-BC49-A7D14C981698&lt;/uuid&gt;&lt;type&gt;400&lt;/type&gt;&lt;accepted_date&gt;99201810251200000000222000&lt;/accepted_date&gt;&lt;number&gt;D1&lt;/number&gt;&lt;submission_date&gt;99201809151200000000222000&lt;/submission_date&gt;&lt;doi&gt;10.1093/nar/gky1141&lt;/doi&gt;&lt;institution&gt;School of Biological Sciences, Faculty of Biology, Medicine and Health, University of Manchester, Manchester M13 9PT, UK.&lt;/institution&gt;&lt;startpage&gt;D155&lt;/startpage&gt;&lt;endpage&gt;D162&lt;/endpage&gt;&lt;bundle&gt;&lt;publication&gt;&lt;title&gt;Nucleic acids research&lt;/title&gt;&lt;uuid&gt;9B359A5F-A417-47A8-BF20-92FA2490511E&lt;/uuid&gt;&lt;subtype&gt;-100&lt;/subtype&gt;&lt;type&gt;-100&lt;/type&gt;&lt;/publication&gt;&lt;/bundle&gt;&lt;authors&gt;&lt;author&gt;&lt;lastName&gt;Kozomara&lt;/lastName&gt;&lt;firstName&gt;Ana&lt;/firstName&gt;&lt;/author&gt;&lt;author&gt;&lt;lastName&gt;Birgaoanu&lt;/lastName&gt;&lt;firstName&gt;Maria&lt;/firstName&gt;&lt;/author&gt;&lt;author&gt;&lt;lastName&gt;Griffiths-Jones&lt;/lastName&gt;&lt;firstName&gt;Sam&lt;/firstName&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w:t>
      </w:r>
      <w:proofErr w:type="spellStart"/>
      <w:r w:rsidR="00095567">
        <w:rPr>
          <w:rFonts w:eastAsiaTheme="minorEastAsia"/>
          <w:lang w:val="en-US"/>
        </w:rPr>
        <w:t>Kozomara</w:t>
      </w:r>
      <w:proofErr w:type="spellEnd"/>
      <w:r w:rsidR="00095567">
        <w:rPr>
          <w:rFonts w:eastAsiaTheme="minorEastAsia"/>
          <w:lang w:val="en-US"/>
        </w:rPr>
        <w:t xml:space="preserve">, </w:t>
      </w:r>
      <w:proofErr w:type="spellStart"/>
      <w:r w:rsidR="00095567">
        <w:rPr>
          <w:rFonts w:eastAsiaTheme="minorEastAsia"/>
          <w:lang w:val="en-US"/>
        </w:rPr>
        <w:t>Birgaoanu</w:t>
      </w:r>
      <w:proofErr w:type="spellEnd"/>
      <w:r w:rsidR="00095567">
        <w:rPr>
          <w:rFonts w:eastAsiaTheme="minorEastAsia"/>
          <w:lang w:val="en-US"/>
        </w:rPr>
        <w:t>, &amp; Griffiths-Jones, 2019)</w:t>
      </w:r>
      <w:r w:rsidR="00095567">
        <w:rPr>
          <w:rFonts w:eastAsiaTheme="minorEastAsia"/>
          <w:color w:val="auto"/>
          <w:bdr w:val="none" w:sz="0" w:space="0" w:color="auto"/>
          <w:lang w:val="en-US"/>
        </w:rPr>
        <w:fldChar w:fldCharType="end"/>
      </w:r>
      <w:r w:rsidR="00F6269A">
        <w:t xml:space="preserve">. </w:t>
      </w:r>
      <w:r w:rsidRPr="00B54344">
        <w:t xml:space="preserve"> </w:t>
      </w:r>
    </w:p>
    <w:p w14:paraId="19D8805E" w14:textId="675CFA31" w:rsidR="00B54344" w:rsidRDefault="00B54344" w:rsidP="00B54344">
      <w:pPr>
        <w:pStyle w:val="Body"/>
      </w:pPr>
      <w:r w:rsidRPr="00B54344">
        <w:t xml:space="preserve">MicroRNAs are synthesised from DNA by two distinct pathways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&lt;citation&gt;&lt;priority&gt;48&lt;/priority&gt;&lt;uuid&gt;C2037EBB-25A1-45CF-8B38-1DE2183D1492&lt;/uuid&gt;&lt;publications&gt;&lt;publication&gt;&lt;subtype&gt;400&lt;/subtype&gt;&lt;title&gt;Many roads to maturity: microRNA biogenesis pathways and their regulation&lt;/title&gt;&lt;url&gt;http://www.nature.com/doifinder/10.1038/ncb0309-228&lt;/url&gt;&lt;volume&gt;11&lt;/volume&gt;&lt;publication_date&gt;99200903001200000000220000&lt;/publication_date&gt;&lt;uuid&gt;9D7C33C2-8448-4ECD-9564-D30C5D2AD14D&lt;/uuid&gt;&lt;type&gt;400&lt;/type&gt;&lt;number&gt;3&lt;/number&gt;&lt;doi&gt;10.1038/ncb0309-228&lt;/doi&gt;&lt;startpage&gt;228&lt;/startpage&gt;&lt;endpage&gt;234&lt;/endpage&gt;&lt;bundle&gt;&lt;publication&gt;&lt;title&gt;Nature Cell Biology&lt;/title&gt;&lt;uuid&gt;6827744B-204D-41F3-8F8E-F1FB530CCE3B&lt;/uuid&gt;&lt;subtype&gt;-100&lt;/subtype&gt;&lt;type&gt;-100&lt;/type&gt;&lt;/publication&gt;&lt;/bundle&gt;&lt;authors&gt;&lt;author&gt;&lt;lastName&gt;Winter&lt;/lastName&gt;&lt;firstName&gt;Julia&lt;/firstName&gt;&lt;/author&gt;&lt;author&gt;&lt;lastName&gt;Jung&lt;/lastName&gt;&lt;firstName&gt;Stephanie&lt;/firstName&gt;&lt;/author&gt;&lt;author&gt;&lt;lastName&gt;Keller&lt;/lastName&gt;&lt;firstName&gt;Sarina&lt;/firstName&gt;&lt;/author&gt;&lt;author&gt;&lt;lastName&gt;Gregory&lt;/lastName&gt;&lt;firstName&gt;Richard&lt;/firstName&gt;&lt;middleNames&gt;I&lt;/middleNames&gt;&lt;/author&gt;&lt;author&gt;&lt;lastName&gt;Diederichs&lt;/lastName&gt;&lt;firstName&gt;Sven&lt;/firstName&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 xml:space="preserve">(Winter, Jung, Keller, Gregory, &amp; </w:t>
      </w:r>
      <w:proofErr w:type="spellStart"/>
      <w:r w:rsidR="00095567">
        <w:rPr>
          <w:rFonts w:eastAsiaTheme="minorEastAsia"/>
          <w:lang w:val="en-US"/>
        </w:rPr>
        <w:t>Diederichs</w:t>
      </w:r>
      <w:proofErr w:type="spellEnd"/>
      <w:r w:rsidR="00095567">
        <w:rPr>
          <w:rFonts w:eastAsiaTheme="minorEastAsia"/>
          <w:lang w:val="en-US"/>
        </w:rPr>
        <w:t>, 2009)</w:t>
      </w:r>
      <w:r w:rsidR="00095567">
        <w:rPr>
          <w:rFonts w:eastAsiaTheme="minorEastAsia"/>
          <w:color w:val="auto"/>
          <w:bdr w:val="none" w:sz="0" w:space="0" w:color="auto"/>
          <w:lang w:val="en-US"/>
        </w:rPr>
        <w:fldChar w:fldCharType="end"/>
      </w:r>
      <w:r w:rsidR="00682222" w:rsidRPr="00682222">
        <w:rPr>
          <w:rFonts w:cs="Times New Roman"/>
        </w:rPr>
        <w:t xml:space="preserve"> </w:t>
      </w:r>
      <w:r w:rsidRPr="00682222">
        <w:t>In</w:t>
      </w:r>
      <w:r w:rsidRPr="00B54344">
        <w:t xml:space="preserve"> the first pathway an initial larger primary miRNA (</w:t>
      </w:r>
      <w:proofErr w:type="spellStart"/>
      <w:r w:rsidRPr="00B54344">
        <w:t>pri</w:t>
      </w:r>
      <w:proofErr w:type="spellEnd"/>
      <w:r w:rsidRPr="00B54344">
        <w:t xml:space="preserve">-miRNA) transcript is transcribed in the nucleus. The </w:t>
      </w:r>
      <w:proofErr w:type="spellStart"/>
      <w:r w:rsidRPr="00B54344">
        <w:t>pri</w:t>
      </w:r>
      <w:proofErr w:type="spellEnd"/>
      <w:r w:rsidRPr="00B54344">
        <w:t xml:space="preserve">-miRNA has an average size of 33bp in humans and contains a hairpin stem and terminal loop with both 5’ and 3’ single stranded flanking regions </w:t>
      </w:r>
      <w:r w:rsidRPr="00B54344">
        <w:fldChar w:fldCharType="begin"/>
      </w:r>
      <w:r w:rsidR="004E19A5">
        <w:instrText xml:space="preserve"> ADDIN PAPERS2_CITATIONS &lt;citation&gt;&lt;priority&gt;0&lt;/priority&gt;&lt;uuid&gt;A5CD13EE-EB25-48DE-94B1-FBC6D212EE39&lt;/uuid&gt;&lt;publications&gt;&lt;publication&gt;&lt;subtype&gt;400&lt;/subtype&gt;&lt;title&gt;Many roads to maturity: microRNA biogenesis pathways and their regulation&lt;/title&gt;&lt;url&gt;http://www.nature.com/doifinder/10.1038/ncb0309-228&lt;/url&gt;&lt;volume&gt;11&lt;/volume&gt;&lt;publication_date&gt;99200903001200000000220000&lt;/publication_date&gt;&lt;uuid&gt;9D7C33C2-8448-4ECD-9564-D30C5D2AD14D&lt;/uuid&gt;&lt;type&gt;400&lt;/type&gt;&lt;number&gt;3&lt;/number&gt;&lt;doi&gt;10.1038/ncb0309-228&lt;/doi&gt;&lt;startpage&gt;228&lt;/startpage&gt;&lt;endpage&gt;234&lt;/endpage&gt;&lt;bundle&gt;&lt;publication&gt;&lt;title&gt;Nature Cell Biology&lt;/title&gt;&lt;uuid&gt;6827744B-204D-41F3-8F8E-F1FB530CCE3B&lt;/uuid&gt;&lt;subtype&gt;-100&lt;/subtype&gt;&lt;type&gt;-100&lt;/type&gt;&lt;/publication&gt;&lt;/bundle&gt;&lt;authors&gt;&lt;author&gt;&lt;lastName&gt;Winter&lt;/lastName&gt;&lt;firstName&gt;Julia&lt;/firstName&gt;&lt;/author&gt;&lt;author&gt;&lt;lastName&gt;Jung&lt;/lastName&gt;&lt;firstName&gt;Stephanie&lt;/firstName&gt;&lt;/author&gt;&lt;author&gt;&lt;lastName&gt;Keller&lt;/lastName&gt;&lt;firstName&gt;Sarina&lt;/firstName&gt;&lt;/author&gt;&lt;author&gt;&lt;lastName&gt;Gregory&lt;/lastName&gt;&lt;firstName&gt;Richard&lt;/firstName&gt;&lt;middleNames&gt;I&lt;/middleNames&gt;&lt;/author&gt;&lt;author&gt;&lt;lastName&gt;Diederichs&lt;/lastName&gt;&lt;firstName&gt;Sven&lt;/firstName&gt;&lt;/author&gt;&lt;/authors&gt;&lt;/publication&gt;&lt;/publications&gt;&lt;cites&gt;&lt;/cites&gt;&lt;/citation&gt;</w:instrText>
      </w:r>
      <w:r w:rsidRPr="00B54344">
        <w:fldChar w:fldCharType="separate"/>
      </w:r>
      <w:r w:rsidR="00095567">
        <w:rPr>
          <w:rFonts w:eastAsiaTheme="minorEastAsia"/>
          <w:lang w:val="en-US"/>
        </w:rPr>
        <w:t>(Winter et al., 2009)</w:t>
      </w:r>
      <w:r w:rsidRPr="00B54344">
        <w:fldChar w:fldCharType="end"/>
      </w:r>
      <w:r w:rsidRPr="00B54344">
        <w:t xml:space="preserve">. The </w:t>
      </w:r>
      <w:proofErr w:type="spellStart"/>
      <w:r w:rsidRPr="00B54344">
        <w:t>pri</w:t>
      </w:r>
      <w:proofErr w:type="spellEnd"/>
      <w:r w:rsidRPr="00B54344">
        <w:t xml:space="preserve">-miRNA is then cleaved 11bp from the start of the single stranded flanking regions by a complex of the RNase III enzyme Drosha and DGCR8 producing a pre-miRNA </w:t>
      </w:r>
      <w:r w:rsidRPr="00B54344">
        <w:fldChar w:fldCharType="begin"/>
      </w:r>
      <w:r w:rsidR="004E19A5">
        <w:instrText xml:space="preserve"> ADDIN PAPERS2_CITATIONS &lt;citation&gt;&lt;priority&gt;0&lt;/priority&gt;&lt;uuid&gt;BF13E924-83D2-4372-A72F-71AC6ED0E7AA&lt;/uuid&gt;&lt;publications&gt;&lt;publication&gt;&lt;subtype&gt;400&lt;/subtype&gt;&lt;title&gt;Many roads to maturity: microRNA biogenesis pathways and their regulation&lt;/title&gt;&lt;url&gt;http://www.nature.com/doifinder/10.1038/ncb0309-228&lt;/url&gt;&lt;volume&gt;11&lt;/volume&gt;&lt;publication_date&gt;99200903001200000000220000&lt;/publication_date&gt;&lt;uuid&gt;9D7C33C2-8448-4ECD-9564-D30C5D2AD14D&lt;/uuid&gt;&lt;type&gt;400&lt;/type&gt;&lt;number&gt;3&lt;/number&gt;&lt;doi&gt;10.1038/ncb0309-228&lt;/doi&gt;&lt;startpage&gt;228&lt;/startpage&gt;&lt;endpage&gt;234&lt;/endpage&gt;&lt;bundle&gt;&lt;publication&gt;&lt;title&gt;Nature Cell Biology&lt;/title&gt;&lt;uuid&gt;6827744B-204D-41F3-8F8E-F1FB530CCE3B&lt;/uuid&gt;&lt;subtype&gt;-100&lt;/subtype&gt;&lt;type&gt;-100&lt;/type&gt;&lt;/publication&gt;&lt;/bundle&gt;&lt;authors&gt;&lt;author&gt;&lt;lastName&gt;Winter&lt;/lastName&gt;&lt;firstName&gt;Julia&lt;/firstName&gt;&lt;/author&gt;&lt;author&gt;&lt;lastName&gt;Jung&lt;/lastName&gt;&lt;firstName&gt;Stephanie&lt;/firstName&gt;&lt;/author&gt;&lt;author&gt;&lt;lastName&gt;Keller&lt;/lastName&gt;&lt;firstName&gt;Sarina&lt;/firstName&gt;&lt;/author&gt;&lt;author&gt;&lt;lastName&gt;Gregory&lt;/lastName&gt;&lt;firstName&gt;Richard&lt;/firstName&gt;&lt;middleNames&gt;I&lt;/middleNames&gt;&lt;/author&gt;&lt;author&gt;&lt;lastName&gt;Diederichs&lt;/lastName&gt;&lt;firstName&gt;Sven&lt;/firstName&gt;&lt;/author&gt;&lt;/authors&gt;&lt;/publication&gt;&lt;/publications&gt;&lt;cites&gt;&lt;/cites&gt;&lt;/citation&gt;</w:instrText>
      </w:r>
      <w:r w:rsidRPr="00B54344">
        <w:fldChar w:fldCharType="separate"/>
      </w:r>
      <w:r w:rsidR="00095567">
        <w:rPr>
          <w:rFonts w:eastAsiaTheme="minorEastAsia"/>
          <w:lang w:val="en-US"/>
        </w:rPr>
        <w:t>(Winter et al., 2009)</w:t>
      </w:r>
      <w:r w:rsidRPr="00B54344">
        <w:fldChar w:fldCharType="end"/>
      </w:r>
      <w:r w:rsidRPr="00B54344">
        <w:t xml:space="preserve">. In the second pathway Drosha/DGCR8 processing of a </w:t>
      </w:r>
      <w:proofErr w:type="spellStart"/>
      <w:r w:rsidRPr="00B54344">
        <w:t>pri</w:t>
      </w:r>
      <w:proofErr w:type="spellEnd"/>
      <w:r w:rsidRPr="00B54344">
        <w:t xml:space="preserve">-miRNA is not necessary. Known as mirtrons, the </w:t>
      </w:r>
      <w:r w:rsidRPr="00B54344">
        <w:lastRenderedPageBreak/>
        <w:t>pre-miRNA is directly synthesised from introns during mRNA splicing</w:t>
      </w:r>
      <w:r>
        <w:t xml:space="preserve"> </w:t>
      </w:r>
      <w:r w:rsidRPr="00B54344">
        <w:fldChar w:fldCharType="begin"/>
      </w:r>
      <w:r w:rsidR="004E19A5">
        <w:instrText xml:space="preserve"> ADDIN PAPERS2_CITATIONS &lt;citation&gt;&lt;priority&gt;0&lt;/priority&gt;&lt;uuid&gt;9C317035-F07F-4E90-83C8-92BCCEB318EE&lt;/uuid&gt;&lt;publications&gt;&lt;publication&gt;&lt;subtype&gt;400&lt;/subtype&gt;&lt;publisher&gt;NIH Public Access&lt;/publisher&gt;&lt;title&gt;Intronic microRNA precursors that bypass Drosha processing&lt;/title&gt;&lt;url&gt;http://www.nature.com/doifinder/10.1038/nature05983&lt;/url&gt;&lt;volume&gt;448&lt;/volume&gt;&lt;publication_date&gt;99200707051200000000222000&lt;/publication_date&gt;&lt;uuid&gt;9F8F5101-524F-4C69-AF0E-10A95E49EA34&lt;/uuid&gt;&lt;type&gt;400&lt;/type&gt;&lt;accepted_date&gt;99200706041200000000222000&lt;/accepted_date&gt;&lt;number&gt;7149&lt;/number&gt;&lt;submission_date&gt;99200704021200000000222000&lt;/submission_date&gt;&lt;doi&gt;10.1038/nature05983&lt;/doi&gt;&lt;institution&gt;Whitehead Institute for Biomedical Research, 9 Cambridge Center, Cambridge, Massachusetts 02142, USA.&lt;/institution&gt;&lt;startpage&gt;83&lt;/startpage&gt;&lt;endpage&gt;86&lt;/endpage&gt;&lt;bundle&gt;&lt;publication&gt;&lt;title&gt;Nature&lt;/title&gt;&lt;uuid&gt;946B31F2-0644-4F82-8B52-BDA284907F57&lt;/uuid&gt;&lt;subtype&gt;-100&lt;/subtype&gt;&lt;publisher&gt;NIH Public Access&lt;/publisher&gt;&lt;type&gt;-100&lt;/type&gt;&lt;/publication&gt;&lt;/bundle&gt;&lt;authors&gt;&lt;author&gt;&lt;lastName&gt;Ruby&lt;/lastName&gt;&lt;firstName&gt;J&lt;/firstName&gt;&lt;middleNames&gt;Graham&lt;/middleNames&gt;&lt;/author&gt;&lt;author&gt;&lt;lastName&gt;Jan&lt;/lastName&gt;&lt;firstName&gt;Calvin&lt;/firstName&gt;&lt;middleNames&gt;H&lt;/middleNames&gt;&lt;/author&gt;&lt;author&gt;&lt;lastName&gt;Bartel&lt;/lastName&gt;&lt;firstName&gt;David&lt;/firstName&gt;&lt;middleNames&gt;P&lt;/middleNames&gt;&lt;/author&gt;&lt;/authors&gt;&lt;/publication&gt;&lt;/publications&gt;&lt;cites&gt;&lt;/cites&gt;&lt;/citation&gt;</w:instrText>
      </w:r>
      <w:r w:rsidRPr="00B54344">
        <w:fldChar w:fldCharType="separate"/>
      </w:r>
      <w:r w:rsidR="00095567">
        <w:rPr>
          <w:rFonts w:eastAsiaTheme="minorEastAsia"/>
          <w:lang w:val="en-US"/>
        </w:rPr>
        <w:t xml:space="preserve">(Ruby, Jan, &amp; </w:t>
      </w:r>
      <w:proofErr w:type="spellStart"/>
      <w:r w:rsidR="00095567">
        <w:rPr>
          <w:rFonts w:eastAsiaTheme="minorEastAsia"/>
          <w:lang w:val="en-US"/>
        </w:rPr>
        <w:t>Bartel</w:t>
      </w:r>
      <w:proofErr w:type="spellEnd"/>
      <w:r w:rsidR="00095567">
        <w:rPr>
          <w:rFonts w:eastAsiaTheme="minorEastAsia"/>
          <w:lang w:val="en-US"/>
        </w:rPr>
        <w:t>, 2007)</w:t>
      </w:r>
      <w:r w:rsidRPr="00B54344">
        <w:fldChar w:fldCharType="end"/>
      </w:r>
      <w:r w:rsidRPr="00B54344">
        <w:t xml:space="preserve">. Pre-miRNAs from either pathway are then transported from the nucleus to the cytoplasm by Exportin-5, and are subsequently cleaved by the RNase III enzyme Dicer </w:t>
      </w:r>
      <w:r w:rsidRPr="00B54344">
        <w:fldChar w:fldCharType="begin"/>
      </w:r>
      <w:r w:rsidR="004E19A5">
        <w:instrText xml:space="preserve"> ADDIN PAPERS2_CITATIONS &lt;citation&gt;&lt;priority&gt;0&lt;/priority&gt;&lt;uuid&gt;67215E46-DA47-4134-8EBE-D223A2C3B998&lt;/uuid&gt;&lt;publications&gt;&lt;publication&gt;&lt;subtype&gt;400&lt;/subtype&gt;&lt;title&gt;Many roads to maturity: microRNA biogenesis pathways and their regulation&lt;/title&gt;&lt;url&gt;http://www.nature.com/doifinder/10.1038/ncb0309-228&lt;/url&gt;&lt;volume&gt;11&lt;/volume&gt;&lt;publication_date&gt;99200903001200000000220000&lt;/publication_date&gt;&lt;uuid&gt;9D7C33C2-8448-4ECD-9564-D30C5D2AD14D&lt;/uuid&gt;&lt;type&gt;400&lt;/type&gt;&lt;number&gt;3&lt;/number&gt;&lt;doi&gt;10.1038/ncb0309-228&lt;/doi&gt;&lt;startpage&gt;228&lt;/startpage&gt;&lt;endpage&gt;234&lt;/endpage&gt;&lt;bundle&gt;&lt;publication&gt;&lt;title&gt;Nature Cell Biology&lt;/title&gt;&lt;uuid&gt;6827744B-204D-41F3-8F8E-F1FB530CCE3B&lt;/uuid&gt;&lt;subtype&gt;-100&lt;/subtype&gt;&lt;type&gt;-100&lt;/type&gt;&lt;/publication&gt;&lt;/bundle&gt;&lt;authors&gt;&lt;author&gt;&lt;lastName&gt;Winter&lt;/lastName&gt;&lt;firstName&gt;Julia&lt;/firstName&gt;&lt;/author&gt;&lt;author&gt;&lt;lastName&gt;Jung&lt;/lastName&gt;&lt;firstName&gt;Stephanie&lt;/firstName&gt;&lt;/author&gt;&lt;author&gt;&lt;lastName&gt;Keller&lt;/lastName&gt;&lt;firstName&gt;Sarina&lt;/firstName&gt;&lt;/author&gt;&lt;author&gt;&lt;lastName&gt;Gregory&lt;/lastName&gt;&lt;firstName&gt;Richard&lt;/firstName&gt;&lt;middleNames&gt;I&lt;/middleNames&gt;&lt;/author&gt;&lt;author&gt;&lt;lastName&gt;Diederichs&lt;/lastName&gt;&lt;firstName&gt;Sven&lt;/firstName&gt;&lt;/author&gt;&lt;/authors&gt;&lt;/publication&gt;&lt;/publications&gt;&lt;cites&gt;&lt;/cites&gt;&lt;/citation&gt;</w:instrText>
      </w:r>
      <w:r w:rsidRPr="00B54344">
        <w:fldChar w:fldCharType="separate"/>
      </w:r>
      <w:r w:rsidR="00095567">
        <w:rPr>
          <w:rFonts w:eastAsiaTheme="minorEastAsia"/>
          <w:lang w:val="en-US"/>
        </w:rPr>
        <w:t>(Winter et al., 2009)</w:t>
      </w:r>
      <w:r w:rsidRPr="00B54344">
        <w:fldChar w:fldCharType="end"/>
      </w:r>
      <w:r w:rsidRPr="00B54344">
        <w:t xml:space="preserve">. Dicer cleavage yields a mature double stranded </w:t>
      </w:r>
      <w:proofErr w:type="spellStart"/>
      <w:r w:rsidRPr="00B54344">
        <w:t>miRNA:miRNA</w:t>
      </w:r>
      <w:proofErr w:type="spellEnd"/>
      <w:r w:rsidRPr="00B54344">
        <w:t xml:space="preserve"> duplex containing a guide and passenger strand </w:t>
      </w:r>
      <w:r w:rsidRPr="00B54344">
        <w:fldChar w:fldCharType="begin"/>
      </w:r>
      <w:r w:rsidR="004E19A5">
        <w:instrText xml:space="preserve"> ADDIN PAPERS2_CITATIONS &lt;citation&gt;&lt;priority&gt;0&lt;/priority&gt;&lt;uuid&gt;517DE3BB-8B13-4D06-B483-7919D9532A07&lt;/uuid&gt;&lt;publications&gt;&lt;publication&gt;&lt;subtype&gt;400&lt;/subtype&gt;&lt;publisher&gt;NIH Public Access&lt;/publisher&gt;&lt;title&gt;The Mirtron Pathway Generates microRNA-Class Regulatory RNAs in Drosophila&lt;/title&gt;&lt;url&gt;http://linkinghub.elsevier.com/retrieve/pii/S0092867407007957&lt;/url&gt;&lt;volume&gt;130&lt;/volume&gt;&lt;revision_date&gt;99200706061200000000222000&lt;/revision_date&gt;&lt;publication_date&gt;99200707131200000000222000&lt;/publication_date&gt;&lt;uuid&gt;8C211C27-7DA3-401F-BB87-07B4B858C261&lt;/uuid&gt;&lt;type&gt;400&lt;/type&gt;&lt;accepted_date&gt;99200706201200000000222000&lt;/accepted_date&gt;&lt;number&gt;1&lt;/number&gt;&lt;submission_date&gt;99200705211200000000222000&lt;/submission_date&gt;&lt;doi&gt;10.1016/j.cell.2007.06.028&lt;/doi&gt;&lt;institution&gt;Memorial Sloan-Kettering Cancer Center, Department of Developmental Biology, 1275 York Ave, Box 252, New York, NY 10021, USA.&lt;/institution&gt;&lt;startpage&gt;89&lt;/startpage&gt;&lt;endpage&gt;100&lt;/endpage&gt;&lt;bundle&gt;&lt;publication&gt;&lt;title&gt;Cell&lt;/title&gt;&lt;uuid&gt;B20B40D2-1DB6-4891-9792-D2BB703AC941&lt;/uuid&gt;&lt;subtype&gt;-100&lt;/subtype&gt;&lt;publisher&gt;Elsevier&lt;/publisher&gt;&lt;type&gt;-100&lt;/type&gt;&lt;/publication&gt;&lt;/bundle&gt;&lt;authors&gt;&lt;author&gt;&lt;lastName&gt;Okamura&lt;/lastName&gt;&lt;firstName&gt;Katsutomo&lt;/firstName&gt;&lt;/author&gt;&lt;author&gt;&lt;lastName&gt;Hagen&lt;/lastName&gt;&lt;firstName&gt;Joshua&lt;/firstName&gt;&lt;middleNames&gt;W&lt;/middleNames&gt;&lt;/author&gt;&lt;author&gt;&lt;lastName&gt;Duan&lt;/lastName&gt;&lt;firstName&gt;Hong&lt;/firstName&gt;&lt;/author&gt;&lt;author&gt;&lt;lastName&gt;Tyler&lt;/lastName&gt;&lt;firstName&gt;David&lt;/firstName&gt;&lt;middleNames&gt;M&lt;/middleNames&gt;&lt;/author&gt;&lt;author&gt;&lt;lastName&gt;Lai&lt;/lastName&gt;&lt;firstName&gt;Eric&lt;/firstName&gt;&lt;middleNames&gt;C&lt;/middleNames&gt;&lt;/author&gt;&lt;/authors&gt;&lt;/publication&gt;&lt;/publications&gt;&lt;cites&gt;&lt;/cites&gt;&lt;/citation&gt;</w:instrText>
      </w:r>
      <w:r w:rsidRPr="00B54344">
        <w:fldChar w:fldCharType="separate"/>
      </w:r>
      <w:r w:rsidR="00095567">
        <w:rPr>
          <w:rFonts w:eastAsiaTheme="minorEastAsia"/>
          <w:lang w:val="en-US"/>
        </w:rPr>
        <w:t>(Okamura, Hagen, Duan, Tyler, &amp; Lai, 2007)</w:t>
      </w:r>
      <w:r w:rsidRPr="00B54344">
        <w:fldChar w:fldCharType="end"/>
      </w:r>
      <w:r w:rsidRPr="00B54344">
        <w:t xml:space="preserve">. Helicases separate the two strands and the guide miRNA is loaded with </w:t>
      </w:r>
      <w:proofErr w:type="spellStart"/>
      <w:r w:rsidRPr="00B54344">
        <w:t>A</w:t>
      </w:r>
      <w:r w:rsidR="00A96F22">
        <w:t>r</w:t>
      </w:r>
      <w:r w:rsidRPr="00B54344">
        <w:t>gonaute</w:t>
      </w:r>
      <w:proofErr w:type="spellEnd"/>
      <w:r w:rsidRPr="00B54344">
        <w:t xml:space="preserve"> (A</w:t>
      </w:r>
      <w:r w:rsidR="009E6952">
        <w:t>GO</w:t>
      </w:r>
      <w:r w:rsidRPr="00B54344">
        <w:t xml:space="preserve">) proteins and incorporated into the RNA-induced- silencing complex (RISC), whilst the passenger strand is degraded </w:t>
      </w:r>
      <w:r w:rsidRPr="00B54344">
        <w:fldChar w:fldCharType="begin"/>
      </w:r>
      <w:r w:rsidR="004E19A5">
        <w:instrText xml:space="preserve"> ADDIN PAPERS2_CITATIONS &lt;citation&gt;&lt;priority&gt;0&lt;/priority&gt;&lt;uuid&gt;A7A36495-D15D-4525-8CE6-2441CA3D83C8&lt;/uuid&gt;&lt;publications&gt;&lt;publication&gt;&lt;subtype&gt;400&lt;/subtype&gt;&lt;title&gt;MicroRNAs in Pulmonary Arterial Hypertension&lt;/title&gt;&lt;url&gt;http://www.atsjournals.org/doi/abs/10.1165/rcmb.2014-0166TR&lt;/url&gt;&lt;volume&gt;52&lt;/volume&gt;&lt;publication_date&gt;99201502001200000000220000&lt;/publication_date&gt;&lt;uuid&gt;568C0888-AACB-43E0-9C44-A4A233AD79ED&lt;/uuid&gt;&lt;type&gt;400&lt;/type&gt;&lt;number&gt;2&lt;/number&gt;&lt;doi&gt;10.1165/rcmb.2014-0166TR&lt;/doi&gt;&lt;startpage&gt;139&lt;/startpage&gt;&lt;endpage&gt;151&lt;/endpage&gt;&lt;bundle&gt;&lt;publication&gt;&lt;title&gt;American journal of respiratory cell and molecular biology&lt;/title&gt;&lt;uuid&gt;35C3D784-91BA-4155-8DD0-6FF07086BE5B&lt;/uuid&gt;&lt;subtype&gt;-100&lt;/subtype&gt;&lt;type&gt;-100&lt;/type&gt;&lt;/publication&gt;&lt;/bundle&gt;&lt;authors&gt;&lt;author&gt;&lt;lastName&gt;Zhou&lt;/lastName&gt;&lt;firstName&gt;Guofei&lt;/firstName&gt;&lt;/author&gt;&lt;author&gt;&lt;lastName&gt;Chen&lt;/lastName&gt;&lt;firstName&gt;Tianji&lt;/firstName&gt;&lt;/author&gt;&lt;author&gt;&lt;lastName&gt;Raj&lt;/lastName&gt;&lt;firstName&gt;J&lt;/firstName&gt;&lt;middleNames&gt;Usha&lt;/middleNames&gt;&lt;/author&gt;&lt;/authors&gt;&lt;/publication&gt;&lt;/publications&gt;&lt;cites&gt;&lt;/cites&gt;&lt;/citation&gt;</w:instrText>
      </w:r>
      <w:r w:rsidRPr="00B54344">
        <w:fldChar w:fldCharType="separate"/>
      </w:r>
      <w:r w:rsidR="00095567">
        <w:rPr>
          <w:rFonts w:eastAsiaTheme="minorEastAsia"/>
          <w:lang w:val="en-US"/>
        </w:rPr>
        <w:t>(Zhou, Chen, &amp; Raj, 2015)</w:t>
      </w:r>
      <w:r w:rsidRPr="00B54344">
        <w:fldChar w:fldCharType="end"/>
      </w:r>
      <w:r w:rsidRPr="00B54344">
        <w:t xml:space="preserve">, </w:t>
      </w:r>
      <w:r w:rsidRPr="00B54344">
        <w:fldChar w:fldCharType="begin"/>
      </w:r>
      <w:r w:rsidR="004E19A5">
        <w:instrText xml:space="preserve"> ADDIN PAPERS2_CITATIONS &lt;citation&gt;&lt;priority&gt;0&lt;/priority&gt;&lt;uuid&gt;2C24AF90-D5CD-4521-A7C8-5DC8572FE73F&lt;/uuid&gt;&lt;publications&gt;&lt;publication&gt;&lt;subtype&gt;400&lt;/subtype&gt;&lt;title&gt;Many roads to maturity: microRNA biogenesis pathways and their regulation&lt;/title&gt;&lt;url&gt;http://www.nature.com/doifinder/10.1038/ncb0309-228&lt;/url&gt;&lt;volume&gt;11&lt;/volume&gt;&lt;publication_date&gt;99200903001200000000220000&lt;/publication_date&gt;&lt;uuid&gt;9D7C33C2-8448-4ECD-9564-D30C5D2AD14D&lt;/uuid&gt;&lt;type&gt;400&lt;/type&gt;&lt;number&gt;3&lt;/number&gt;&lt;doi&gt;10.1038/ncb0309-228&lt;/doi&gt;&lt;startpage&gt;228&lt;/startpage&gt;&lt;endpage&gt;234&lt;/endpage&gt;&lt;bundle&gt;&lt;publication&gt;&lt;title&gt;Nature Cell Biology&lt;/title&gt;&lt;uuid&gt;6827744B-204D-41F3-8F8E-F1FB530CCE3B&lt;/uuid&gt;&lt;subtype&gt;-100&lt;/subtype&gt;&lt;type&gt;-100&lt;/type&gt;&lt;/publication&gt;&lt;/bundle&gt;&lt;authors&gt;&lt;author&gt;&lt;lastName&gt;Winter&lt;/lastName&gt;&lt;firstName&gt;Julia&lt;/firstName&gt;&lt;/author&gt;&lt;author&gt;&lt;lastName&gt;Jung&lt;/lastName&gt;&lt;firstName&gt;Stephanie&lt;/firstName&gt;&lt;/author&gt;&lt;author&gt;&lt;lastName&gt;Keller&lt;/lastName&gt;&lt;firstName&gt;Sarina&lt;/firstName&gt;&lt;/author&gt;&lt;author&gt;&lt;lastName&gt;Gregory&lt;/lastName&gt;&lt;firstName&gt;Richard&lt;/firstName&gt;&lt;middleNames&gt;I&lt;/middleNames&gt;&lt;/author&gt;&lt;author&gt;&lt;lastName&gt;Diederichs&lt;/lastName&gt;&lt;firstName&gt;Sven&lt;/firstName&gt;&lt;/author&gt;&lt;/authors&gt;&lt;/publication&gt;&lt;/publications&gt;&lt;cites&gt;&lt;/cites&gt;&lt;/citation&gt;</w:instrText>
      </w:r>
      <w:r w:rsidRPr="00B54344">
        <w:fldChar w:fldCharType="separate"/>
      </w:r>
      <w:r w:rsidR="00095567">
        <w:rPr>
          <w:rFonts w:eastAsiaTheme="minorEastAsia"/>
          <w:lang w:val="en-US"/>
        </w:rPr>
        <w:t>(Winter et al., 2009)</w:t>
      </w:r>
      <w:r w:rsidRPr="00B54344">
        <w:fldChar w:fldCharType="end"/>
      </w:r>
      <w:r w:rsidRPr="00B54344">
        <w:t xml:space="preserve">. Once bound in the RISC complex miRNAs, through sequence homology, bind to specific 3’ targets of mRNA and by either translational repression or promotion of mRNA degradation reduce translation </w:t>
      </w:r>
      <w:r w:rsidRPr="00B54344">
        <w:fldChar w:fldCharType="begin"/>
      </w:r>
      <w:r w:rsidR="004E19A5">
        <w:instrText xml:space="preserve"> ADDIN PAPERS2_CITATIONS &lt;citation&gt;&lt;priority&gt;0&lt;/priority&gt;&lt;uuid&gt;2E7A527F-3F59-4280-B12E-F10D57B5C75D&lt;/uuid&gt;&lt;publications&gt;&lt;publication&gt;&lt;subtype&gt;400&lt;/subtype&gt;&lt;title&gt;Many roads to maturity: microRNA biogenesis pathways and their regulation&lt;/title&gt;&lt;url&gt;http://www.nature.com/doifinder/10.1038/ncb0309-228&lt;/url&gt;&lt;volume&gt;11&lt;/volume&gt;&lt;publication_date&gt;99200903001200000000220000&lt;/publication_date&gt;&lt;uuid&gt;9D7C33C2-8448-4ECD-9564-D30C5D2AD14D&lt;/uuid&gt;&lt;type&gt;400&lt;/type&gt;&lt;number&gt;3&lt;/number&gt;&lt;doi&gt;10.1038/ncb0309-228&lt;/doi&gt;&lt;startpage&gt;228&lt;/startpage&gt;&lt;endpage&gt;234&lt;/endpage&gt;&lt;bundle&gt;&lt;publication&gt;&lt;title&gt;Nature Cell Biology&lt;/title&gt;&lt;uuid&gt;6827744B-204D-41F3-8F8E-F1FB530CCE3B&lt;/uuid&gt;&lt;subtype&gt;-100&lt;/subtype&gt;&lt;type&gt;-100&lt;/type&gt;&lt;/publication&gt;&lt;/bundle&gt;&lt;authors&gt;&lt;author&gt;&lt;lastName&gt;Winter&lt;/lastName&gt;&lt;firstName&gt;Julia&lt;/firstName&gt;&lt;/author&gt;&lt;author&gt;&lt;lastName&gt;Jung&lt;/lastName&gt;&lt;firstName&gt;Stephanie&lt;/firstName&gt;&lt;/author&gt;&lt;author&gt;&lt;lastName&gt;Keller&lt;/lastName&gt;&lt;firstName&gt;Sarina&lt;/firstName&gt;&lt;/author&gt;&lt;author&gt;&lt;lastName&gt;Gregory&lt;/lastName&gt;&lt;firstName&gt;Richard&lt;/firstName&gt;&lt;middleNames&gt;I&lt;/middleNames&gt;&lt;/author&gt;&lt;author&gt;&lt;lastName&gt;Diederichs&lt;/lastName&gt;&lt;firstName&gt;Sven&lt;/firstName&gt;&lt;/author&gt;&lt;/authors&gt;&lt;/publication&gt;&lt;/publications&gt;&lt;cites&gt;&lt;/cites&gt;&lt;/citation&gt;</w:instrText>
      </w:r>
      <w:r w:rsidRPr="00B54344">
        <w:fldChar w:fldCharType="separate"/>
      </w:r>
      <w:r w:rsidR="00095567">
        <w:rPr>
          <w:rFonts w:eastAsiaTheme="minorEastAsia"/>
          <w:lang w:val="en-US"/>
        </w:rPr>
        <w:t>(Winter et al., 2009)</w:t>
      </w:r>
      <w:r w:rsidRPr="00B54344">
        <w:fldChar w:fldCharType="end"/>
      </w:r>
      <w:r w:rsidRPr="00B54344">
        <w:t xml:space="preserve">, </w:t>
      </w:r>
      <w:r w:rsidRPr="00B54344">
        <w:fldChar w:fldCharType="begin"/>
      </w:r>
      <w:r w:rsidR="004E19A5">
        <w:instrText xml:space="preserve"> ADDIN PAPERS2_CITATIONS &lt;citation&gt;&lt;priority&gt;0&lt;/priority&gt;&lt;uuid&gt;C5644B46-04F2-423F-B931-917DAA38AFA7&lt;/uuid&gt;&lt;publications&gt;&lt;publication&gt;&lt;subtype&gt;400&lt;/subtype&gt;&lt;title&gt;MicroRNAs in Pulmonary Arterial Hypertension&lt;/title&gt;&lt;url&gt;http://www.atsjournals.org/doi/abs/10.1165/rcmb.2014-0166TR&lt;/url&gt;&lt;volume&gt;52&lt;/volume&gt;&lt;publication_date&gt;99201502001200000000220000&lt;/publication_date&gt;&lt;uuid&gt;568C0888-AACB-43E0-9C44-A4A233AD79ED&lt;/uuid&gt;&lt;type&gt;400&lt;/type&gt;&lt;number&gt;2&lt;/number&gt;&lt;doi&gt;10.1165/rcmb.2014-0166TR&lt;/doi&gt;&lt;startpage&gt;139&lt;/startpage&gt;&lt;endpage&gt;151&lt;/endpage&gt;&lt;bundle&gt;&lt;publication&gt;&lt;title&gt;American journal of respiratory cell and molecular biology&lt;/title&gt;&lt;uuid&gt;35C3D784-91BA-4155-8DD0-6FF07086BE5B&lt;/uuid&gt;&lt;subtype&gt;-100&lt;/subtype&gt;&lt;type&gt;-100&lt;/type&gt;&lt;/publication&gt;&lt;/bundle&gt;&lt;authors&gt;&lt;author&gt;&lt;lastName&gt;Zhou&lt;/lastName&gt;&lt;firstName&gt;Guofei&lt;/firstName&gt;&lt;/author&gt;&lt;author&gt;&lt;lastName&gt;Chen&lt;/lastName&gt;&lt;firstName&gt;Tianji&lt;/firstName&gt;&lt;/author&gt;&lt;author&gt;&lt;lastName&gt;Raj&lt;/lastName&gt;&lt;firstName&gt;J&lt;/firstName&gt;&lt;middleNames&gt;Usha&lt;/middleNames&gt;&lt;/author&gt;&lt;/authors&gt;&lt;/publication&gt;&lt;/publications&gt;&lt;cites&gt;&lt;/cites&gt;&lt;/citation&gt;</w:instrText>
      </w:r>
      <w:r w:rsidRPr="00B54344">
        <w:fldChar w:fldCharType="separate"/>
      </w:r>
      <w:r w:rsidR="00095567">
        <w:rPr>
          <w:rFonts w:eastAsiaTheme="minorEastAsia"/>
          <w:lang w:val="en-US"/>
        </w:rPr>
        <w:t>(Zhou et al., 2015)</w:t>
      </w:r>
      <w:r w:rsidRPr="00B54344">
        <w:fldChar w:fldCharType="end"/>
      </w:r>
      <w:r w:rsidRPr="00B54344">
        <w:t>.</w:t>
      </w:r>
    </w:p>
    <w:p w14:paraId="69ED55E2" w14:textId="77777777" w:rsidR="00A12009" w:rsidRDefault="00A12009" w:rsidP="00A12009">
      <w:pPr>
        <w:pStyle w:val="Body"/>
      </w:pPr>
    </w:p>
    <w:p w14:paraId="5104A321" w14:textId="7D682DAE" w:rsidR="00A12009" w:rsidRDefault="007D05A0" w:rsidP="00F37655">
      <w:pPr>
        <w:pStyle w:val="Heading2"/>
        <w:numPr>
          <w:ilvl w:val="2"/>
          <w:numId w:val="7"/>
        </w:numPr>
        <w:spacing w:before="120" w:after="120"/>
      </w:pPr>
      <w:bookmarkStart w:id="49" w:name="_Toc60773854"/>
      <w:r>
        <w:t xml:space="preserve">Changes in </w:t>
      </w:r>
      <w:r w:rsidR="00A12009">
        <w:t xml:space="preserve">MiRNAs </w:t>
      </w:r>
      <w:r>
        <w:t xml:space="preserve">- </w:t>
      </w:r>
      <w:r w:rsidR="00A12009">
        <w:t>cause or effect</w:t>
      </w:r>
      <w:bookmarkEnd w:id="49"/>
    </w:p>
    <w:p w14:paraId="7C0FF0AC" w14:textId="0F23C0A3" w:rsidR="00A17F73" w:rsidRDefault="00A17F73" w:rsidP="006E75C9">
      <w:pPr>
        <w:pStyle w:val="Body"/>
      </w:pPr>
      <w:r>
        <w:t xml:space="preserve">MicroRNAs have been </w:t>
      </w:r>
      <w:r w:rsidR="00AE4864">
        <w:t xml:space="preserve">associated with many common human disorders </w:t>
      </w:r>
      <w:r w:rsidR="004E19A5">
        <w:rPr>
          <w:rFonts w:eastAsiaTheme="minorEastAsia"/>
        </w:rPr>
        <w:fldChar w:fldCharType="begin"/>
      </w:r>
      <w:r w:rsidR="004E19A5">
        <w:rPr>
          <w:rFonts w:eastAsiaTheme="minorEastAsia"/>
        </w:rPr>
        <w:instrText xml:space="preserve"> ADDIN PAPERS2_CITATIONS &lt;citation&gt;&lt;priority&gt;50&lt;/priority&gt;&lt;uuid&gt;91200937-499C-4C21-8778-E31531799013&lt;/uuid&gt;&lt;publications&gt;&lt;publication&gt;&lt;subtype&gt;400&lt;/subtype&gt;&lt;publisher&gt;Elsevier&lt;/publisher&gt;&lt;title&gt;MicroRNAs in Common Human Diseases&lt;/title&gt;&lt;url&gt;https://linkinghub.elsevier.com/retrieve/pii/S1672022912000538&lt;/url&gt;&lt;volume&gt;10&lt;/volume&gt;&lt;publication_date&gt;99201210011200000000222000&lt;/publication_date&gt;&lt;uuid&gt;DD4B3EA5-5CE9-4405-B40D-DFE85AE32426&lt;/uuid&gt;&lt;type&gt;400&lt;/type&gt;&lt;number&gt;5&lt;/number&gt;&lt;doi&gt;10.1016/j.gpb.2012.07.005&lt;/doi&gt;&lt;startpage&gt;246&lt;/startpage&gt;&lt;endpage&gt;253&lt;/endpage&gt;&lt;bundle&gt;&lt;publication&gt;&lt;title&gt;Genomics, Proteomics &amp;amp; Bioinformatics&lt;/title&gt;&lt;uuid&gt;EA9A746E-9F20-439E-A2B2-FA3E6843731F&lt;/uuid&gt;&lt;subtype&gt;-100&lt;/subtype&gt;&lt;type&gt;-100&lt;/type&gt;&lt;/publication&gt;&lt;/bundle&gt;&lt;authors&gt;&lt;author&gt;&lt;lastName&gt;Li&lt;/lastName&gt;&lt;firstName&gt;Yu&lt;/firstName&gt;&lt;/author&gt;&lt;author&gt;&lt;lastName&gt;Kowdley&lt;/lastName&gt;&lt;firstName&gt;Kris&lt;/firstName&gt;&lt;middleNames&gt;V&lt;/middleNames&gt;&lt;/author&gt;&lt;/authors&gt;&lt;/publication&gt;&lt;/publications&gt;&lt;cites&gt;&lt;/cites&gt;&lt;/citation&gt;</w:instrText>
      </w:r>
      <w:r w:rsidR="004E19A5">
        <w:rPr>
          <w:rFonts w:eastAsiaTheme="minorEastAsia"/>
        </w:rPr>
        <w:fldChar w:fldCharType="separate"/>
      </w:r>
      <w:r w:rsidR="004E19A5">
        <w:rPr>
          <w:rFonts w:eastAsiaTheme="minorEastAsia"/>
        </w:rPr>
        <w:t xml:space="preserve">(Yu Li &amp; </w:t>
      </w:r>
      <w:proofErr w:type="spellStart"/>
      <w:r w:rsidR="004E19A5">
        <w:rPr>
          <w:rFonts w:eastAsiaTheme="minorEastAsia"/>
        </w:rPr>
        <w:t>Kowdley</w:t>
      </w:r>
      <w:proofErr w:type="spellEnd"/>
      <w:r w:rsidR="004E19A5">
        <w:rPr>
          <w:rFonts w:eastAsiaTheme="minorEastAsia"/>
        </w:rPr>
        <w:t>, 2012)</w:t>
      </w:r>
      <w:r w:rsidR="004E19A5">
        <w:rPr>
          <w:rFonts w:eastAsiaTheme="minorEastAsia"/>
        </w:rPr>
        <w:fldChar w:fldCharType="end"/>
      </w:r>
      <w:r>
        <w:t xml:space="preserve">, however, the precise relationship between miRNA and disease is difficult to determine. </w:t>
      </w:r>
      <w:r w:rsidR="00AE4864">
        <w:t xml:space="preserve">Changes in miRNA expression may be </w:t>
      </w:r>
      <w:r w:rsidR="005936D8">
        <w:t>driving disease or a</w:t>
      </w:r>
      <w:r w:rsidR="00904B6D">
        <w:t xml:space="preserve"> resultant</w:t>
      </w:r>
      <w:r w:rsidR="005936D8">
        <w:t xml:space="preserve"> </w:t>
      </w:r>
      <w:r w:rsidR="00A950A4">
        <w:t>e</w:t>
      </w:r>
      <w:r w:rsidR="005936D8">
        <w:t xml:space="preserve">ffect of </w:t>
      </w:r>
      <w:r w:rsidR="00904B6D">
        <w:t>disease processes</w:t>
      </w:r>
      <w:r w:rsidR="005936D8">
        <w:t>.</w:t>
      </w:r>
    </w:p>
    <w:p w14:paraId="7CF4887D" w14:textId="4C252735" w:rsidR="005936D8" w:rsidRDefault="005936D8" w:rsidP="00A12009"/>
    <w:p w14:paraId="485E0993" w14:textId="0EB0E009" w:rsidR="005936D8" w:rsidRDefault="00402658" w:rsidP="006E75C9">
      <w:pPr>
        <w:pStyle w:val="Body"/>
      </w:pPr>
      <w:r>
        <w:t>Changes in miRNA expression have been detected in patients with</w:t>
      </w:r>
      <w:r w:rsidR="001E396C">
        <w:t xml:space="preserve"> sepsis</w:t>
      </w:r>
      <w:r>
        <w:t xml:space="preserve"> where</w:t>
      </w:r>
      <w:r w:rsidR="001E396C">
        <w:t xml:space="preserve"> t</w:t>
      </w:r>
      <w:r w:rsidR="005936D8">
        <w:t xml:space="preserve">he root cause </w:t>
      </w:r>
      <w:r>
        <w:t>is a</w:t>
      </w:r>
      <w:r w:rsidR="001E396C">
        <w:t xml:space="preserve"> dysregulated immune response </w:t>
      </w:r>
      <w:r w:rsidR="005936D8">
        <w:t xml:space="preserve">is </w:t>
      </w:r>
      <w:r w:rsidR="001E396C">
        <w:t xml:space="preserve">a </w:t>
      </w:r>
      <w:r w:rsidR="005936D8">
        <w:t>bacterial infection</w:t>
      </w:r>
      <w:r w:rsidR="001E396C">
        <w:t xml:space="preserve"> </w:t>
      </w:r>
      <w:r w:rsidR="004E19A5">
        <w:rPr>
          <w:rFonts w:eastAsiaTheme="minorEastAsia"/>
        </w:rPr>
        <w:fldChar w:fldCharType="begin"/>
      </w:r>
      <w:r w:rsidR="004E19A5">
        <w:rPr>
          <w:rFonts w:eastAsiaTheme="minorEastAsia"/>
        </w:rPr>
        <w:instrText xml:space="preserve"> ADDIN PAPERS2_CITATIONS &lt;citation&gt;&lt;priority&gt;51&lt;/priority&gt;&lt;uuid&gt;CF2D21AF-7C30-4B5A-A279-34732F2FF19D&lt;/uuid&gt;&lt;publications&gt;&lt;publication&gt;&lt;subtype&gt;400&lt;/subtype&gt;&lt;publisher&gt;Nature Publishing Group&lt;/publisher&gt;&lt;title&gt;Circulating Plasma microRNAs can differentiate Human Sepsis and Systemic Inflammatory Response Syndrome (SIRS)&lt;/title&gt;&lt;url&gt;http://www.nature.com/srep/2016/160620/srep28006/full/srep28006.html&lt;/url&gt;&lt;volume&gt;6&lt;/volume&gt;&lt;publication_date&gt;99201606201200000000222000&lt;/publication_date&gt;&lt;uuid&gt;62CB288C-C85C-44E3-9289-81103CF6EFEF&lt;/uuid&gt;&lt;type&gt;400&lt;/type&gt;&lt;citekey&gt;Caserta:2016cc&lt;/citekey&gt;&lt;doi&gt;10.1038/srep28006&lt;/doi&gt;&lt;startpage&gt;28006&lt;/startpage&gt;&lt;bundle&gt;&lt;publication&gt;&lt;title&gt;Scientific Reports&lt;/title&gt;&lt;uuid&gt;809338AD-D3BD-4569-B598-17E86AA4A45B&lt;/uuid&gt;&lt;subtype&gt;-100&lt;/subtype&gt;&lt;publisher&gt;Nature Publishing Group&lt;/publisher&gt;&lt;type&gt;-100&lt;/type&gt;&lt;url&gt;http://www.nature.com&lt;/url&gt;&lt;/publication&gt;&lt;/bundle&gt;&lt;authors&gt;&lt;author&gt;&lt;lastName&gt;Caserta&lt;/lastName&gt;&lt;firstName&gt;Stefano&lt;/firstName&gt;&lt;/author&gt;&lt;author&gt;&lt;lastName&gt;Kern&lt;/lastName&gt;&lt;firstName&gt;Florian&lt;/firstName&gt;&lt;/author&gt;&lt;author&gt;&lt;lastName&gt;Cohen&lt;/lastName&gt;&lt;firstName&gt;Jonathan&lt;/firstName&gt;&lt;/author&gt;&lt;author&gt;&lt;lastName&gt;Drage&lt;/lastName&gt;&lt;firstName&gt;Stephen&lt;/firstName&gt;&lt;/author&gt;&lt;author&gt;&lt;lastName&gt;Newbury&lt;/lastName&gt;&lt;firstName&gt;Sarah&lt;/firstName&gt;&lt;middleNames&gt;F&lt;/middleNames&gt;&lt;/author&gt;&lt;author&gt;&lt;lastName&gt;Llewelyn&lt;/lastName&gt;&lt;firstName&gt;Martin&lt;/firstName&gt;&lt;middleNames&gt;J&lt;/middleNames&gt;&lt;/author&gt;&lt;/authors&gt;&lt;/publication&gt;&lt;/publications&gt;&lt;cites&gt;&lt;/cites&gt;&lt;/citation&gt;</w:instrText>
      </w:r>
      <w:r w:rsidR="004E19A5">
        <w:rPr>
          <w:rFonts w:eastAsiaTheme="minorEastAsia"/>
        </w:rPr>
        <w:fldChar w:fldCharType="separate"/>
      </w:r>
      <w:r w:rsidR="004E19A5">
        <w:rPr>
          <w:rFonts w:eastAsiaTheme="minorEastAsia"/>
        </w:rPr>
        <w:t>(Caserta et al., 2016)</w:t>
      </w:r>
      <w:r w:rsidR="004E19A5">
        <w:rPr>
          <w:rFonts w:eastAsiaTheme="minorEastAsia"/>
        </w:rPr>
        <w:fldChar w:fldCharType="end"/>
      </w:r>
      <w:r w:rsidR="001E396C">
        <w:t>. H</w:t>
      </w:r>
      <w:r w:rsidR="005936D8">
        <w:t xml:space="preserve">owever, prokaryotes do not produce miRNAs </w:t>
      </w:r>
      <w:r>
        <w:t>indicating the miRNA changes seen</w:t>
      </w:r>
      <w:r w:rsidR="001E396C">
        <w:t xml:space="preserve"> </w:t>
      </w:r>
      <w:r w:rsidR="005936D8">
        <w:t>reflect</w:t>
      </w:r>
      <w:r>
        <w:t xml:space="preserve"> </w:t>
      </w:r>
      <w:r w:rsidR="005936D8">
        <w:t>a non-specific effect</w:t>
      </w:r>
      <w:r w:rsidR="00BB0C87">
        <w:t xml:space="preserve"> </w:t>
      </w:r>
      <w:r w:rsidR="004E19A5">
        <w:rPr>
          <w:rFonts w:eastAsiaTheme="minorEastAsia"/>
        </w:rPr>
        <w:fldChar w:fldCharType="begin"/>
      </w:r>
      <w:r w:rsidR="004E19A5">
        <w:rPr>
          <w:rFonts w:eastAsiaTheme="minorEastAsia"/>
        </w:rPr>
        <w:instrText xml:space="preserve"> ADDIN PAPERS2_CITATIONS &lt;citation&gt;&lt;priority&gt;52&lt;/priority&gt;&lt;uuid&gt;2B6CFA4A-75FA-4814-AF23-8EBCC53DE3E1&lt;/uuid&gt;&lt;publications&gt;&lt;publication&gt;&lt;subtype&gt;400&lt;/subtype&gt;&lt;title&gt;Search for MicroRNAs Expressed by Intracellular Bacterial Pathogens in Infected Mammalian Cells&lt;/title&gt;&lt;url&gt;https://dx.plos.org/10.1371/journal.pone.0106434&lt;/url&gt;&lt;volume&gt;9&lt;/volume&gt;&lt;publication_date&gt;99201409031200000000222000&lt;/publication_date&gt;&lt;uuid&gt;D677BAB2-8493-41E3-BE86-CB65F5E0903A&lt;/uuid&gt;&lt;type&gt;400&lt;/type&gt;&lt;number&gt;9&lt;/number&gt;&lt;doi&gt;10.1371/journal.pone.0106434&lt;/doi&gt;&lt;startpage&gt;e106434&lt;/startpage&gt;&lt;bundle&gt;&lt;publication&gt;&lt;title&gt;PloS one&lt;/title&gt;&lt;uuid&gt;82F7624E-B927-496C-B434-7FDEB6B50A82&lt;/uuid&gt;&lt;subtype&gt;-100&lt;/subtype&gt;&lt;publisher&gt;Public Library of Science&lt;/publisher&gt;&lt;type&gt;-100&lt;/type&gt;&lt;url&gt;http://www.plosone.org&lt;/url&gt;&lt;/publication&gt;&lt;/bundle&gt;&lt;authors&gt;&lt;author&gt;&lt;lastName&gt;Furuse&lt;/lastName&gt;&lt;firstName&gt;Yuki&lt;/firstName&gt;&lt;/author&gt;&lt;author&gt;&lt;lastName&gt;Finethy&lt;/lastName&gt;&lt;firstName&gt;Ryan&lt;/firstName&gt;&lt;/author&gt;&lt;author&gt;&lt;lastName&gt;Saka&lt;/lastName&gt;&lt;firstName&gt;Hector&lt;/firstName&gt;&lt;middleNames&gt;A&lt;/middleNames&gt;&lt;/author&gt;&lt;author&gt;&lt;lastName&gt;Xet-Mull&lt;/lastName&gt;&lt;firstName&gt;Ana&lt;/firstName&gt;&lt;middleNames&gt;M&lt;/middleNames&gt;&lt;/author&gt;&lt;author&gt;&lt;lastName&gt;Sisk&lt;/lastName&gt;&lt;firstName&gt;Dana&lt;/firstName&gt;&lt;middleNames&gt;M&lt;/middleNames&gt;&lt;/author&gt;&lt;author&gt;&lt;lastName&gt;Smith&lt;/lastName&gt;&lt;firstName&gt;Kristen&lt;/firstName&gt;&lt;middleNames&gt;L Jurcic&lt;/middleNames&gt;&lt;/author&gt;&lt;author&gt;&lt;lastName&gt;Lee&lt;/lastName&gt;&lt;firstName&gt;Sunhee&lt;/firstName&gt;&lt;/author&gt;&lt;author&gt;&lt;lastName&gt;Coers&lt;/lastName&gt;&lt;firstName&gt;Jörn&lt;/firstName&gt;&lt;/author&gt;&lt;author&gt;&lt;lastName&gt;Valdivia&lt;/lastName&gt;&lt;firstName&gt;Raphael&lt;/firstName&gt;&lt;middleNames&gt;H&lt;/middleNames&gt;&lt;/author&gt;&lt;author&gt;&lt;lastName&gt;Tobin&lt;/lastName&gt;&lt;firstName&gt;David&lt;/firstName&gt;&lt;middleNames&gt;M&lt;/middleNames&gt;&lt;/author&gt;&lt;author&gt;&lt;lastName&gt;Cullen&lt;/lastName&gt;&lt;firstName&gt;Bryan&lt;/firstName&gt;&lt;middleNames&gt;R&lt;/middleNames&gt;&lt;/author&gt;&lt;/authors&gt;&lt;editors&gt;&lt;author&gt;&lt;lastName&gt;Rudel&lt;/lastName&gt;&lt;firstName&gt;Thomas&lt;/firstName&gt;&lt;/author&gt;&lt;/edit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Furuse</w:t>
      </w:r>
      <w:proofErr w:type="spellEnd"/>
      <w:r w:rsidR="004E19A5">
        <w:rPr>
          <w:rFonts w:eastAsiaTheme="minorEastAsia"/>
        </w:rPr>
        <w:t xml:space="preserve"> et al., 2014)</w:t>
      </w:r>
      <w:r w:rsidR="004E19A5">
        <w:rPr>
          <w:rFonts w:eastAsiaTheme="minorEastAsia"/>
        </w:rPr>
        <w:fldChar w:fldCharType="end"/>
      </w:r>
      <w:r w:rsidR="005936D8">
        <w:t>.</w:t>
      </w:r>
    </w:p>
    <w:p w14:paraId="4CAE887C" w14:textId="5EB6D097" w:rsidR="00AE4864" w:rsidRDefault="00AE4864" w:rsidP="00A12009"/>
    <w:p w14:paraId="266D2A77" w14:textId="2EA44511" w:rsidR="00AE4864" w:rsidRPr="006E75C9" w:rsidRDefault="00AB4862" w:rsidP="006E75C9">
      <w:pPr>
        <w:pStyle w:val="Body"/>
        <w:rPr>
          <w:rFonts w:eastAsiaTheme="minorEastAsia"/>
        </w:rPr>
      </w:pPr>
      <w:r>
        <w:lastRenderedPageBreak/>
        <w:t>Mutations in cystic fibrosis transmembrane conductance regulator</w:t>
      </w:r>
      <w:r w:rsidR="00D273CA">
        <w:t xml:space="preserve"> (CFTR)</w:t>
      </w:r>
      <w:r>
        <w:t xml:space="preserve"> gene have been known to </w:t>
      </w:r>
      <w:r w:rsidR="00402658">
        <w:t xml:space="preserve">be </w:t>
      </w:r>
      <w:r>
        <w:t>caus</w:t>
      </w:r>
      <w:r w:rsidR="00402658">
        <w:t xml:space="preserve">ative of </w:t>
      </w:r>
      <w:r>
        <w:t>cystic fibrosis since 1989</w:t>
      </w:r>
      <w:r w:rsidR="00A15378">
        <w:t xml:space="preserve"> </w:t>
      </w:r>
      <w:r w:rsidR="004E19A5">
        <w:rPr>
          <w:rFonts w:eastAsiaTheme="minorEastAsia"/>
        </w:rPr>
        <w:fldChar w:fldCharType="begin"/>
      </w:r>
      <w:r w:rsidR="004E19A5">
        <w:rPr>
          <w:rFonts w:eastAsiaTheme="minorEastAsia"/>
        </w:rPr>
        <w:instrText xml:space="preserve"> ADDIN PAPERS2_CITATIONS &lt;citation&gt;&lt;priority&gt;53&lt;/priority&gt;&lt;uuid&gt;E39B772B-6C71-4185-AFEB-FBCCB622C630&lt;/uuid&gt;&lt;publications&gt;&lt;publication&gt;&lt;subtype&gt;400&lt;/subtype&gt;&lt;title&gt;Identification of the cystic fibrosis gene: genetic analysis.&lt;/title&gt;&lt;url&gt;http://eutils.ncbi.nlm.nih.gov/entrez/eutils/elink.fcgi?dbfrom=pubmed&amp;amp;id=2570460&amp;amp;retmode=ref&amp;amp;cmd=prlinks&lt;/url&gt;&lt;volume&gt;245&lt;/volume&gt;&lt;publication_date&gt;99198909081200000000222000&lt;/publication_date&gt;&lt;uuid&gt;207B568F-7D2E-4B5F-83EF-BE2986742539&lt;/uuid&gt;&lt;type&gt;400&lt;/type&gt;&lt;number&gt;4922&lt;/number&gt;&lt;citekey&gt;Kerem:1989fh&lt;/citekey&gt;&lt;doi&gt;10.1126/science.2570460&lt;/doi&gt;&lt;institution&gt;Department of Genetics, Hospital for Sick Children, Toronto, Ontario, Canada.&lt;/institution&gt;&lt;startpage&gt;1073&lt;/startpage&gt;&lt;endpage&gt;1080&lt;/endpage&gt;&lt;bundle&gt;&lt;publication&gt;&lt;title&gt;Science (New York, N.Y.)&lt;/title&gt;&lt;uuid&gt;9A8ED030-924A-468B-82A5-BC0863A8F1F2&lt;/uuid&gt;&lt;subtype&gt;-100&lt;/subtype&gt;&lt;type&gt;-100&lt;/type&gt;&lt;/publication&gt;&lt;/bundle&gt;&lt;authors&gt;&lt;author&gt;&lt;lastName&gt;Kerem&lt;/lastName&gt;&lt;firstName&gt;B&lt;/firstName&gt;&lt;/author&gt;&lt;author&gt;&lt;lastName&gt;Rommens&lt;/lastName&gt;&lt;firstName&gt;J&lt;/firstName&gt;&lt;middleNames&gt;M&lt;/middleNames&gt;&lt;/author&gt;&lt;author&gt;&lt;lastName&gt;Buchanan&lt;/lastName&gt;&lt;firstName&gt;J&lt;/firstName&gt;&lt;middleNames&gt;A&lt;/middleNames&gt;&lt;/author&gt;&lt;author&gt;&lt;lastName&gt;Markiewicz&lt;/lastName&gt;&lt;firstName&gt;D&lt;/firstName&gt;&lt;/author&gt;&lt;author&gt;&lt;lastName&gt;Cox&lt;/lastName&gt;&lt;firstName&gt;T&lt;/firstName&gt;&lt;middleNames&gt;K&lt;/middleNames&gt;&lt;/author&gt;&lt;author&gt;&lt;lastName&gt;Chakravarti&lt;/lastName&gt;&lt;firstName&gt;A&lt;/firstName&gt;&lt;/author&gt;&lt;author&gt;&lt;lastName&gt;Buchwald&lt;/lastName&gt;&lt;firstName&gt;M&lt;/firstName&gt;&lt;/author&gt;&lt;author&gt;&lt;lastName&gt;Tsui&lt;/lastName&gt;&lt;firstName&gt;L&lt;/firstName&gt;&lt;middleNames&gt;C&lt;/middleNames&gt;&lt;/author&gt;&lt;/auth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Kerem</w:t>
      </w:r>
      <w:proofErr w:type="spellEnd"/>
      <w:r w:rsidR="004E19A5">
        <w:rPr>
          <w:rFonts w:eastAsiaTheme="minorEastAsia"/>
        </w:rPr>
        <w:t xml:space="preserve"> et al., 1989)</w:t>
      </w:r>
      <w:r w:rsidR="004E19A5">
        <w:rPr>
          <w:rFonts w:eastAsiaTheme="minorEastAsia"/>
        </w:rPr>
        <w:fldChar w:fldCharType="end"/>
      </w:r>
      <w:r>
        <w:t xml:space="preserve">. Furthermore, </w:t>
      </w:r>
      <w:r w:rsidR="00D273CA">
        <w:t xml:space="preserve">CF </w:t>
      </w:r>
      <w:r w:rsidR="00A15378">
        <w:t xml:space="preserve">can be induced in </w:t>
      </w:r>
      <w:r>
        <w:t xml:space="preserve">mouse models by </w:t>
      </w:r>
      <w:r w:rsidR="00A15378">
        <w:t>mutation of</w:t>
      </w:r>
      <w:r>
        <w:t xml:space="preserve"> the CFTR gene alone </w:t>
      </w:r>
      <w:r w:rsidR="004E19A5">
        <w:rPr>
          <w:rFonts w:eastAsiaTheme="minorEastAsia"/>
        </w:rPr>
        <w:fldChar w:fldCharType="begin"/>
      </w:r>
      <w:r w:rsidR="004E19A5">
        <w:rPr>
          <w:rFonts w:eastAsiaTheme="minorEastAsia"/>
        </w:rPr>
        <w:instrText xml:space="preserve"> ADDIN PAPERS2_CITATIONS &lt;citation&gt;&lt;priority&gt;54&lt;/priority&gt;&lt;uuid&gt;37EF7B6E-538C-48BC-9D2F-1591432B5248&lt;/uuid&gt;&lt;publications&gt;&lt;publication&gt;&lt;subtype&gt;400&lt;/subtype&gt;&lt;title&gt;Cystic fibrosis in the mouse by targeted insertional mutagenesis.&lt;/title&gt;&lt;url&gt;http://eutils.ncbi.nlm.nih.gov/entrez/eutils/elink.fcgi?dbfrom=pubmed&amp;amp;id=1382232&amp;amp;retmode=ref&amp;amp;cmd=prlinks&lt;/url&gt;&lt;volume&gt;359&lt;/volume&gt;&lt;publication_date&gt;99199209171200000000222000&lt;/publication_date&gt;&lt;uuid&gt;19DBB2D6-C720-4802-ABE3-FDF101688F79&lt;/uuid&gt;&lt;type&gt;400&lt;/type&gt;&lt;number&gt;6392&lt;/number&gt;&lt;doi&gt;10.1038/359211a0&lt;/doi&gt;&lt;institution&gt;MRC Human Genetics Unit, Western General Hospital, Edinburgh, UK.&lt;/institution&gt;&lt;startpage&gt;211&lt;/startpage&gt;&lt;endpage&gt;215&lt;/endpage&gt;&lt;bundle&gt;&lt;publication&gt;&lt;title&gt;Nature&lt;/title&gt;&lt;uuid&gt;946B31F2-0644-4F82-8B52-BDA284907F57&lt;/uuid&gt;&lt;subtype&gt;-100&lt;/subtype&gt;&lt;publisher&gt;NIH Public Access&lt;/publisher&gt;&lt;type&gt;-100&lt;/type&gt;&lt;/publication&gt;&lt;/bundle&gt;&lt;authors&gt;&lt;author&gt;&lt;lastName&gt;Dorin&lt;/lastName&gt;&lt;firstName&gt;J&lt;/firstName&gt;&lt;middleNames&gt;R&lt;/middleNames&gt;&lt;/author&gt;&lt;author&gt;&lt;lastName&gt;Dickinson&lt;/lastName&gt;&lt;firstName&gt;P&lt;/firstName&gt;&lt;/author&gt;&lt;author&gt;&lt;lastName&gt;Alton&lt;/lastName&gt;&lt;firstName&gt;E&lt;/firstName&gt;&lt;middleNames&gt;W&lt;/middleNames&gt;&lt;/author&gt;&lt;author&gt;&lt;lastName&gt;Smith&lt;/lastName&gt;&lt;firstName&gt;S&lt;/firstName&gt;&lt;middleNames&gt;N&lt;/middleNames&gt;&lt;/author&gt;&lt;author&gt;&lt;lastName&gt;Geddes&lt;/lastName&gt;&lt;firstName&gt;D&lt;/firstName&gt;&lt;middleNames&gt;M&lt;/middleNames&gt;&lt;/author&gt;&lt;author&gt;&lt;lastName&gt;Stevenson&lt;/lastName&gt;&lt;firstName&gt;B&lt;/firstName&gt;&lt;middleNames&gt;J&lt;/middleNames&gt;&lt;/author&gt;&lt;author&gt;&lt;lastName&gt;Kimber&lt;/lastName&gt;&lt;firstName&gt;W&lt;/firstName&gt;&lt;middleNames&gt;L&lt;/middleNames&gt;&lt;/author&gt;&lt;author&gt;&lt;lastName&gt;Fleming&lt;/lastName&gt;&lt;firstName&gt;S&lt;/firstName&gt;&lt;/author&gt;&lt;author&gt;&lt;lastName&gt;Clarke&lt;/lastName&gt;&lt;firstName&gt;A&lt;/firstName&gt;&lt;middleNames&gt;R&lt;/middleNames&gt;&lt;/author&gt;&lt;author&gt;&lt;lastName&gt;Hooper&lt;/lastName&gt;&lt;firstName&gt;M&lt;/firstName&gt;&lt;middleNames&gt;L&lt;/middleNames&gt;&lt;/author&gt;&lt;/auth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Dorin</w:t>
      </w:r>
      <w:proofErr w:type="spellEnd"/>
      <w:r w:rsidR="004E19A5">
        <w:rPr>
          <w:rFonts w:eastAsiaTheme="minorEastAsia"/>
        </w:rPr>
        <w:t xml:space="preserve"> et al., 1992)</w:t>
      </w:r>
      <w:r w:rsidR="004E19A5">
        <w:rPr>
          <w:rFonts w:eastAsiaTheme="minorEastAsia"/>
        </w:rPr>
        <w:fldChar w:fldCharType="end"/>
      </w:r>
      <w:r w:rsidR="00034B6C">
        <w:t>,</w:t>
      </w:r>
      <w:r w:rsidR="00402658">
        <w:t xml:space="preserve"> </w:t>
      </w:r>
      <w:r w:rsidR="004E19A5">
        <w:rPr>
          <w:rFonts w:eastAsiaTheme="minorEastAsia"/>
        </w:rPr>
        <w:fldChar w:fldCharType="begin"/>
      </w:r>
      <w:r w:rsidR="004E19A5">
        <w:rPr>
          <w:rFonts w:eastAsiaTheme="minorEastAsia"/>
        </w:rPr>
        <w:instrText xml:space="preserve"> ADDIN PAPERS2_CITATIONS &lt;citation&gt;&lt;priority&gt;55&lt;/priority&gt;&lt;uuid&gt;D3E3870F-E3AC-4F4E-8634-7421493EE7A3&lt;/uuid&gt;&lt;publications&gt;&lt;publication&gt;&lt;subtype&gt;400&lt;/subtype&gt;&lt;title&gt;A G542X cystic fibrosis mouse model for examining nonsense mutation directed therapies&lt;/title&gt;&lt;url&gt;https://dx.plos.org/10.1371/journal.pone.0199573&lt;/url&gt;&lt;volume&gt;13&lt;/volume&gt;&lt;publication_date&gt;99201806201200000000222000&lt;/publication_date&gt;&lt;uuid&gt;6E80FF52-487E-471D-939E-25E1BD16AF74&lt;/uuid&gt;&lt;type&gt;400&lt;/type&gt;&lt;number&gt;6&lt;/number&gt;&lt;doi&gt;10.1371/journal.pone.0199573&lt;/doi&gt;&lt;startpage&gt;e0199573&lt;/startpage&gt;&lt;bundle&gt;&lt;publication&gt;&lt;title&gt;PloS one&lt;/title&gt;&lt;uuid&gt;82F7624E-B927-496C-B434-7FDEB6B50A82&lt;/uuid&gt;&lt;subtype&gt;-100&lt;/subtype&gt;&lt;publisher&gt;Public Library of Science&lt;/publisher&gt;&lt;type&gt;-100&lt;/type&gt;&lt;url&gt;http://www.plosone.org&lt;/url&gt;&lt;/publication&gt;&lt;/bundle&gt;&lt;authors&gt;&lt;author&gt;&lt;lastName&gt;McHugh&lt;/lastName&gt;&lt;firstName&gt;Daniel&lt;/firstName&gt;&lt;middleNames&gt;R&lt;/middleNames&gt;&lt;/author&gt;&lt;author&gt;&lt;lastName&gt;Steele&lt;/lastName&gt;&lt;firstName&gt;Miarasa&lt;/firstName&gt;&lt;middleNames&gt;S&lt;/middleNames&gt;&lt;/author&gt;&lt;author&gt;&lt;lastName&gt;Valerio&lt;/lastName&gt;&lt;firstName&gt;Dana&lt;/firstName&gt;&lt;middleNames&gt;M&lt;/middleNames&gt;&lt;/author&gt;&lt;author&gt;&lt;lastName&gt;Miron&lt;/lastName&gt;&lt;firstName&gt;Alexander&lt;/firstName&gt;&lt;/author&gt;&lt;author&gt;&lt;lastName&gt;Mann&lt;/lastName&gt;&lt;firstName&gt;Rachel&lt;/firstName&gt;&lt;middleNames&gt;J&lt;/middleNames&gt;&lt;/author&gt;&lt;author&gt;&lt;lastName&gt;LePage&lt;/lastName&gt;&lt;firstName&gt;David&lt;/firstName&gt;&lt;middleNames&gt;F&lt;/middleNames&gt;&lt;/author&gt;&lt;author&gt;&lt;lastName&gt;Conlon&lt;/lastName&gt;&lt;firstName&gt;Ronald&lt;/firstName&gt;&lt;middleNames&gt;A&lt;/middleNames&gt;&lt;/author&gt;&lt;author&gt;&lt;lastName&gt;Cotton&lt;/lastName&gt;&lt;firstName&gt;Calvin&lt;/firstName&gt;&lt;middleNames&gt;U&lt;/middleNames&gt;&lt;/author&gt;&lt;author&gt;&lt;lastName&gt;Drumm&lt;/lastName&gt;&lt;firstName&gt;Mitchell&lt;/firstName&gt;&lt;middleNames&gt;L&lt;/middleNames&gt;&lt;/author&gt;&lt;author&gt;&lt;lastName&gt;Hodges&lt;/lastName&gt;&lt;firstName&gt;Craig&lt;/firstName&gt;&lt;middleNames&gt;A&lt;/middleNames&gt;&lt;/author&gt;&lt;/authors&gt;&lt;editors&gt;&lt;author&gt;&lt;lastName&gt;Lewin&lt;/lastName&gt;&lt;firstName&gt;Alfred&lt;/firstName&gt;&lt;middleNames&gt;S&lt;/middleNames&gt;&lt;/author&gt;&lt;/editors&gt;&lt;/publication&gt;&lt;/publications&gt;&lt;cites&gt;&lt;/cites&gt;&lt;/citation&gt;</w:instrText>
      </w:r>
      <w:r w:rsidR="004E19A5">
        <w:rPr>
          <w:rFonts w:eastAsiaTheme="minorEastAsia"/>
        </w:rPr>
        <w:fldChar w:fldCharType="separate"/>
      </w:r>
      <w:r w:rsidR="004E19A5">
        <w:rPr>
          <w:rFonts w:eastAsiaTheme="minorEastAsia"/>
        </w:rPr>
        <w:t>(McHugh et al., 2018)</w:t>
      </w:r>
      <w:r w:rsidR="004E19A5">
        <w:rPr>
          <w:rFonts w:eastAsiaTheme="minorEastAsia"/>
        </w:rPr>
        <w:fldChar w:fldCharType="end"/>
      </w:r>
      <w:r>
        <w:t>.</w:t>
      </w:r>
      <w:r w:rsidR="00402658">
        <w:t xml:space="preserve"> </w:t>
      </w:r>
      <w:r w:rsidR="00D273CA">
        <w:t>Whilst the genetic driver behind CF</w:t>
      </w:r>
      <w:r w:rsidR="00402658">
        <w:t xml:space="preserve"> is a faulty ATP-gated anion channel</w:t>
      </w:r>
      <w:r w:rsidR="00D273CA">
        <w:t xml:space="preserve"> </w:t>
      </w:r>
      <w:r w:rsidR="00AE4864">
        <w:t xml:space="preserve">miRNA dysregulation is </w:t>
      </w:r>
      <w:r w:rsidR="005A70E7">
        <w:t>still seen</w:t>
      </w:r>
      <w:r w:rsidR="00303174">
        <w:t xml:space="preserve"> </w:t>
      </w:r>
      <w:r w:rsidR="004E19A5">
        <w:rPr>
          <w:rFonts w:eastAsiaTheme="minorEastAsia"/>
        </w:rPr>
        <w:fldChar w:fldCharType="begin"/>
      </w:r>
      <w:r w:rsidR="004E19A5">
        <w:rPr>
          <w:rFonts w:eastAsiaTheme="minorEastAsia"/>
        </w:rPr>
        <w:instrText xml:space="preserve"> ADDIN PAPERS2_CITATIONS &lt;citation&gt;&lt;priority&gt;56&lt;/priority&gt;&lt;uuid&gt;90DF9C22-7435-45C1-8B0F-98AC2B5D16A9&lt;/uuid&gt;&lt;publications&gt;&lt;publication&gt;&lt;subtype&gt;400&lt;/subtype&gt;&lt;publisher&gt;Sci Rep&lt;/publisher&gt;&lt;title&gt;Microarray profiling identifies extracellular circulating miRNAs dysregulated in cystic fibrosis&lt;/title&gt;&lt;url&gt;http://www.nature.com/articles/s41598-019-51890-7&lt;/url&gt;&lt;volume&gt;9&lt;/volume&gt;&lt;publication_date&gt;99201910291200000000222000&lt;/publication_date&gt;&lt;uuid&gt;E6A1EEFF-FB39-4353-B929-90BEF41DE67B&lt;/uuid&gt;&lt;type&gt;400&lt;/type&gt;&lt;accepted_date&gt;99201910071200000000222000&lt;/accepted_date&gt;&lt;number&gt;1&lt;/number&gt;&lt;submission_date&gt;99201905131200000000222000&lt;/submission_date&gt;&lt;doi&gt;10.1038/s41598-019-51890-7&lt;/doi&gt;&lt;institution&gt;Ann &amp;amp; Robert H. Lurie Children's Hospital of Chicago, Chicago, IL, 60611, USA. ezela123@gmail.com.&lt;/institution&gt;&lt;startpage&gt;1585&lt;/startpage&gt;&lt;bundle&gt;&lt;publication&gt;&lt;title&gt;Scientific Reports&lt;/title&gt;&lt;uuid&gt;809338AD-D3BD-4569-B598-17E86AA4A45B&lt;/uuid&gt;&lt;subtype&gt;-100&lt;/subtype&gt;&lt;publisher&gt;Nature Publishing Group&lt;/publisher&gt;&lt;type&gt;-100&lt;/type&gt;&lt;url&gt;http://www.nature.com&lt;/url&gt;&lt;/publication&gt;&lt;/bundle&gt;&lt;authors&gt;&lt;author&gt;&lt;lastName&gt;JE&lt;/lastName&gt;&lt;firstName&gt;Ideozu&lt;/firstName&gt;&lt;/author&gt;&lt;author&gt;&lt;lastName&gt;X&lt;/lastName&gt;&lt;firstName&gt;Zhang&lt;/firstName&gt;&lt;/author&gt;&lt;author&gt;&lt;lastName&gt;Rangaraj&lt;/lastName&gt;&lt;suffix&gt;V&lt;/suffix&gt;&lt;/author&gt;&lt;author&gt;&lt;lastName&gt;S&lt;/lastName&gt;&lt;firstName&gt;McColley&lt;/firstName&gt;&lt;/author&gt;&lt;author&gt;&lt;lastName&gt;H&lt;/lastName&gt;&lt;firstName&gt;Levy&lt;/firstName&gt;&lt;/author&gt;&lt;/authors&gt;&lt;/publication&gt;&lt;/publications&gt;&lt;cites&gt;&lt;/cites&gt;&lt;/citation&gt;</w:instrText>
      </w:r>
      <w:r w:rsidR="004E19A5">
        <w:rPr>
          <w:rFonts w:eastAsiaTheme="minorEastAsia"/>
        </w:rPr>
        <w:fldChar w:fldCharType="separate"/>
      </w:r>
      <w:r w:rsidR="004E19A5">
        <w:rPr>
          <w:rFonts w:eastAsiaTheme="minorEastAsia"/>
        </w:rPr>
        <w:t xml:space="preserve">(JE, X, </w:t>
      </w:r>
      <w:proofErr w:type="spellStart"/>
      <w:r w:rsidR="004E19A5">
        <w:rPr>
          <w:rFonts w:eastAsiaTheme="minorEastAsia"/>
        </w:rPr>
        <w:t>Rangaraj</w:t>
      </w:r>
      <w:proofErr w:type="spellEnd"/>
      <w:r w:rsidR="004E19A5">
        <w:rPr>
          <w:rFonts w:eastAsiaTheme="minorEastAsia"/>
        </w:rPr>
        <w:t>, S, &amp; H, 2019)</w:t>
      </w:r>
      <w:r w:rsidR="004E19A5">
        <w:rPr>
          <w:rFonts w:eastAsiaTheme="minorEastAsia"/>
        </w:rPr>
        <w:fldChar w:fldCharType="end"/>
      </w:r>
      <w:r w:rsidR="00303174">
        <w:t xml:space="preserve">, </w:t>
      </w:r>
      <w:r w:rsidR="004E19A5">
        <w:rPr>
          <w:rFonts w:eastAsiaTheme="minorEastAsia"/>
        </w:rPr>
        <w:fldChar w:fldCharType="begin"/>
      </w:r>
      <w:r w:rsidR="004E19A5">
        <w:rPr>
          <w:rFonts w:eastAsiaTheme="minorEastAsia"/>
        </w:rPr>
        <w:instrText xml:space="preserve"> ADDIN PAPERS2_CITATIONS &lt;citation&gt;&lt;priority&gt;57&lt;/priority&gt;&lt;uuid&gt;E53A2E8E-8D48-47B1-B48D-D61A2200CCA1&lt;/uuid&gt;&lt;publications&gt;&lt;publication&gt;&lt;subtype&gt;400&lt;/subtype&gt;&lt;title&gt;MiRNA Expression in Cystic Fibrosis Bronchial Epithelial Cells.&lt;/title&gt;&lt;url&gt;http://eutils.ncbi.nlm.nih.gov/entrez/eutils/elink.fcgi?dbfrom=pubmed&amp;amp;id=27826918&amp;amp;retmode=ref&amp;amp;cmd=prlinks&lt;/url&gt;&lt;volume&gt;1509&lt;/volume&gt;&lt;publication_date&gt;99201700001200000000200000&lt;/publication_date&gt;&lt;uuid&gt;B0C8BFE9-EF26-4898-A1EF-4B84CF76A92B&lt;/uuid&gt;&lt;type&gt;400&lt;/type&gt;&lt;doi&gt;10.1007/978-1-4939-6524-3_7&lt;/doi&gt;&lt;institution&gt;Royal College of Surgeons in Ireland, Education and Research Centre, Beaumont Hospital, Dublin, Ireland. ioglesby@rcsi.ie.&lt;/institution&gt;&lt;startpage&gt;57&lt;/startpage&gt;&lt;endpage&gt;69&lt;/endpage&gt;&lt;bundle&gt;&lt;publication&gt;&lt;title&gt;Methods in molecular biology (Clifton, N.J.)&lt;/title&gt;&lt;uuid&gt;44C794BD-5636-4097-9F03-880DED6CA612&lt;/uuid&gt;&lt;subtype&gt;-100&lt;/subtype&gt;&lt;type&gt;-100&lt;/type&gt;&lt;/publication&gt;&lt;/bundle&gt;&lt;authors&gt;&lt;author&gt;&lt;lastName&gt;Oglesby&lt;/lastName&gt;&lt;firstName&gt;Irene&lt;/firstName&gt;&lt;middleNames&gt;K&lt;/middleNames&gt;&lt;/author&gt;&lt;author&gt;&lt;lastName&gt;McKiernan&lt;/lastName&gt;&lt;firstName&gt;Paul&lt;/firstName&gt;&lt;middleNames&gt;J&lt;/middleNames&gt;&lt;/author&gt;&lt;/authors&gt;&lt;/publication&gt;&lt;/publications&gt;&lt;cites&gt;&lt;/cites&gt;&lt;/citation&gt;</w:instrText>
      </w:r>
      <w:r w:rsidR="004E19A5">
        <w:rPr>
          <w:rFonts w:eastAsiaTheme="minorEastAsia"/>
        </w:rPr>
        <w:fldChar w:fldCharType="separate"/>
      </w:r>
      <w:r w:rsidR="004E19A5">
        <w:rPr>
          <w:rFonts w:eastAsiaTheme="minorEastAsia"/>
        </w:rPr>
        <w:t>(Oglesby &amp; McKiernan, 2017)</w:t>
      </w:r>
      <w:r w:rsidR="004E19A5">
        <w:rPr>
          <w:rFonts w:eastAsiaTheme="minorEastAsia"/>
        </w:rPr>
        <w:fldChar w:fldCharType="end"/>
      </w:r>
      <w:r w:rsidR="00303174">
        <w:rPr>
          <w:rFonts w:eastAsiaTheme="minorEastAsia"/>
        </w:rPr>
        <w:t>.</w:t>
      </w:r>
      <w:r w:rsidR="006E75C9">
        <w:rPr>
          <w:rFonts w:eastAsiaTheme="minorEastAsia"/>
        </w:rPr>
        <w:t xml:space="preserve"> </w:t>
      </w:r>
      <w:r w:rsidR="006A7AAD">
        <w:rPr>
          <w:rFonts w:eastAsiaTheme="minorEastAsia"/>
        </w:rPr>
        <w:t xml:space="preserve">Even though </w:t>
      </w:r>
      <w:r w:rsidR="00DB6994">
        <w:rPr>
          <w:rFonts w:eastAsiaTheme="minorEastAsia"/>
        </w:rPr>
        <w:t>miRNA</w:t>
      </w:r>
      <w:r w:rsidR="006D569D">
        <w:rPr>
          <w:rFonts w:eastAsiaTheme="minorEastAsia"/>
        </w:rPr>
        <w:t xml:space="preserve"> changes</w:t>
      </w:r>
      <w:r w:rsidR="00DB6994">
        <w:rPr>
          <w:rFonts w:eastAsiaTheme="minorEastAsia"/>
        </w:rPr>
        <w:t xml:space="preserve"> are not causative they can still have a negative effect, adding to disease processes. Bhattacharyya et al., identified that elevated expression of miR-155 was to blame for increased IL-8 activity, further </w:t>
      </w:r>
      <w:r w:rsidR="006D569D">
        <w:rPr>
          <w:rFonts w:eastAsiaTheme="minorEastAsia"/>
        </w:rPr>
        <w:t>exacerbating</w:t>
      </w:r>
      <w:r w:rsidR="00303174">
        <w:t xml:space="preserve"> the pro-inflammatory phenotype of CF</w:t>
      </w:r>
      <w:r w:rsidR="006E75C9">
        <w:t xml:space="preserve"> </w:t>
      </w:r>
      <w:r w:rsidR="004E19A5">
        <w:rPr>
          <w:rFonts w:eastAsiaTheme="minorEastAsia"/>
        </w:rPr>
        <w:fldChar w:fldCharType="begin"/>
      </w:r>
      <w:r w:rsidR="004E19A5">
        <w:rPr>
          <w:rFonts w:eastAsiaTheme="minorEastAsia"/>
        </w:rPr>
        <w:instrText xml:space="preserve"> ADDIN PAPERS2_CITATIONS &lt;citation&gt;&lt;priority&gt;58&lt;/priority&gt;&lt;uuid&gt;2C0BE174-D23C-42FE-88BC-3682E44A7B11&lt;/uuid&gt;&lt;publications&gt;&lt;publication&gt;&lt;subtype&gt;400&lt;/subtype&gt;&lt;title&gt;Elevated miR-155 promotes inflammation in cystic fibrosis by driving hyperexpression of interleukin-8.&lt;/title&gt;&lt;url&gt;http://eutils.ncbi.nlm.nih.gov/entrez/eutils/elink.fcgi?dbfrom=pubmed&amp;amp;id=21282106&amp;amp;retmode=ref&amp;amp;cmd=prlinks&lt;/url&gt;&lt;volume&gt;286&lt;/volume&gt;&lt;publication_date&gt;99201104011200000000222000&lt;/publication_date&gt;&lt;uuid&gt;A86755BA-A796-4AEA-8E3A-1A74CB01B348&lt;/uuid&gt;&lt;type&gt;400&lt;/type&gt;&lt;number&gt;13&lt;/number&gt;&lt;doi&gt;10.1074/jbc.M110.198390&lt;/doi&gt;&lt;institution&gt;Department of Health Systems, Risk, and Contingency Management, Graduate School of Nursing, Uniformed Services University of the Health Sciences, Bethesda, Maryland 20814, USA.&lt;/institution&gt;&lt;startpage&gt;11604&lt;/startpage&gt;&lt;endpage&gt;11615&lt;/endpage&gt;&lt;bundle&gt;&lt;publication&gt;&lt;title&gt;Journal of Biological Chemistry&lt;/title&gt;&lt;uuid&gt;E4DDA396-44A4-429A-AB72-EDB46FC8F621&lt;/uuid&gt;&lt;subtype&gt;-100&lt;/subtype&gt;&lt;type&gt;-100&lt;/type&gt;&lt;/publication&gt;&lt;/bundle&gt;&lt;authors&gt;&lt;author&gt;&lt;lastName&gt;Bhattacharyya&lt;/lastName&gt;&lt;firstName&gt;Sharmistha&lt;/firstName&gt;&lt;/author&gt;&lt;author&gt;&lt;lastName&gt;Balakathiresan&lt;/lastName&gt;&lt;firstName&gt;Nagaraja&lt;/firstName&gt;&lt;middleNames&gt;S&lt;/middleNames&gt;&lt;/author&gt;&lt;author&gt;&lt;lastName&gt;Dalgard&lt;/lastName&gt;&lt;firstName&gt;Clifton&lt;/firstName&gt;&lt;/author&gt;&lt;author&gt;&lt;lastName&gt;Gutti&lt;/lastName&gt;&lt;firstName&gt;Usha&lt;/firstName&gt;&lt;/author&gt;&lt;author&gt;&lt;lastName&gt;Armistead&lt;/lastName&gt;&lt;firstName&gt;David&lt;/firstName&gt;&lt;/author&gt;&lt;author&gt;&lt;lastName&gt;Jozwik&lt;/lastName&gt;&lt;firstName&gt;Cathy&lt;/firstName&gt;&lt;/author&gt;&lt;author&gt;&lt;lastName&gt;Srivastava&lt;/lastName&gt;&lt;firstName&gt;Meera&lt;/firstName&gt;&lt;/author&gt;&lt;author&gt;&lt;lastName&gt;Pollard&lt;/lastName&gt;&lt;firstName&gt;Harvey&lt;/firstName&gt;&lt;middleNames&gt;B&lt;/middleNames&gt;&lt;/author&gt;&lt;author&gt;&lt;lastName&gt;Biswas&lt;/lastName&gt;&lt;firstName&gt;Roopa&lt;/firstName&gt;&lt;/author&gt;&lt;/authors&gt;&lt;/publication&gt;&lt;/publications&gt;&lt;cites&gt;&lt;/cites&gt;&lt;/citation&gt;</w:instrText>
      </w:r>
      <w:r w:rsidR="004E19A5">
        <w:rPr>
          <w:rFonts w:eastAsiaTheme="minorEastAsia"/>
        </w:rPr>
        <w:fldChar w:fldCharType="separate"/>
      </w:r>
      <w:r w:rsidR="004E19A5">
        <w:rPr>
          <w:rFonts w:eastAsiaTheme="minorEastAsia"/>
        </w:rPr>
        <w:t>(Bhattacharyya et al., 2011)</w:t>
      </w:r>
      <w:r w:rsidR="004E19A5">
        <w:rPr>
          <w:rFonts w:eastAsiaTheme="minorEastAsia"/>
        </w:rPr>
        <w:fldChar w:fldCharType="end"/>
      </w:r>
      <w:r w:rsidR="00303174">
        <w:rPr>
          <w:rFonts w:eastAsiaTheme="minorEastAsia"/>
        </w:rPr>
        <w:t xml:space="preserve">. </w:t>
      </w:r>
    </w:p>
    <w:p w14:paraId="3D91D03A" w14:textId="1BB20C8C" w:rsidR="00A12009" w:rsidRDefault="00A12009" w:rsidP="00A12009"/>
    <w:p w14:paraId="78220EE7" w14:textId="2E605981" w:rsidR="005B57CA" w:rsidRDefault="005B57CA" w:rsidP="000002CF">
      <w:pPr>
        <w:pStyle w:val="Body"/>
      </w:pPr>
      <w:r>
        <w:t xml:space="preserve">Conversely, there are examples of miRNAs having strong links with the pathobiology and that altering the candidate miRNAs expression can ameliorate measures of disease. </w:t>
      </w:r>
      <w:r w:rsidR="00CA4992">
        <w:t>Th</w:t>
      </w:r>
      <w:r w:rsidR="006D569D">
        <w:t>is has been</w:t>
      </w:r>
      <w:r w:rsidR="00CA4992">
        <w:t xml:space="preserve"> </w:t>
      </w:r>
      <w:r w:rsidR="006D569D">
        <w:t xml:space="preserve">demonstrated most clearly </w:t>
      </w:r>
      <w:r w:rsidR="00CA4992">
        <w:t>using miRNA conditional knockout mice</w:t>
      </w:r>
      <w:r w:rsidR="000A71AB">
        <w:t>.</w:t>
      </w:r>
      <w:r w:rsidR="006D569D">
        <w:t xml:space="preserve"> The</w:t>
      </w:r>
      <w:r w:rsidR="000A71AB">
        <w:t xml:space="preserve"> role of miR-155 dysregulation in pulmonary fibrosis was investigated using an endothelial specific conditional knockout of miR-155 mice.</w:t>
      </w:r>
      <w:r w:rsidR="00213E7F">
        <w:t xml:space="preserve"> In the bleomycin mouse model of pulmonary fibrosis</w:t>
      </w:r>
      <w:r w:rsidR="00855DFD">
        <w:t xml:space="preserve"> Tang et al., found reported that conditional deletion of miR-155 resulted in a reduced </w:t>
      </w:r>
      <w:proofErr w:type="spellStart"/>
      <w:r w:rsidR="00855DFD">
        <w:t>EndoMT</w:t>
      </w:r>
      <w:proofErr w:type="spellEnd"/>
      <w:r w:rsidR="00855DFD">
        <w:t xml:space="preserve"> response and reduced lung fibrosis.</w:t>
      </w:r>
    </w:p>
    <w:p w14:paraId="78F7600F" w14:textId="47A3FEDF" w:rsidR="007B7EE7" w:rsidRDefault="007B7EE7" w:rsidP="007B7EE7"/>
    <w:p w14:paraId="79757C03" w14:textId="77777777" w:rsidR="00501211" w:rsidRPr="00B54344" w:rsidRDefault="00501211" w:rsidP="007B7EE7"/>
    <w:p w14:paraId="452D18E8" w14:textId="1637C9DD" w:rsidR="007B7EE7" w:rsidRDefault="007B7EE7" w:rsidP="007B7EE7">
      <w:pPr>
        <w:pStyle w:val="Heading2"/>
        <w:numPr>
          <w:ilvl w:val="2"/>
          <w:numId w:val="7"/>
        </w:numPr>
        <w:spacing w:before="120" w:after="120"/>
      </w:pPr>
      <w:bookmarkStart w:id="50" w:name="_Toc60773855"/>
      <w:r>
        <w:t>MicroRNAs in PAH</w:t>
      </w:r>
      <w:bookmarkEnd w:id="50"/>
    </w:p>
    <w:p w14:paraId="3E0B29DF" w14:textId="25A6E3AB" w:rsidR="00E94C7E" w:rsidRDefault="006456A2" w:rsidP="00587984">
      <w:pPr>
        <w:pStyle w:val="Body"/>
      </w:pPr>
      <w:r>
        <w:t xml:space="preserve">Dysregulation of microRNA expression has been implicated </w:t>
      </w:r>
      <w:r w:rsidR="00BC1238">
        <w:t>as part of</w:t>
      </w:r>
      <w:r>
        <w:t xml:space="preserve"> the pathophysiology of PAH</w:t>
      </w:r>
      <w:r w:rsidR="007D0B95">
        <w:t xml:space="preserve"> </w:t>
      </w:r>
      <w:r w:rsidR="004E19A5">
        <w:rPr>
          <w:rFonts w:eastAsiaTheme="minorEastAsia"/>
        </w:rPr>
        <w:fldChar w:fldCharType="begin"/>
      </w:r>
      <w:r w:rsidR="004E19A5">
        <w:rPr>
          <w:rFonts w:eastAsiaTheme="minorEastAsia"/>
        </w:rPr>
        <w:instrText xml:space="preserve"> ADDIN PAPERS2_CITATIONS &lt;citation&gt;&lt;priority&gt;59&lt;/priority&gt;&lt;uuid&gt;AD85AECF-AAC1-4425-B862-5ECC1BF1857B&lt;/uuid&gt;&lt;publications&gt;&lt;publication&gt;&lt;subtype&gt;400&lt;/subtype&gt;&lt;title&gt;Translational Advances in the Field of Pulmonary Hypertension. Translating MicroRNA Biology in Pulmonary Hypertension. It Will Take More Than "miR" Words.&lt;/title&gt;&lt;url&gt;http://eutils.ncbi.nlm.nih.gov/entrez/eutils/elink.fcgi?dbfrom=pubmed&amp;amp;id=27648944&amp;amp;retmode=ref&amp;amp;cmd=prlinks&lt;/url&gt;&lt;volume&gt;195&lt;/volume&gt;&lt;publication_date&gt;99201701151200000000222000&lt;/publication_date&gt;&lt;uuid&gt;3BF4F125-5C0E-4A46-8175-D40452381D18&lt;/uuid&gt;&lt;type&gt;400&lt;/type&gt;&lt;number&gt;2&lt;/number&gt;&lt;doi&gt;10.1164/rccm.201604-0886PP&lt;/doi&gt;&lt;institution&gt;1 Section of Cardiovascular Medicine, Department of Internal Medicine, Yale Cardiovascular Research Center, Yale University School of Medicine, New Haven, Connecticut.&lt;/institution&gt;&lt;startpage&gt;167&lt;/startpage&gt;&lt;endpage&gt;178&lt;/endpage&gt;&lt;bundle&gt;&lt;publication&gt;&lt;title&gt;American journal of respiratory and critical care medicine&lt;/title&gt;&lt;uuid&gt;6449F919-B7B0-4590-B1EB-52EBB4E4B50D&lt;/uuid&gt;&lt;subtype&gt;-100&lt;/subtype&gt;&lt;publisher&gt;American Thoracic Society&lt;/publisher&gt;&lt;type&gt;-100&lt;/type&gt;&lt;/publication&gt;&lt;/bundle&gt;&lt;authors&gt;&lt;author&gt;&lt;lastName&gt;Chun&lt;/lastName&gt;&lt;firstName&gt;Hyung&lt;/firstName&gt;&lt;middleNames&gt;J&lt;/middleNames&gt;&lt;/author&gt;&lt;author&gt;&lt;lastName&gt;Bonnet&lt;/lastName&gt;&lt;firstName&gt;Sébastien&lt;/firstName&gt;&lt;/author&gt;&lt;author&gt;&lt;lastName&gt;Chan&lt;/lastName&gt;&lt;firstName&gt;Stephen&lt;/firstName&gt;&lt;middleNames&gt;Y&lt;/middleNames&gt;&lt;/author&gt;&lt;/authors&gt;&lt;/publication&gt;&lt;/publications&gt;&lt;cites&gt;&lt;/cites&gt;&lt;/citation&gt;</w:instrText>
      </w:r>
      <w:r w:rsidR="004E19A5">
        <w:rPr>
          <w:rFonts w:eastAsiaTheme="minorEastAsia"/>
        </w:rPr>
        <w:fldChar w:fldCharType="separate"/>
      </w:r>
      <w:r w:rsidR="004E19A5">
        <w:rPr>
          <w:rFonts w:eastAsiaTheme="minorEastAsia"/>
        </w:rPr>
        <w:t>(Chun, Bonnet, &amp; Chan, 2017)</w:t>
      </w:r>
      <w:r w:rsidR="004E19A5">
        <w:rPr>
          <w:rFonts w:eastAsiaTheme="minorEastAsia"/>
        </w:rPr>
        <w:fldChar w:fldCharType="end"/>
      </w:r>
      <w:r>
        <w:t>.</w:t>
      </w:r>
      <w:r w:rsidR="001401DB">
        <w:t xml:space="preserve"> </w:t>
      </w:r>
    </w:p>
    <w:p w14:paraId="63BAA643" w14:textId="77777777" w:rsidR="00E94C7E" w:rsidRDefault="00E94C7E" w:rsidP="00587984">
      <w:pPr>
        <w:pStyle w:val="Body"/>
      </w:pPr>
    </w:p>
    <w:p w14:paraId="7547F15C" w14:textId="05CDCEF7" w:rsidR="00E140B5" w:rsidRPr="00E94C7E" w:rsidRDefault="00B53663" w:rsidP="00587984">
      <w:pPr>
        <w:pStyle w:val="Body"/>
      </w:pPr>
      <w:r>
        <w:t>Reduced</w:t>
      </w:r>
      <w:r w:rsidR="001401DB">
        <w:t xml:space="preserve"> BMPR2 signalling is</w:t>
      </w:r>
      <w:r>
        <w:t xml:space="preserve"> a</w:t>
      </w:r>
      <w:r w:rsidR="001401DB">
        <w:t xml:space="preserve"> key </w:t>
      </w:r>
      <w:r>
        <w:t xml:space="preserve">pathway in </w:t>
      </w:r>
      <w:r w:rsidR="001401DB">
        <w:t>PAH</w:t>
      </w:r>
      <w:r>
        <w:t xml:space="preserve"> pathogenesis, </w:t>
      </w:r>
      <w:r w:rsidR="00560F28">
        <w:t>whereby loss of BMPR2 induces PASMC proliferation</w:t>
      </w:r>
      <w:r w:rsidR="00B374FC">
        <w:t xml:space="preserve"> </w:t>
      </w:r>
      <w:r w:rsidR="004E19A5">
        <w:rPr>
          <w:rFonts w:eastAsiaTheme="minorEastAsia"/>
        </w:rPr>
        <w:fldChar w:fldCharType="begin"/>
      </w:r>
      <w:r w:rsidR="004E19A5">
        <w:rPr>
          <w:rFonts w:eastAsiaTheme="minorEastAsia"/>
        </w:rPr>
        <w:instrText xml:space="preserve"> ADDIN PAPERS2_CITATIONS &lt;citation&gt;&lt;priority&gt;60&lt;/priority&gt;&lt;uuid&gt;9920B51E-EDC5-463A-B1B3-D9FFB44B2478&lt;/uuid&gt;&lt;publications&gt;&lt;publication&gt;&lt;subtype&gt;400&lt;/subtype&gt;&lt;publisher&gt;Circulation&lt;/publisher&gt;&lt;title&gt;Altered growth responses of pulmonary artery smooth muscle cells from patients with primary pulmonary hypertension to transforming growth factor-beta(1) and bone morphogenetic proteins&lt;/title&gt;&lt;url&gt;https://www.ahajournals.org/doi/10.1161/hc3201.094152&lt;/url&gt;&lt;volume&gt;104&lt;/volume&gt;&lt;publication_date&gt;99200108141200000000222000&lt;/publication_date&gt;&lt;uuid&gt;4AE82E8B-1662-4393-916D-C6797BAF71A4&lt;/uuid&gt;&lt;type&gt;400&lt;/type&gt;&lt;number&gt;7&lt;/number&gt;&lt;doi&gt;10.1161/hc3201.094152&lt;/doi&gt;&lt;institution&gt;Department of Medicine, University of Cambridge, Addenbrooke's and Papworth Hospitals, Cambridge, United Kingdom. nwm23@cam.ac.uk&lt;/institution&gt;&lt;startpage&gt;790&lt;/startpage&gt;&lt;endpage&gt;795&lt;/endpage&gt;&lt;bundle&gt;&lt;publication&gt;&lt;title&gt;Circulation&lt;/title&gt;&lt;uuid&gt;84ABD4FC-80F5-4F0D-870C-F717BDBAAE9D&lt;/uuid&gt;&lt;subtype&gt;-100&lt;/subtype&gt;&lt;publisher&gt;NIH Public Access&lt;/publisher&gt;&lt;type&gt;-100&lt;/type&gt;&lt;/publication&gt;&lt;/bundle&gt;&lt;authors&gt;&lt;author&gt;&lt;lastName&gt;NW&lt;/lastName&gt;&lt;firstName&gt;Morrell&lt;/firstName&gt;&lt;/author&gt;&lt;author&gt;&lt;lastName&gt;X&lt;/lastName&gt;&lt;firstName&gt;Yang&lt;/firstName&gt;&lt;/author&gt;&lt;author&gt;&lt;lastName&gt;PD&lt;/lastName&gt;&lt;firstName&gt;Upton&lt;/firstName&gt;&lt;/author&gt;&lt;author&gt;&lt;lastName&gt;KB&lt;/lastName&gt;&lt;firstName&gt;Jourdan&lt;/firstName&gt;&lt;/author&gt;&lt;author&gt;&lt;lastName&gt;N&lt;/lastName&gt;&lt;firstName&gt;Morgan&lt;/firstName&gt;&lt;/author&gt;&lt;author&gt;&lt;lastName&gt;KK&lt;/lastName&gt;&lt;firstName&gt;Sheares&lt;/firstName&gt;&lt;/author&gt;&lt;author&gt;&lt;lastName&gt;RC&lt;/lastName&gt;&lt;firstName&gt;Trembath&lt;/firstName&gt;&lt;/author&gt;&lt;/authors&gt;&lt;/publication&gt;&lt;/publications&gt;&lt;cites&gt;&lt;/cites&gt;&lt;/citation&gt;</w:instrText>
      </w:r>
      <w:r w:rsidR="004E19A5">
        <w:rPr>
          <w:rFonts w:eastAsiaTheme="minorEastAsia"/>
        </w:rPr>
        <w:fldChar w:fldCharType="separate"/>
      </w:r>
      <w:r w:rsidR="004E19A5">
        <w:rPr>
          <w:rFonts w:eastAsiaTheme="minorEastAsia"/>
        </w:rPr>
        <w:t>(NW et al., 2001)</w:t>
      </w:r>
      <w:r w:rsidR="004E19A5">
        <w:rPr>
          <w:rFonts w:eastAsiaTheme="minorEastAsia"/>
        </w:rPr>
        <w:fldChar w:fldCharType="end"/>
      </w:r>
      <w:r w:rsidR="00560F28" w:rsidRPr="00560F28">
        <w:t xml:space="preserve">. Additionally, </w:t>
      </w:r>
      <w:r w:rsidR="00560F28">
        <w:t xml:space="preserve">BMPR2 </w:t>
      </w:r>
      <w:r w:rsidR="00560F28">
        <w:lastRenderedPageBreak/>
        <w:t>haploinsufficiency is found within hereditary PAH as the result</w:t>
      </w:r>
      <w:r w:rsidR="00EC58E3">
        <w:t xml:space="preserve"> of</w:t>
      </w:r>
      <w:r w:rsidR="00560F28">
        <w:t xml:space="preserve"> </w:t>
      </w:r>
      <w:r>
        <w:t xml:space="preserve">mutations in </w:t>
      </w:r>
      <w:r w:rsidR="00EC58E3">
        <w:t xml:space="preserve">the encoding </w:t>
      </w:r>
      <w:r>
        <w:t>gene</w:t>
      </w:r>
      <w:r w:rsidR="004E19A5">
        <w:rPr>
          <w:rFonts w:eastAsiaTheme="minorEastAsia"/>
        </w:rPr>
        <w:fldChar w:fldCharType="begin"/>
      </w:r>
      <w:r w:rsidR="004E19A5">
        <w:rPr>
          <w:rFonts w:eastAsiaTheme="minorEastAsia"/>
        </w:rPr>
        <w:instrText xml:space="preserve"> ADDIN PAPERS2_CITATIONS &lt;citation&gt;&lt;priority&gt;61&lt;/priority&gt;&lt;uuid&gt;5691F2BC-E1B6-45B5-B424-E17B86ACCE42&lt;/uuid&gt;&lt;publications&gt;&lt;publication&gt;&lt;subtype&gt;400&lt;/subtype&gt;&lt;title&gt;Heterozygous germline mutations in BMPR2, encoding a TGF-beta receptor, cause familial primary pulmonary hypertension.&lt;/title&gt;&lt;url&gt;http://www.nature.com/doifinder/10.1038/79226&lt;/url&gt;&lt;volume&gt;26&lt;/volume&gt;&lt;publication_date&gt;99200009001200000000220000&lt;/publication_date&gt;&lt;uuid&gt;4A63D56B-EF38-4DD2-9BF7-764EC0473E17&lt;/uuid&gt;&lt;type&gt;400&lt;/type&gt;&lt;number&gt;1&lt;/number&gt;&lt;doi&gt;10.1038/79226&lt;/doi&gt;&lt;institution&gt;Vanderbilt University Medical Center, Nashville, Tennessee, USA.&lt;/institution&gt;&lt;startpage&gt;81&lt;/startpage&gt;&lt;endpage&gt;84&lt;/endpage&gt;&lt;bundle&gt;&lt;publication&gt;&lt;title&gt;Nature genetics&lt;/title&gt;&lt;uuid&gt;FAE980BE-5D06-482D-89A1-0728C18AAF82&lt;/uuid&gt;&lt;subtype&gt;-100&lt;/subtype&gt;&lt;type&gt;-100&lt;/type&gt;&lt;/publication&gt;&lt;/bundle&gt;&lt;authors&gt;&lt;author&gt;&lt;lastName&gt;International PPH Consortium&lt;/lastName&gt;&lt;/author&gt;&lt;author&gt;&lt;lastName&gt;Lane&lt;/lastName&gt;&lt;firstName&gt;K&lt;/firstName&gt;&lt;middleNames&gt;B&lt;/middleNames&gt;&lt;/author&gt;&lt;author&gt;&lt;lastName&gt;Machado&lt;/lastName&gt;&lt;firstName&gt;R&lt;/firstName&gt;&lt;middleNames&gt;D&lt;/middleNames&gt;&lt;/author&gt;&lt;author&gt;&lt;lastName&gt;Pauciulo&lt;/lastName&gt;&lt;firstName&gt;M&lt;/firstName&gt;&lt;middleNames&gt;W&lt;/middleNames&gt;&lt;/author&gt;&lt;author&gt;&lt;lastName&gt;Thomson&lt;/lastName&gt;&lt;firstName&gt;J&lt;/firstName&gt;&lt;middleNames&gt;R&lt;/middleNames&gt;&lt;/author&gt;&lt;author&gt;&lt;lastName&gt;Phillips&lt;/lastName&gt;&lt;firstName&gt;J&lt;/firstName&gt;&lt;middleNames&gt;A&lt;/middleNames&gt;&lt;/author&gt;&lt;author&gt;&lt;lastName&gt;Loyd&lt;/lastName&gt;&lt;firstName&gt;J&lt;/firstName&gt;&lt;middleNames&gt;E&lt;/middleNames&gt;&lt;/author&gt;&lt;author&gt;&lt;lastName&gt;Nichols&lt;/lastName&gt;&lt;firstName&gt;W&lt;/firstName&gt;&lt;middleNames&gt;C&lt;/middleNames&gt;&lt;/author&gt;&lt;author&gt;&lt;lastName&gt;Trembath&lt;/lastName&gt;&lt;firstName&gt;R&lt;/firstName&gt;&lt;middleNames&gt;C&lt;/middleNames&gt;&lt;/author&gt;&lt;/authors&gt;&lt;/publication&gt;&lt;/publications&gt;&lt;cites&gt;&lt;/cites&gt;&lt;/citation&gt;</w:instrText>
      </w:r>
      <w:r w:rsidR="004E19A5">
        <w:rPr>
          <w:rFonts w:eastAsiaTheme="minorEastAsia"/>
        </w:rPr>
        <w:fldChar w:fldCharType="separate"/>
      </w:r>
      <w:r w:rsidR="004E19A5">
        <w:rPr>
          <w:rFonts w:eastAsiaTheme="minorEastAsia"/>
        </w:rPr>
        <w:t>(International PPH Consortium et al., 2000)</w:t>
      </w:r>
      <w:r w:rsidR="004E19A5">
        <w:rPr>
          <w:rFonts w:eastAsiaTheme="minorEastAsia"/>
        </w:rPr>
        <w:fldChar w:fldCharType="end"/>
      </w:r>
      <w:r>
        <w:t>.</w:t>
      </w:r>
      <w:r w:rsidR="00E94C7E">
        <w:t xml:space="preserve"> </w:t>
      </w:r>
      <w:r w:rsidR="00EC58E3">
        <w:t xml:space="preserve">BMPR2 expression has been shown to be indirectly moderated by miR-140-5p </w:t>
      </w:r>
      <w:r w:rsidR="004E19A5">
        <w:rPr>
          <w:rFonts w:eastAsiaTheme="minorEastAsia"/>
        </w:rPr>
        <w:fldChar w:fldCharType="begin"/>
      </w:r>
      <w:r w:rsidR="004E19A5">
        <w:rPr>
          <w:rFonts w:eastAsiaTheme="minorEastAsia"/>
        </w:rPr>
        <w:instrText xml:space="preserve"> ADDIN PAPERS2_CITATIONS &lt;citation&gt;&lt;priority&gt;62&lt;/priority&gt;&lt;uuid&gt;1651AA23-09F1-4280-AF49-FEDD00EA3F67&lt;/uuid&gt;&lt;publications&gt;&lt;publication&gt;&lt;subtype&gt;400&lt;/subtype&gt;&lt;publisher&gt;American Society for Clinical Investigation&lt;/publisher&gt;&lt;title&gt;MicroRNA-140-5p and SMURF1 regulate pulmonary arterial hypertension&lt;/title&gt;&lt;url&gt;https://www.jci.org/articles/view/83361&lt;/url&gt;&lt;volume&gt;126&lt;/volume&gt;&lt;publication_date&gt;99201607011200000000222000&lt;/publication_date&gt;&lt;uuid&gt;426077CF-FB48-4479-8631-7BC3F026AB0C&lt;/uuid&gt;&lt;type&gt;400&lt;/type&gt;&lt;number&gt;7&lt;/number&gt;&lt;doi&gt;10.1172/JCI83361&lt;/doi&gt;&lt;startpage&gt;2495&lt;/startpage&gt;&lt;endpage&gt;2508&lt;/endpage&gt;&lt;bundle&gt;&lt;publication&gt;&lt;title&gt;Journal of Clinical Investigation&lt;/title&gt;&lt;uuid&gt;06B3D008-AAB3-477A-B431-645A79F34B3D&lt;/uuid&gt;&lt;subtype&gt;-100&lt;/subtype&gt;&lt;publisher&gt;American Society for Clinical Investigation&lt;/publisher&gt;&lt;type&gt;-100&lt;/type&gt;&lt;/publication&gt;&lt;/bundle&gt;&lt;authors&gt;&lt;author&gt;&lt;lastName&gt;Rothman&lt;/lastName&gt;&lt;firstName&gt;Alexander&lt;/firstName&gt;&lt;middleNames&gt;M K&lt;/middleNames&gt;&lt;/author&gt;&lt;author&gt;&lt;lastName&gt;Arnold&lt;/lastName&gt;&lt;firstName&gt;Nadine&lt;/firstName&gt;&lt;middleNames&gt;D&lt;/middleNames&gt;&lt;/author&gt;&lt;author&gt;&lt;lastName&gt;Pickworth&lt;/lastName&gt;&lt;firstName&gt;Josephine&lt;/firstName&gt;&lt;middleNames&gt;A&lt;/middleNames&gt;&lt;/author&gt;&lt;author&gt;&lt;lastName&gt;Iremonger&lt;/lastName&gt;&lt;firstName&gt;James&lt;/firstName&gt;&lt;/author&gt;&lt;author&gt;&lt;lastName&gt;Ciuclan&lt;/lastName&gt;&lt;firstName&gt;Loredana&lt;/firstName&gt;&lt;/author&gt;&lt;author&gt;&lt;lastName&gt;Allen&lt;/lastName&gt;&lt;firstName&gt;Robert&lt;/firstName&gt;&lt;middleNames&gt;M H&lt;/middleNames&gt;&lt;/author&gt;&lt;author&gt;&lt;lastName&gt;Guth-Gundel&lt;/lastName&gt;&lt;firstName&gt;Sabine&lt;/firstName&gt;&lt;/author&gt;&lt;author&gt;&lt;lastName&gt;Southwood&lt;/lastName&gt;&lt;firstName&gt;Mark&lt;/firstName&gt;&lt;/author&gt;&lt;author&gt;&lt;lastName&gt;Morrell&lt;/lastName&gt;&lt;firstName&gt;Nicholas&lt;/firstName&gt;&lt;middleNames&gt;W&lt;/middleNames&gt;&lt;/author&gt;&lt;author&gt;&lt;lastName&gt;Thomas&lt;/lastName&gt;&lt;firstName&gt;Matthew&lt;/firstName&gt;&lt;/author&gt;&lt;author&gt;&lt;lastName&gt;Francis&lt;/lastName&gt;&lt;firstName&gt;Sheila&lt;/firstName&gt;&lt;middleNames&gt;E&lt;/middleNames&gt;&lt;/author&gt;&lt;author&gt;&lt;lastName&gt;Rowlands&lt;/lastName&gt;&lt;firstName&gt;David&lt;/firstName&gt;&lt;middleNames&gt;J&lt;/middleNames&gt;&lt;/author&gt;&lt;author&gt;&lt;lastName&gt;Lawrie&lt;/lastName&gt;&lt;firstName&gt;Allan&lt;/firstName&gt;&lt;/author&gt;&lt;/authors&gt;&lt;/publication&gt;&lt;/publications&gt;&lt;cites&gt;&lt;/cites&gt;&lt;/citation&gt;</w:instrText>
      </w:r>
      <w:r w:rsidR="004E19A5">
        <w:rPr>
          <w:rFonts w:eastAsiaTheme="minorEastAsia"/>
        </w:rPr>
        <w:fldChar w:fldCharType="separate"/>
      </w:r>
      <w:r w:rsidR="004E19A5">
        <w:rPr>
          <w:rFonts w:eastAsiaTheme="minorEastAsia"/>
        </w:rPr>
        <w:t>(Rothman et al., 2016)</w:t>
      </w:r>
      <w:r w:rsidR="004E19A5">
        <w:rPr>
          <w:rFonts w:eastAsiaTheme="minorEastAsia"/>
        </w:rPr>
        <w:fldChar w:fldCharType="end"/>
      </w:r>
      <w:r w:rsidR="00EC58E3">
        <w:rPr>
          <w:rFonts w:eastAsiaTheme="minorEastAsia"/>
        </w:rPr>
        <w:t xml:space="preserve">. </w:t>
      </w:r>
      <w:r w:rsidR="00D3552B">
        <w:rPr>
          <w:rFonts w:eastAsiaTheme="minorEastAsia"/>
        </w:rPr>
        <w:t>SMURF1 is a negative regulator of BMP signalling</w:t>
      </w:r>
      <w:r w:rsidR="00B374FC">
        <w:rPr>
          <w:rFonts w:eastAsiaTheme="minorEastAsia"/>
        </w:rPr>
        <w:t xml:space="preserve"> and expression increased in patients,</w:t>
      </w:r>
      <w:r w:rsidR="00D3552B">
        <w:rPr>
          <w:rFonts w:eastAsiaTheme="minorEastAsia"/>
        </w:rPr>
        <w:t xml:space="preserve"> </w:t>
      </w:r>
      <w:r w:rsidR="00465D7F">
        <w:rPr>
          <w:rFonts w:eastAsiaTheme="minorEastAsia"/>
        </w:rPr>
        <w:t>over expression of miR-140-5</w:t>
      </w:r>
      <w:r w:rsidR="00B374FC">
        <w:rPr>
          <w:rFonts w:eastAsiaTheme="minorEastAsia"/>
        </w:rPr>
        <w:t>p</w:t>
      </w:r>
      <w:r w:rsidR="00465D7F">
        <w:rPr>
          <w:rFonts w:eastAsiaTheme="minorEastAsia"/>
        </w:rPr>
        <w:t xml:space="preserve"> was shown to decrease SMURF1</w:t>
      </w:r>
      <w:r w:rsidR="00B374FC">
        <w:rPr>
          <w:rFonts w:eastAsiaTheme="minorEastAsia"/>
        </w:rPr>
        <w:t xml:space="preserve"> expression, </w:t>
      </w:r>
      <w:r w:rsidR="00465D7F">
        <w:rPr>
          <w:rFonts w:eastAsiaTheme="minorEastAsia"/>
        </w:rPr>
        <w:t>increas</w:t>
      </w:r>
      <w:r w:rsidR="00B374FC">
        <w:rPr>
          <w:rFonts w:eastAsiaTheme="minorEastAsia"/>
        </w:rPr>
        <w:t>ing</w:t>
      </w:r>
      <w:r w:rsidR="00465D7F">
        <w:rPr>
          <w:rFonts w:eastAsiaTheme="minorEastAsia"/>
        </w:rPr>
        <w:t xml:space="preserve"> BMP signalling in PASMCs</w:t>
      </w:r>
      <w:r w:rsidR="00B374FC">
        <w:rPr>
          <w:rFonts w:eastAsiaTheme="minorEastAsia"/>
        </w:rPr>
        <w:t xml:space="preserve">. In </w:t>
      </w:r>
      <w:r w:rsidR="00F57931">
        <w:rPr>
          <w:rFonts w:eastAsiaTheme="minorEastAsia"/>
        </w:rPr>
        <w:t xml:space="preserve">further experimentation over expression of miR-140-5p </w:t>
      </w:r>
      <w:r w:rsidR="00B374FC">
        <w:rPr>
          <w:rFonts w:eastAsiaTheme="minorEastAsia"/>
        </w:rPr>
        <w:t xml:space="preserve">was shown to reduce </w:t>
      </w:r>
      <w:proofErr w:type="spellStart"/>
      <w:r w:rsidR="00B374FC">
        <w:rPr>
          <w:rFonts w:eastAsiaTheme="minorEastAsia"/>
        </w:rPr>
        <w:t>mPAP</w:t>
      </w:r>
      <w:proofErr w:type="spellEnd"/>
      <w:r w:rsidR="00B374FC">
        <w:rPr>
          <w:rFonts w:eastAsiaTheme="minorEastAsia"/>
        </w:rPr>
        <w:t xml:space="preserve"> in rats and proliferation in PASMCs</w:t>
      </w:r>
      <w:r w:rsidR="00465D7F">
        <w:rPr>
          <w:rFonts w:eastAsiaTheme="minorEastAsia"/>
        </w:rPr>
        <w:t>.</w:t>
      </w:r>
      <w:r w:rsidR="00DF191F">
        <w:rPr>
          <w:rFonts w:eastAsiaTheme="minorEastAsia"/>
        </w:rPr>
        <w:t xml:space="preserve"> </w:t>
      </w:r>
      <w:r w:rsidR="00F57931">
        <w:t>Direct regulation of BMPR2 expression has been shown with</w:t>
      </w:r>
      <w:r>
        <w:t xml:space="preserve"> </w:t>
      </w:r>
      <w:r w:rsidR="00300A1A">
        <w:t>m</w:t>
      </w:r>
      <w:r>
        <w:t xml:space="preserve">iR-21-5p </w:t>
      </w:r>
      <w:r w:rsidR="004E19A5">
        <w:rPr>
          <w:rFonts w:eastAsiaTheme="minorEastAsia"/>
        </w:rPr>
        <w:fldChar w:fldCharType="begin"/>
      </w:r>
      <w:r w:rsidR="004E19A5">
        <w:rPr>
          <w:rFonts w:eastAsiaTheme="minorEastAsia"/>
        </w:rPr>
        <w:instrText xml:space="preserve"> ADDIN PAPERS2_CITATIONS &lt;citation&gt;&lt;priority&gt;63&lt;/priority&gt;&lt;uuid&gt;85AC3871-2364-430E-9DB4-15CF1094F394&lt;/uuid&gt;&lt;publications&gt;&lt;publication&gt;&lt;subtype&gt;400&lt;/subtype&gt;&lt;publisher&gt;NIH Public Access&lt;/publisher&gt;&lt;title&gt;MicroRNA-21 Integrates Pathogenic Signaling to Control Pulmonary Hypertension: Results of a Network Bioinformatics Approach&lt;/title&gt;&lt;url&gt;https://www.ahajournals.org/doi/10.1161/CIRCULATIONAHA.111.060269&lt;/url&gt;&lt;volume&gt;125&lt;/volume&gt;&lt;publication_date&gt;99201203271200000000222000&lt;/publication_date&gt;&lt;uuid&gt;97D19ABF-4FC0-4FCA-8512-84378D336FDA&lt;/uuid&gt;&lt;type&gt;400&lt;/type&gt;&lt;number&gt;12&lt;/number&gt;&lt;subtitle&gt;Results of a Network Bioinformatics Approach&lt;/subtitle&gt;&lt;doi&gt;10.1161/CIRCULATIONAHA.111.060269&lt;/doi&gt;&lt;institution&gt;Brigham and Women's Hospital, New Research Building, 77 Ave. Louis Pasteur, Boston, MA 02115, USA.&lt;/institution&gt;&lt;startpage&gt;1520&lt;/startpage&gt;&lt;endpage&gt;1532&lt;/endpage&gt;&lt;bundle&gt;&lt;publication&gt;&lt;title&gt;Circulation&lt;/title&gt;&lt;uuid&gt;84ABD4FC-80F5-4F0D-870C-F717BDBAAE9D&lt;/uuid&gt;&lt;subtype&gt;-100&lt;/subtype&gt;&lt;publisher&gt;NIH Public Access&lt;/publisher&gt;&lt;type&gt;-100&lt;/type&gt;&lt;/publication&gt;&lt;/bundle&gt;&lt;authors&gt;&lt;author&gt;&lt;lastName&gt;Parikh&lt;/lastName&gt;&lt;firstName&gt;Victoria&lt;/firstName&gt;&lt;middleNames&gt;N&lt;/middleNames&gt;&lt;/author&gt;&lt;author&gt;&lt;lastName&gt;Jin&lt;/lastName&gt;&lt;firstName&gt;Richard&lt;/firstName&gt;&lt;middleNames&gt;C&lt;/middleNames&gt;&lt;/author&gt;&lt;author&gt;&lt;lastName&gt;Rabello&lt;/lastName&gt;&lt;firstName&gt;Sabrina&lt;/firstName&gt;&lt;/author&gt;&lt;author&gt;&lt;lastName&gt;Gulbahce&lt;/lastName&gt;&lt;firstName&gt;Natali&lt;/firstName&gt;&lt;/author&gt;&lt;author&gt;&lt;lastName&gt;White&lt;/lastName&gt;&lt;firstName&gt;Kevin&lt;/firstName&gt;&lt;/author&gt;&lt;author&gt;&lt;lastName&gt;Hale&lt;/lastName&gt;&lt;firstName&gt;Andrew&lt;/firstName&gt;&lt;/author&gt;&lt;author&gt;&lt;lastName&gt;Cottrill&lt;/lastName&gt;&lt;firstName&gt;Katherine&lt;/firstName&gt;&lt;middleNames&gt;A&lt;/middleNames&gt;&lt;/author&gt;&lt;author&gt;&lt;lastName&gt;Shaik&lt;/lastName&gt;&lt;firstName&gt;Rahamthulla&lt;/firstName&gt;&lt;middleNames&gt;S&lt;/middleNames&gt;&lt;/author&gt;&lt;author&gt;&lt;lastName&gt;Waxman&lt;/lastName&gt;&lt;firstName&gt;Aaron&lt;/firstName&gt;&lt;middleNames&gt;B&lt;/middleNames&gt;&lt;/author&gt;&lt;author&gt;&lt;lastName&gt;Zhang&lt;/lastName&gt;&lt;firstName&gt;Ying-Yi&lt;/firstName&gt;&lt;/author&gt;&lt;author&gt;&lt;lastName&gt;Maron&lt;/lastName&gt;&lt;firstName&gt;Bradley&lt;/firstName&gt;&lt;middleNames&gt;A&lt;/middleNames&gt;&lt;/author&gt;&lt;author&gt;&lt;lastName&gt;Hartner&lt;/lastName&gt;&lt;firstName&gt;Jochen&lt;/firstName&gt;&lt;middleNames&gt;C&lt;/middleNames&gt;&lt;/author&gt;&lt;author&gt;&lt;lastName&gt;Fujiwara&lt;/lastName&gt;&lt;firstName&gt;Yuko&lt;/firstName&gt;&lt;/author&gt;&lt;author&gt;&lt;lastName&gt;Orkin&lt;/lastName&gt;&lt;firstName&gt;Stuart&lt;/firstName&gt;&lt;middleNames&gt;H&lt;/middleNames&gt;&lt;/author&gt;&lt;author&gt;&lt;lastName&gt;Haley&lt;/lastName&gt;&lt;firstName&gt;Kathleen&lt;/firstName&gt;&lt;middleNames&gt;J&lt;/middleNames&gt;&lt;/author&gt;&lt;author&gt;&lt;lastName&gt;Barabási&lt;/lastName&gt;&lt;firstName&gt;Albert-László&lt;/firstName&gt;&lt;/author&gt;&lt;author&gt;&lt;lastName&gt;Loscalzo&lt;/lastName&gt;&lt;firstName&gt;Joseph&lt;/firstName&gt;&lt;/author&gt;&lt;author&gt;&lt;lastName&gt;Chan&lt;/lastName&gt;&lt;firstName&gt;Stephen&lt;/firstName&gt;&lt;middleNames&gt;Y&lt;/middleNames&gt;&lt;/author&gt;&lt;/authors&gt;&lt;/publication&gt;&lt;/publications&gt;&lt;cites&gt;&lt;/cites&gt;&lt;/citation&gt;</w:instrText>
      </w:r>
      <w:r w:rsidR="004E19A5">
        <w:rPr>
          <w:rFonts w:eastAsiaTheme="minorEastAsia"/>
        </w:rPr>
        <w:fldChar w:fldCharType="separate"/>
      </w:r>
      <w:r w:rsidR="004E19A5">
        <w:rPr>
          <w:rFonts w:eastAsiaTheme="minorEastAsia"/>
        </w:rPr>
        <w:t>(Parikh et al., 2012)</w:t>
      </w:r>
      <w:r w:rsidR="004E19A5">
        <w:rPr>
          <w:rFonts w:eastAsiaTheme="minorEastAsia"/>
        </w:rPr>
        <w:fldChar w:fldCharType="end"/>
      </w:r>
      <w:r>
        <w:rPr>
          <w:rFonts w:eastAsiaTheme="minorEastAsia"/>
        </w:rPr>
        <w:t>.</w:t>
      </w:r>
      <w:r w:rsidR="005E6691">
        <w:rPr>
          <w:rFonts w:eastAsiaTheme="minorEastAsia"/>
        </w:rPr>
        <w:t xml:space="preserve"> In hypoxic pulmonary arterial endothelial cells miR-21</w:t>
      </w:r>
      <w:r w:rsidR="00F57931">
        <w:rPr>
          <w:rFonts w:eastAsiaTheme="minorEastAsia"/>
        </w:rPr>
        <w:t>-5p</w:t>
      </w:r>
      <w:r w:rsidR="005E6691">
        <w:rPr>
          <w:rFonts w:eastAsiaTheme="minorEastAsia"/>
        </w:rPr>
        <w:t xml:space="preserve"> expression was increased</w:t>
      </w:r>
      <w:r w:rsidR="00300A1A">
        <w:rPr>
          <w:rFonts w:eastAsiaTheme="minorEastAsia"/>
        </w:rPr>
        <w:t xml:space="preserve"> and increased expression repressed BMPR2 expression.</w:t>
      </w:r>
      <w:r w:rsidR="003372EA">
        <w:rPr>
          <w:rFonts w:eastAsiaTheme="minorEastAsia"/>
        </w:rPr>
        <w:t xml:space="preserve"> </w:t>
      </w:r>
    </w:p>
    <w:p w14:paraId="23E7AF4F" w14:textId="552D8B4C" w:rsidR="00294C9F" w:rsidRDefault="00294C9F" w:rsidP="00587984">
      <w:pPr>
        <w:pStyle w:val="Body"/>
        <w:rPr>
          <w:rFonts w:eastAsiaTheme="minorEastAsia"/>
        </w:rPr>
      </w:pPr>
    </w:p>
    <w:p w14:paraId="4F45D373" w14:textId="7E93B148" w:rsidR="00294C9F" w:rsidRPr="00620A46" w:rsidRDefault="00451197" w:rsidP="00620A46">
      <w:pPr>
        <w:pStyle w:val="Body"/>
      </w:pPr>
      <w:r>
        <w:t>Reduced</w:t>
      </w:r>
      <w:r w:rsidR="00D729F1">
        <w:t xml:space="preserve"> </w:t>
      </w:r>
      <w:r w:rsidR="00294C9F">
        <w:t xml:space="preserve">BMPR2 </w:t>
      </w:r>
      <w:r>
        <w:t xml:space="preserve">expression results in </w:t>
      </w:r>
      <w:r w:rsidR="00D729F1">
        <w:t>increased</w:t>
      </w:r>
      <w:r>
        <w:t xml:space="preserve"> cellular</w:t>
      </w:r>
      <w:r w:rsidR="00D729F1">
        <w:t xml:space="preserve"> proliferation</w:t>
      </w:r>
      <w:r>
        <w:t xml:space="preserve">, a hallmark of </w:t>
      </w:r>
      <w:r w:rsidRPr="00620A46">
        <w:t xml:space="preserve">PAH pathobiology. </w:t>
      </w:r>
      <w:r w:rsidR="00620A46" w:rsidRPr="00620A46">
        <w:t>In human lung tissue the expression miR-204-5p is reduced inducing increased NFAT, RUNX2 and HIF-1</w:t>
      </w:r>
      <w:r w:rsidR="00620A46" w:rsidRPr="006D55F9">
        <w:rPr>
          <w:rFonts w:ascii="Calibri" w:hAnsi="Calibri" w:cs="Calibri"/>
          <w:lang w:val="el-GR"/>
        </w:rPr>
        <w:t>α</w:t>
      </w:r>
      <w:r w:rsidR="006D55F9">
        <w:rPr>
          <w:rFonts w:ascii="Calibri" w:hAnsi="Calibri" w:cs="Calibri"/>
          <w:lang w:val="en-US"/>
        </w:rPr>
        <w:t xml:space="preserve"> </w:t>
      </w:r>
      <w:r w:rsidR="004E19A5">
        <w:rPr>
          <w:rFonts w:ascii="Calibri" w:eastAsiaTheme="minorEastAsia" w:hAnsi="Calibri" w:cs="Calibri"/>
        </w:rPr>
        <w:fldChar w:fldCharType="begin"/>
      </w:r>
      <w:r w:rsidR="004E19A5">
        <w:rPr>
          <w:rFonts w:ascii="Calibri" w:eastAsiaTheme="minorEastAsia" w:hAnsi="Calibri" w:cs="Calibri"/>
        </w:rPr>
        <w:instrText xml:space="preserve"> ADDIN PAPERS2_CITATIONS &lt;citation&gt;&lt;priority&gt;64&lt;/priority&gt;&lt;uuid&gt;82549596-D85D-4C40-A5CB-8BBB8CF3AF6E&lt;/uuid&gt;&lt;publications&gt;&lt;publication&gt;&lt;subtype&gt;400&lt;/subtype&gt;&lt;publisher&gt;Rockefeller Univ Press&lt;/publisher&gt;&lt;title&gt;Role for miR-204 in human pulmonary arterial hypertension. - PubMed - NCBI&lt;/title&gt;&lt;url&gt;http://www.jem.org/cgi/doi/10.1084/jem.20101812&lt;/url&gt;&lt;volume&gt;208&lt;/volume&gt;&lt;publication_date&gt;99201103141200000000222000&lt;/publication_date&gt;&lt;uuid&gt;DF3950F6-A9AF-4920-9D52-D2532834384C&lt;/uuid&gt;&lt;type&gt;400&lt;/type&gt;&lt;number&gt;3&lt;/number&gt;&lt;doi&gt;10.1084/jem.20101812&lt;/doi&gt;&lt;institution&gt;Département de médecine, Faculté de médecine, Hôtel-Dieude Québec, Canada.&lt;/institution&gt;&lt;startpage&gt;535&lt;/startpage&gt;&lt;endpage&gt;548&lt;/endpage&gt;&lt;bundle&gt;&lt;publication&gt;&lt;title&gt;Journal of Experimental Medicine&lt;/title&gt;&lt;uuid&gt;42509C6F-4DAF-4C4E-BCE6-499FDBD50B5E&lt;/uuid&gt;&lt;subtype&gt;-100&lt;/subtype&gt;&lt;type&gt;-100&lt;/type&gt;&lt;/publication&gt;&lt;/bundle&gt;&lt;authors&gt;&lt;author&gt;&lt;lastName&gt;Courboulin&lt;/lastName&gt;&lt;firstName&gt;A&lt;/firstName&gt;&lt;/author&gt;&lt;author&gt;&lt;lastName&gt;Paulin&lt;/lastName&gt;&lt;firstName&gt;R&lt;/firstName&gt;&lt;/author&gt;&lt;author&gt;&lt;lastName&gt;Giguere&lt;/lastName&gt;&lt;firstName&gt;N&lt;/firstName&gt;&lt;middleNames&gt;J&lt;/middleNames&gt;&lt;/author&gt;&lt;author&gt;&lt;lastName&gt;Saksouk&lt;/lastName&gt;&lt;firstName&gt;N&lt;/firstName&gt;&lt;/author&gt;&lt;author&gt;&lt;lastName&gt;Perreault&lt;/lastName&gt;&lt;firstName&gt;T&lt;/firstName&gt;&lt;/author&gt;&lt;author&gt;&lt;lastName&gt;Meloche&lt;/lastName&gt;&lt;firstName&gt;J&lt;/firstName&gt;&lt;/author&gt;&lt;author&gt;&lt;lastName&gt;Paquet&lt;/lastName&gt;&lt;firstName&gt;E&lt;/firstName&gt;&lt;middleNames&gt;R&lt;/middleNames&gt;&lt;/author&gt;&lt;author&gt;&lt;lastName&gt;Biardel&lt;/lastName&gt;&lt;firstName&gt;S&lt;/firstName&gt;&lt;/author&gt;&lt;author&gt;&lt;lastName&gt;Provencher&lt;/lastName&gt;&lt;firstName&gt;S&lt;/firstName&gt;&lt;/author&gt;&lt;author&gt;&lt;lastName&gt;Cote&lt;/lastName&gt;&lt;firstName&gt;J&lt;/firstName&gt;&lt;/author&gt;&lt;author&gt;&lt;lastName&gt;Simard&lt;/lastName&gt;&lt;firstName&gt;M&lt;/firstName&gt;&lt;middleNames&gt;J&lt;/middleNames&gt;&lt;/author&gt;&lt;author&gt;&lt;lastName&gt;Bonnet&lt;/lastName&gt;&lt;firstName&gt;S&lt;/firstName&gt;&lt;/author&gt;&lt;/authors&gt;&lt;/publication&gt;&lt;/publications&gt;&lt;cites&gt;&lt;/cites&gt;&lt;/citation&gt;</w:instrText>
      </w:r>
      <w:r w:rsidR="004E19A5">
        <w:rPr>
          <w:rFonts w:ascii="Calibri" w:eastAsiaTheme="minorEastAsia" w:hAnsi="Calibri" w:cs="Calibri"/>
        </w:rPr>
        <w:fldChar w:fldCharType="separate"/>
      </w:r>
      <w:r w:rsidR="004E19A5">
        <w:rPr>
          <w:rFonts w:ascii="Calibri" w:eastAsiaTheme="minorEastAsia" w:hAnsi="Calibri" w:cs="Calibri"/>
        </w:rPr>
        <w:t>(</w:t>
      </w:r>
      <w:proofErr w:type="spellStart"/>
      <w:r w:rsidR="004E19A5">
        <w:rPr>
          <w:rFonts w:ascii="Calibri" w:eastAsiaTheme="minorEastAsia" w:hAnsi="Calibri" w:cs="Calibri"/>
        </w:rPr>
        <w:t>Courboulin</w:t>
      </w:r>
      <w:proofErr w:type="spellEnd"/>
      <w:r w:rsidR="004E19A5">
        <w:rPr>
          <w:rFonts w:ascii="Calibri" w:eastAsiaTheme="minorEastAsia" w:hAnsi="Calibri" w:cs="Calibri"/>
        </w:rPr>
        <w:t xml:space="preserve"> et al., 2011)</w:t>
      </w:r>
      <w:r w:rsidR="004E19A5">
        <w:rPr>
          <w:rFonts w:ascii="Calibri" w:eastAsiaTheme="minorEastAsia" w:hAnsi="Calibri" w:cs="Calibri"/>
        </w:rPr>
        <w:fldChar w:fldCharType="end"/>
      </w:r>
      <w:r w:rsidR="00C20CF5">
        <w:rPr>
          <w:rFonts w:ascii="Calibri" w:eastAsiaTheme="minorEastAsia" w:hAnsi="Calibri" w:cs="Calibri"/>
        </w:rPr>
        <w:t xml:space="preserve">, </w:t>
      </w:r>
      <w:r w:rsidR="004E19A5">
        <w:rPr>
          <w:rFonts w:ascii="Calibri" w:eastAsiaTheme="minorEastAsia" w:hAnsi="Calibri" w:cs="Calibri"/>
        </w:rPr>
        <w:fldChar w:fldCharType="begin"/>
      </w:r>
      <w:r w:rsidR="004E19A5">
        <w:rPr>
          <w:rFonts w:ascii="Calibri" w:eastAsiaTheme="minorEastAsia" w:hAnsi="Calibri" w:cs="Calibri"/>
        </w:rPr>
        <w:instrText xml:space="preserve"> ADDIN PAPERS2_CITATIONS &lt;citation&gt;&lt;priority&gt;65&lt;/priority&gt;&lt;uuid&gt;927ED148-69C6-41CB-A478-A5182BF1FC53&lt;/uuid&gt;&lt;publications&gt;&lt;publication&gt;&lt;subtype&gt;400&lt;/subtype&gt;&lt;publisher&gt;Circ Res&lt;/publisher&gt;&lt;title&gt;Bromodomain-Containing Protein 4: The Epigenetic Origin of Pulmonary Arterial Hypertension&lt;/title&gt;&lt;url&gt;https://www.ahajournals.org/doi/10.1161/CIRCRESAHA.115.307004&lt;/url&gt;&lt;volume&gt;117&lt;/volume&gt;&lt;publication_date&gt;99201508281200000000222000&lt;/publication_date&gt;&lt;uuid&gt;CC200F17-0729-4638-8CFB-1EA88CF56EE2&lt;/uuid&gt;&lt;type&gt;400&lt;/type&gt;&lt;accepted_date&gt;99201507271200000000222000&lt;/accepted_date&gt;&lt;number&gt;6&lt;/number&gt;&lt;subtitle&gt;The Epigenetic Origin of Pulmonary Arterial Hypertension&lt;/subtitle&gt;&lt;doi&gt;10.1161/CIRCRESAHA.115.307004&lt;/doi&gt;&lt;submission_date&gt;99201506101200000000222000&lt;/submission_date&gt;&lt;institution&gt;From the Pulmonary Hypertension and Vascular Biology Research Group, Institut Universitaire de Cardiologie et de Pneumologie de Québec, Université Laval, Department of Medicine, Québec, Canada.&lt;/institution&gt;&lt;startpage&gt;525&lt;/startpage&gt;&lt;endpage&gt;535&lt;/endpage&gt;&lt;bundle&gt;&lt;publication&gt;&lt;title&gt;Circulation Research&lt;/title&gt;&lt;uuid&gt;970BE4F4-8FFD-4321-A363-F85EC4F818D7&lt;/uuid&gt;&lt;subtype&gt;-100&lt;/subtype&gt;&lt;type&gt;-100&lt;/type&gt;&lt;/publication&gt;&lt;/bundle&gt;&lt;authors&gt;&lt;author&gt;&lt;lastName&gt;J&lt;/lastName&gt;&lt;firstName&gt;Meloche&lt;/firstName&gt;&lt;/author&gt;&lt;author&gt;&lt;lastName&gt;F&lt;/lastName&gt;&lt;firstName&gt;Potus&lt;/firstName&gt;&lt;/author&gt;&lt;author&gt;&lt;lastName&gt;M&lt;/lastName&gt;&lt;firstName&gt;Vaillancourt&lt;/firstName&gt;&lt;/author&gt;&lt;author&gt;&lt;lastName&gt;A&lt;/lastName&gt;&lt;firstName&gt;Bourgeois&lt;/firstName&gt;&lt;/author&gt;&lt;author&gt;&lt;lastName&gt;I&lt;/lastName&gt;&lt;firstName&gt;Johnson&lt;/firstName&gt;&lt;/author&gt;&lt;author&gt;&lt;lastName&gt;L&lt;/lastName&gt;&lt;firstName&gt;Deschamps&lt;/firstName&gt;&lt;/author&gt;&lt;author&gt;&lt;lastName&gt;S&lt;/lastName&gt;&lt;firstName&gt;Chabot&lt;/firstName&gt;&lt;/author&gt;&lt;author&gt;&lt;lastName&gt;G&lt;/lastName&gt;&lt;firstName&gt;Ruffenach&lt;/firstName&gt;&lt;/author&gt;&lt;author&gt;&lt;lastName&gt;S&lt;/lastName&gt;&lt;firstName&gt;Henry&lt;/firstName&gt;&lt;/author&gt;&lt;author&gt;&lt;lastName&gt;S&lt;/lastName&gt;&lt;firstName&gt;Breuils-Bonnet&lt;/firstName&gt;&lt;/author&gt;&lt;author&gt;&lt;lastName&gt;È&lt;/lastName&gt;&lt;firstName&gt;Tremblay&lt;/firstName&gt;&lt;/author&gt;&lt;author&gt;&lt;lastName&gt;Nadeau&lt;/lastName&gt;&lt;suffix&gt;V&lt;/suffix&gt;&lt;/author&gt;&lt;author&gt;&lt;lastName&gt;C&lt;/lastName&gt;&lt;firstName&gt;Lambert&lt;/firstName&gt;&lt;/author&gt;&lt;author&gt;&lt;lastName&gt;R&lt;/lastName&gt;&lt;firstName&gt;Paradis&lt;/firstName&gt;&lt;/author&gt;&lt;author&gt;&lt;lastName&gt;S&lt;/lastName&gt;&lt;firstName&gt;Provencher&lt;/firstName&gt;&lt;/author&gt;&lt;author&gt;&lt;lastName&gt;S&lt;/lastName&gt;&lt;firstName&gt;Bonnet&lt;/firstName&gt;&lt;/author&gt;&lt;/authors&gt;&lt;/publication&gt;&lt;/publications&gt;&lt;cites&gt;&lt;/cites&gt;&lt;/citation&gt;</w:instrText>
      </w:r>
      <w:r w:rsidR="004E19A5">
        <w:rPr>
          <w:rFonts w:ascii="Calibri" w:eastAsiaTheme="minorEastAsia" w:hAnsi="Calibri" w:cs="Calibri"/>
        </w:rPr>
        <w:fldChar w:fldCharType="separate"/>
      </w:r>
      <w:r w:rsidR="004E19A5">
        <w:rPr>
          <w:rFonts w:ascii="Calibri" w:eastAsiaTheme="minorEastAsia" w:hAnsi="Calibri" w:cs="Calibri"/>
        </w:rPr>
        <w:t>(J et al., 2015)</w:t>
      </w:r>
      <w:r w:rsidR="004E19A5">
        <w:rPr>
          <w:rFonts w:ascii="Calibri" w:eastAsiaTheme="minorEastAsia" w:hAnsi="Calibri" w:cs="Calibri"/>
        </w:rPr>
        <w:fldChar w:fldCharType="end"/>
      </w:r>
      <w:r w:rsidR="00620A46">
        <w:rPr>
          <w:rFonts w:cs="Calibri"/>
          <w:lang w:val="en-US"/>
        </w:rPr>
        <w:t>. This leads to metabolic dysfunction and an increase in cellular proliferation</w:t>
      </w:r>
      <w:r w:rsidR="00C20CF5">
        <w:rPr>
          <w:rFonts w:cs="Calibri"/>
          <w:lang w:val="en-US"/>
        </w:rPr>
        <w:t xml:space="preserve"> in PASMCs</w:t>
      </w:r>
      <w:r w:rsidR="000E3A8E">
        <w:rPr>
          <w:rFonts w:cs="Calibri"/>
          <w:lang w:val="en-US"/>
        </w:rPr>
        <w:t>.</w:t>
      </w:r>
    </w:p>
    <w:p w14:paraId="65785A50" w14:textId="77777777" w:rsidR="00294C9F" w:rsidRPr="00E140B5" w:rsidRDefault="00294C9F" w:rsidP="00587984">
      <w:pPr>
        <w:pStyle w:val="Body"/>
      </w:pPr>
    </w:p>
    <w:p w14:paraId="7D30C134" w14:textId="731C7B3D" w:rsidR="000B5388" w:rsidRPr="000B5388" w:rsidRDefault="000B5388" w:rsidP="009F3253">
      <w:pPr>
        <w:pStyle w:val="Body"/>
      </w:pPr>
      <w:r>
        <w:t xml:space="preserve">MiRNAs have also been shown to control elements of </w:t>
      </w:r>
      <w:r w:rsidR="009B73D1">
        <w:t xml:space="preserve">another hallmark of PAH, </w:t>
      </w:r>
      <w:r>
        <w:t>vasoconstriction.</w:t>
      </w:r>
      <w:r w:rsidR="00294C9F">
        <w:t xml:space="preserve"> </w:t>
      </w:r>
      <w:r w:rsidR="00707E5E">
        <w:t xml:space="preserve">One </w:t>
      </w:r>
      <w:r w:rsidR="00A9729E">
        <w:t xml:space="preserve">animal model of PAH is the </w:t>
      </w:r>
      <w:proofErr w:type="spellStart"/>
      <w:r w:rsidR="00A9729E">
        <w:t>Sugen</w:t>
      </w:r>
      <w:proofErr w:type="spellEnd"/>
      <w:r w:rsidR="00A9729E">
        <w:t xml:space="preserve"> 5416 hypoxic </w:t>
      </w:r>
      <w:r w:rsidR="006E6C49">
        <w:t xml:space="preserve">mouse </w:t>
      </w:r>
      <w:r w:rsidR="00A9729E">
        <w:t xml:space="preserve">model, in this </w:t>
      </w:r>
      <w:proofErr w:type="spellStart"/>
      <w:r w:rsidR="00A9729E">
        <w:t>Sugen</w:t>
      </w:r>
      <w:proofErr w:type="spellEnd"/>
      <w:r w:rsidR="00A9729E">
        <w:t xml:space="preserve"> 5416, a vascular endothelial growth factor receptor antagonist, is </w:t>
      </w:r>
      <w:r w:rsidR="008C55B5">
        <w:t>injected and the animals develop PAH when subjected to chronic hypoxia for &gt;</w:t>
      </w:r>
      <w:r w:rsidR="004A3778">
        <w:t xml:space="preserve"> </w:t>
      </w:r>
      <w:r w:rsidR="008C55B5">
        <w:t>3 weeks</w:t>
      </w:r>
      <w:r w:rsidR="00A9729E">
        <w:t xml:space="preserve"> </w:t>
      </w:r>
      <w:r w:rsidR="004E19A5">
        <w:rPr>
          <w:rFonts w:eastAsiaTheme="minorEastAsia"/>
        </w:rPr>
        <w:fldChar w:fldCharType="begin"/>
      </w:r>
      <w:r w:rsidR="004E19A5">
        <w:rPr>
          <w:rFonts w:eastAsiaTheme="minorEastAsia"/>
        </w:rPr>
        <w:instrText xml:space="preserve"> ADDIN PAPERS2_CITATIONS &lt;citation&gt;&lt;priority&gt;66&lt;/priority&gt;&lt;uuid&gt;43ED1DD2-8C05-4AAA-8E86-852803E9140C&lt;/uuid&gt;&lt;publications&gt;&lt;publication&gt;&lt;subtype&gt;400&lt;/subtype&gt;&lt;publisher&gt;Am J Respir Crit Care Med&lt;/publisher&gt;&lt;title&gt;A novel murine model of severe pulmonary arterial hypertension&lt;/title&gt;&lt;url&gt;http://www.atsjournals.org/doi/abs/10.1164/rccm.201103-0412OC&lt;/url&gt;&lt;volume&gt;184&lt;/volume&gt;&lt;publication_date&gt;99201111151200000000222000&lt;/publication_date&gt;&lt;uuid&gt;BD846F69-742A-49AF-9D37-A93CEE2A87D7&lt;/uuid&gt;&lt;type&gt;400&lt;/type&gt;&lt;number&gt;10&lt;/number&gt;&lt;doi&gt;10.1164/rccm.201103-0412OC&lt;/doi&gt;&lt;institution&gt;Respiratory Disease Area, Novartis Institutes for BioMedical Research, Horsham, West Sussex, UK.&lt;/institution&gt;&lt;startpage&gt;1171&lt;/startpage&gt;&lt;endpage&gt;1182&lt;/endpage&gt;&lt;bundle&gt;&lt;publication&gt;&lt;title&gt;American journal of respiratory and critical care medicine&lt;/title&gt;&lt;uuid&gt;6449F919-B7B0-4590-B1EB-52EBB4E4B50D&lt;/uuid&gt;&lt;subtype&gt;-100&lt;/subtype&gt;&lt;publisher&gt;American Thoracic Society&lt;/publisher&gt;&lt;type&gt;-100&lt;/type&gt;&lt;/publication&gt;&lt;/bundle&gt;&lt;authors&gt;&lt;author&gt;&lt;lastName&gt;L&lt;/lastName&gt;&lt;firstName&gt;Ciuclan&lt;/firstName&gt;&lt;/author&gt;&lt;author&gt;&lt;lastName&gt;O&lt;/lastName&gt;&lt;firstName&gt;Bonneau&lt;/firstName&gt;&lt;/author&gt;&lt;author&gt;&lt;lastName&gt;M&lt;/lastName&gt;&lt;firstName&gt;Hussey&lt;/firstName&gt;&lt;/author&gt;&lt;author&gt;&lt;lastName&gt;N&lt;/lastName&gt;&lt;firstName&gt;Duggan&lt;/firstName&gt;&lt;/author&gt;&lt;author&gt;&lt;lastName&gt;AM&lt;/lastName&gt;&lt;firstName&gt;Holmes&lt;/firstName&gt;&lt;/author&gt;&lt;author&gt;&lt;lastName&gt;R&lt;/lastName&gt;&lt;firstName&gt;Good&lt;/firstName&gt;&lt;/author&gt;&lt;author&gt;&lt;lastName&gt;R&lt;/lastName&gt;&lt;firstName&gt;Stringer&lt;/firstName&gt;&lt;/author&gt;&lt;author&gt;&lt;lastName&gt;P&lt;/lastName&gt;&lt;firstName&gt;Jones&lt;/firstName&gt;&lt;/author&gt;&lt;author&gt;&lt;lastName&gt;NW&lt;/lastName&gt;&lt;firstName&gt;Morrell&lt;/firstName&gt;&lt;/author&gt;&lt;author&gt;&lt;lastName&gt;G&lt;/lastName&gt;&lt;firstName&gt;Jarai&lt;/firstName&gt;&lt;/author&gt;&lt;author&gt;&lt;lastName&gt;C&lt;/lastName&gt;&lt;firstName&gt;Walker&lt;/firstName&gt;&lt;/author&gt;&lt;author&gt;&lt;lastName&gt;J&lt;/lastName&gt;&lt;firstName&gt;Westwick&lt;/firstName&gt;&lt;/author&gt;&lt;author&gt;&lt;lastName&gt;M&lt;/lastName&gt;&lt;firstName&gt;Thomas&lt;/firstName&gt;&lt;/author&gt;&lt;/authors&gt;&lt;/publication&gt;&lt;/publications&gt;&lt;cites&gt;&lt;/cites&gt;&lt;/citation&gt;</w:instrText>
      </w:r>
      <w:r w:rsidR="004E19A5">
        <w:rPr>
          <w:rFonts w:eastAsiaTheme="minorEastAsia"/>
        </w:rPr>
        <w:fldChar w:fldCharType="separate"/>
      </w:r>
      <w:r w:rsidR="004E19A5">
        <w:rPr>
          <w:rFonts w:eastAsiaTheme="minorEastAsia"/>
        </w:rPr>
        <w:t>(C. L et al., 2011)</w:t>
      </w:r>
      <w:r w:rsidR="004E19A5">
        <w:rPr>
          <w:rFonts w:eastAsiaTheme="minorEastAsia"/>
        </w:rPr>
        <w:fldChar w:fldCharType="end"/>
      </w:r>
      <w:r w:rsidR="008C55B5">
        <w:rPr>
          <w:rFonts w:eastAsiaTheme="minorEastAsia"/>
        </w:rPr>
        <w:t>.</w:t>
      </w:r>
      <w:r w:rsidR="008C55B5">
        <w:t xml:space="preserve"> </w:t>
      </w:r>
      <w:r w:rsidR="00A9729E">
        <w:t xml:space="preserve">However, </w:t>
      </w:r>
      <w:proofErr w:type="spellStart"/>
      <w:r w:rsidR="008C55B5">
        <w:t>B</w:t>
      </w:r>
      <w:r w:rsidR="00A9729E">
        <w:t>ertero</w:t>
      </w:r>
      <w:proofErr w:type="spellEnd"/>
      <w:r w:rsidR="00A9729E">
        <w:t xml:space="preserve"> et al</w:t>
      </w:r>
      <w:r w:rsidR="008C55B5">
        <w:t>.</w:t>
      </w:r>
      <w:r w:rsidR="00A9729E">
        <w:t>,</w:t>
      </w:r>
      <w:r>
        <w:t xml:space="preserve"> </w:t>
      </w:r>
      <w:r w:rsidR="00A9729E">
        <w:t xml:space="preserve">found </w:t>
      </w:r>
      <w:r w:rsidR="008C55B5">
        <w:t xml:space="preserve">in this model </w:t>
      </w:r>
      <w:r w:rsidR="00A9729E">
        <w:t>that</w:t>
      </w:r>
      <w:r w:rsidR="006E6C49">
        <w:t xml:space="preserve"> even in the absence of hypoxia</w:t>
      </w:r>
      <w:r w:rsidR="00066CE1">
        <w:t xml:space="preserve"> </w:t>
      </w:r>
      <w:proofErr w:type="spellStart"/>
      <w:r w:rsidR="00066CE1">
        <w:t>Sugen</w:t>
      </w:r>
      <w:proofErr w:type="spellEnd"/>
      <w:r w:rsidR="00066CE1">
        <w:t xml:space="preserve"> 5416 and</w:t>
      </w:r>
      <w:r w:rsidR="00A9729E">
        <w:t xml:space="preserve"> </w:t>
      </w:r>
      <w:proofErr w:type="spellStart"/>
      <w:r w:rsidR="00066CE1">
        <w:t>intrapharyngeal</w:t>
      </w:r>
      <w:proofErr w:type="spellEnd"/>
      <w:r w:rsidR="00A9729E">
        <w:t xml:space="preserve"> injection of</w:t>
      </w:r>
      <w:r w:rsidR="008C55B5">
        <w:t xml:space="preserve"> </w:t>
      </w:r>
      <w:proofErr w:type="spellStart"/>
      <w:r w:rsidR="008C55B5">
        <w:t>liposomally</w:t>
      </w:r>
      <w:proofErr w:type="spellEnd"/>
      <w:r w:rsidR="008C55B5">
        <w:t xml:space="preserve"> </w:t>
      </w:r>
      <w:r w:rsidR="00066CE1">
        <w:t>encapsulated</w:t>
      </w:r>
      <w:r w:rsidR="00A9729E">
        <w:t xml:space="preserve"> miR-130a </w:t>
      </w:r>
      <w:r w:rsidR="00066CE1">
        <w:t xml:space="preserve">alone </w:t>
      </w:r>
      <w:r w:rsidR="00A9729E">
        <w:t>could induce</w:t>
      </w:r>
      <w:r w:rsidR="00105639">
        <w:t xml:space="preserve"> a significant</w:t>
      </w:r>
      <w:r w:rsidR="00A9729E">
        <w:t xml:space="preserve"> increase</w:t>
      </w:r>
      <w:r w:rsidR="00105639">
        <w:t xml:space="preserve"> in </w:t>
      </w:r>
      <w:proofErr w:type="spellStart"/>
      <w:r w:rsidR="00A9729E">
        <w:t>mPAP</w:t>
      </w:r>
      <w:proofErr w:type="spellEnd"/>
      <w:r w:rsidR="00066CE1">
        <w:t xml:space="preserve"> </w:t>
      </w:r>
      <w:r w:rsidR="004E19A5">
        <w:rPr>
          <w:rFonts w:eastAsiaTheme="minorEastAsia"/>
        </w:rPr>
        <w:fldChar w:fldCharType="begin"/>
      </w:r>
      <w:r w:rsidR="004E19A5">
        <w:rPr>
          <w:rFonts w:eastAsiaTheme="minorEastAsia"/>
        </w:rPr>
        <w:instrText xml:space="preserve"> ADDIN PAPERS2_CITATIONS &lt;citation&gt;&lt;priority&gt;67&lt;/priority&gt;&lt;uuid&gt;FE095913-1E59-4838-AE96-BBEA5CFC92D9&lt;/uuid&gt;&lt;publications&gt;&lt;publication&gt;&lt;subtype&gt;400&lt;/subtype&gt;&lt;title&gt;The MicroRNA-130/301 Family Controls Vasoconstriction in Pulmonary Hypertension&lt;/title&gt;&lt;url&gt;http://www.jbc.org/lookup/doi/10.1074/jbc.M114.617845&lt;/url&gt;&lt;volume&gt;290&lt;/volume&gt;&lt;publication_date&gt;99201501221200000000222000&lt;/publication_date&gt;&lt;uuid&gt;DC26CC18-7E76-461E-92B0-80519EB33ED4&lt;/uuid&gt;&lt;type&gt;400&lt;/type&gt;&lt;number&gt;4&lt;/number&gt;&lt;doi&gt;10.1074/jbc.M114.617845&lt;/doi&gt;&lt;startpage&gt;2069&lt;/startpage&gt;&lt;endpage&gt;2085&lt;/endpage&gt;&lt;bundle&gt;&lt;publication&gt;&lt;title&gt;Journal of Biological Chemistry&lt;/title&gt;&lt;uuid&gt;E4DDA396-44A4-429A-AB72-EDB46FC8F621&lt;/uuid&gt;&lt;subtype&gt;-100&lt;/subtype&gt;&lt;type&gt;-100&lt;/type&gt;&lt;/publication&gt;&lt;/bundle&gt;&lt;authors&gt;&lt;author&gt;&lt;lastName&gt;Bertero&lt;/lastName&gt;&lt;firstName&gt;Thomas&lt;/firstName&gt;&lt;/author&gt;&lt;author&gt;&lt;lastName&gt;Cottrill&lt;/lastName&gt;&lt;firstName&gt;Katherine&lt;/firstName&gt;&lt;/author&gt;&lt;author&gt;&lt;lastName&gt;Krauszman&lt;/lastName&gt;&lt;firstName&gt;Adrienn&lt;/firstName&gt;&lt;/author&gt;&lt;author&gt;&lt;lastName&gt;Lu&lt;/lastName&gt;&lt;firstName&gt;Yu&lt;/firstName&gt;&lt;/author&gt;&lt;author&gt;&lt;lastName&gt;Annis&lt;/lastName&gt;&lt;firstName&gt;Sofia&lt;/firstName&gt;&lt;/author&gt;&lt;author&gt;&lt;lastName&gt;Hale&lt;/lastName&gt;&lt;firstName&gt;Andrew&lt;/firstName&gt;&lt;/author&gt;&lt;author&gt;&lt;lastName&gt;Bhat&lt;/lastName&gt;&lt;firstName&gt;Balkrishen&lt;/firstName&gt;&lt;/author&gt;&lt;author&gt;&lt;lastName&gt;Waxman&lt;/lastName&gt;&lt;firstName&gt;Aaron&lt;/firstName&gt;&lt;middleNames&gt;B&lt;/middleNames&gt;&lt;/author&gt;&lt;author&gt;&lt;lastName&gt;Chau&lt;/lastName&gt;&lt;firstName&gt;B&lt;/firstName&gt;&lt;middleNames&gt;Nelson&lt;/middleNames&gt;&lt;/author&gt;&lt;author&gt;&lt;lastName&gt;Kuebler&lt;/lastName&gt;&lt;firstName&gt;Wolfgang&lt;/firstName&gt;&lt;middleNames&gt;M&lt;/middleNames&gt;&lt;/author&gt;&lt;author&gt;&lt;lastName&gt;Chan&lt;/lastName&gt;&lt;firstName&gt;Stephen&lt;/firstName&gt;&lt;middleNames&gt;Y&lt;/middleNames&gt;&lt;/author&gt;&lt;/auth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Bertero</w:t>
      </w:r>
      <w:proofErr w:type="spellEnd"/>
      <w:r w:rsidR="004E19A5">
        <w:rPr>
          <w:rFonts w:eastAsiaTheme="minorEastAsia"/>
        </w:rPr>
        <w:t xml:space="preserve"> et al., 2015)</w:t>
      </w:r>
      <w:r w:rsidR="004E19A5">
        <w:rPr>
          <w:rFonts w:eastAsiaTheme="minorEastAsia"/>
        </w:rPr>
        <w:fldChar w:fldCharType="end"/>
      </w:r>
      <w:r w:rsidR="00A9729E">
        <w:t>.</w:t>
      </w:r>
      <w:r w:rsidR="00105639">
        <w:t xml:space="preserve"> </w:t>
      </w:r>
      <w:r w:rsidR="007D0628">
        <w:t>W</w:t>
      </w:r>
      <w:r w:rsidR="00105639">
        <w:t>hen</w:t>
      </w:r>
      <w:r w:rsidR="007D0628">
        <w:t xml:space="preserve"> the lungs </w:t>
      </w:r>
      <w:r w:rsidR="007D0628">
        <w:lastRenderedPageBreak/>
        <w:t>from the animals were examined</w:t>
      </w:r>
      <w:r w:rsidR="00105639">
        <w:t xml:space="preserve"> expression</w:t>
      </w:r>
      <w:r w:rsidR="007D0628">
        <w:t xml:space="preserve"> of the vasoconstrictor endothelin-1 was increased</w:t>
      </w:r>
      <w:r w:rsidR="00105639">
        <w:t xml:space="preserve"> </w:t>
      </w:r>
      <w:r w:rsidR="007D0628">
        <w:t xml:space="preserve">in the small pulmonary vasculature. Furthermore, a </w:t>
      </w:r>
      <w:r w:rsidR="00105639">
        <w:t xml:space="preserve">positive correlation of miR-130a </w:t>
      </w:r>
      <w:r w:rsidR="007D0628">
        <w:t xml:space="preserve">expression to endothelin-1 concentration was reported </w:t>
      </w:r>
      <w:r w:rsidR="00105639">
        <w:t>in the plasma of patients with PAH</w:t>
      </w:r>
      <w:r w:rsidR="008C21A6">
        <w:t>,</w:t>
      </w:r>
      <w:r w:rsidR="00F60AAB">
        <w:t xml:space="preserve"> </w:t>
      </w:r>
      <w:r w:rsidR="008C21A6">
        <w:t xml:space="preserve">demonstrating that </w:t>
      </w:r>
      <w:r w:rsidR="00933A8E">
        <w:t xml:space="preserve">endothelin can be regulated by </w:t>
      </w:r>
      <w:r w:rsidR="008C21A6">
        <w:t>miRNA.</w:t>
      </w:r>
    </w:p>
    <w:p w14:paraId="7E199521" w14:textId="367B13A5" w:rsidR="000B5388" w:rsidRDefault="000B5388" w:rsidP="007B7EE7"/>
    <w:p w14:paraId="477D4C45" w14:textId="77777777" w:rsidR="0069297D" w:rsidRPr="00B54344" w:rsidRDefault="0069297D" w:rsidP="007B7EE7"/>
    <w:p w14:paraId="127B57B6" w14:textId="19E7F556" w:rsidR="007B7EE7" w:rsidRDefault="00300B42" w:rsidP="007B7EE7">
      <w:pPr>
        <w:pStyle w:val="Heading2"/>
        <w:numPr>
          <w:ilvl w:val="2"/>
          <w:numId w:val="7"/>
        </w:numPr>
        <w:spacing w:before="120" w:after="120"/>
      </w:pPr>
      <w:bookmarkStart w:id="51" w:name="_Toc60773856"/>
      <w:r>
        <w:t xml:space="preserve">Circulating </w:t>
      </w:r>
      <w:r w:rsidR="007B7EE7" w:rsidRPr="00B22F03">
        <w:t>MicroRNA biomarkers</w:t>
      </w:r>
      <w:bookmarkEnd w:id="51"/>
    </w:p>
    <w:p w14:paraId="1513BF55" w14:textId="77777777" w:rsidR="00172161" w:rsidRPr="00172161" w:rsidRDefault="00172161" w:rsidP="00172161"/>
    <w:p w14:paraId="16A38BA5" w14:textId="18CC6B1B" w:rsidR="003E2E45" w:rsidRDefault="00613C57" w:rsidP="009A78C9">
      <w:pPr>
        <w:pStyle w:val="Body"/>
      </w:pPr>
      <w:r>
        <w:t xml:space="preserve">MicroRNAs </w:t>
      </w:r>
      <w:r w:rsidR="00C93CD0">
        <w:t>are promising</w:t>
      </w:r>
      <w:r w:rsidR="008D7B40">
        <w:t xml:space="preserve"> potential</w:t>
      </w:r>
      <w:r>
        <w:t xml:space="preserve"> candidate biomarkers,</w:t>
      </w:r>
      <w:r w:rsidR="008D7B40">
        <w:t xml:space="preserve"> </w:t>
      </w:r>
      <w:r>
        <w:t xml:space="preserve">they have been </w:t>
      </w:r>
      <w:r w:rsidR="008D7B40">
        <w:t xml:space="preserve">isolated from </w:t>
      </w:r>
      <w:r>
        <w:t>bodily fluid</w:t>
      </w:r>
      <w:r w:rsidR="008D7B40">
        <w:t>s including plasma, serum, cerebrospinal fluid, saliva, tears, amniotic fluid, breast milk and urine</w:t>
      </w:r>
      <w:r w:rsidR="007E57B7">
        <w:t xml:space="preserve"> </w:t>
      </w:r>
      <w:r w:rsidR="004E19A5">
        <w:rPr>
          <w:rFonts w:eastAsiaTheme="minorEastAsia"/>
        </w:rPr>
        <w:fldChar w:fldCharType="begin"/>
      </w:r>
      <w:r w:rsidR="004E19A5">
        <w:rPr>
          <w:rFonts w:eastAsiaTheme="minorEastAsia"/>
        </w:rPr>
        <w:instrText xml:space="preserve"> ADDIN PAPERS2_CITATIONS &lt;citation&gt;&lt;priority&gt;68&lt;/priority&gt;&lt;uuid&gt;A85CA625-56F8-4EFE-9940-135A6944954D&lt;/uuid&gt;&lt;publications&gt;&lt;publication&gt;&lt;subtype&gt;400&lt;/subtype&gt;&lt;title&gt;The microRNA spectrum in 12 body fluids. - PubMed - NCBI&lt;/title&gt;&lt;url&gt;http://www.clinchem.org/cgi/doi/10.1373/clinchem.2010.147405&lt;/url&gt;&lt;volume&gt;56&lt;/volume&gt;&lt;publication_date&gt;99201010281200000000222000&lt;/publication_date&gt;&lt;uuid&gt;F025380D-AAE7-4AE6-9F67-3FF6F1668D60&lt;/uuid&gt;&lt;type&gt;400&lt;/type&gt;&lt;number&gt;11&lt;/number&gt;&lt;doi&gt;10.1373/clinchem.2010.147405&lt;/doi&gt;&lt;institution&gt;Institute for Systems Biology, 1441 North 34th St., Seattle, WA 98103, USA.&lt;/institution&gt;&lt;startpage&gt;1733&lt;/startpage&gt;&lt;endpage&gt;1741&lt;/endpage&gt;&lt;bundle&gt;&lt;publication&gt;&lt;title&gt;Clinical Chemistry&lt;/title&gt;&lt;uuid&gt;9738C8EB-8F2F-47CA-86EB-887BFEB8F095&lt;/uuid&gt;&lt;subtype&gt;-100&lt;/subtype&gt;&lt;publisher&gt;NIH Public Access&lt;/publisher&gt;&lt;type&gt;-100&lt;/type&gt;&lt;/publication&gt;&lt;/bundle&gt;&lt;authors&gt;&lt;author&gt;&lt;lastName&gt;Weber&lt;/lastName&gt;&lt;firstName&gt;J&lt;/firstName&gt;&lt;middleNames&gt;A&lt;/middleNames&gt;&lt;/author&gt;&lt;author&gt;&lt;lastName&gt;Baxter&lt;/lastName&gt;&lt;firstName&gt;D&lt;/firstName&gt;&lt;middleNames&gt;H&lt;/middleNames&gt;&lt;/author&gt;&lt;author&gt;&lt;lastName&gt;Zhang&lt;/lastName&gt;&lt;firstName&gt;S&lt;/firstName&gt;&lt;/author&gt;&lt;author&gt;&lt;lastName&gt;Huang&lt;/lastName&gt;&lt;firstName&gt;D&lt;/firstName&gt;&lt;middleNames&gt;Y&lt;/middleNames&gt;&lt;/author&gt;&lt;author&gt;&lt;lastName&gt;How Huang&lt;/lastName&gt;&lt;firstName&gt;K&lt;/firstName&gt;&lt;/author&gt;&lt;author&gt;&lt;lastName&gt;Jen Lee&lt;/lastName&gt;&lt;firstName&gt;M&lt;/firstName&gt;&lt;/author&gt;&lt;author&gt;&lt;lastName&gt;Galas&lt;/lastName&gt;&lt;firstName&gt;D&lt;/firstName&gt;&lt;middleNames&gt;J&lt;/middleNames&gt;&lt;/author&gt;&lt;author&gt;&lt;lastName&gt;Wang&lt;/lastName&gt;&lt;firstName&gt;K&lt;/firstName&gt;&lt;/author&gt;&lt;/authors&gt;&lt;/publication&gt;&lt;/publications&gt;&lt;cites&gt;&lt;/cites&gt;&lt;/citation&gt;</w:instrText>
      </w:r>
      <w:r w:rsidR="004E19A5">
        <w:rPr>
          <w:rFonts w:eastAsiaTheme="minorEastAsia"/>
        </w:rPr>
        <w:fldChar w:fldCharType="separate"/>
      </w:r>
      <w:r w:rsidR="004E19A5">
        <w:rPr>
          <w:rFonts w:eastAsiaTheme="minorEastAsia"/>
        </w:rPr>
        <w:t>(J. A. Weber et al., 2010)</w:t>
      </w:r>
      <w:r w:rsidR="004E19A5">
        <w:rPr>
          <w:rFonts w:eastAsiaTheme="minorEastAsia"/>
        </w:rPr>
        <w:fldChar w:fldCharType="end"/>
      </w:r>
      <w:r w:rsidR="007E57B7">
        <w:rPr>
          <w:rFonts w:eastAsiaTheme="minorEastAsia"/>
        </w:rPr>
        <w:t xml:space="preserve"> </w:t>
      </w:r>
      <w:r>
        <w:t>and are resistant</w:t>
      </w:r>
      <w:r w:rsidR="007C5B5E">
        <w:t xml:space="preserve"> to</w:t>
      </w:r>
      <w:r>
        <w:t xml:space="preserve"> </w:t>
      </w:r>
      <w:r w:rsidR="005643B7">
        <w:t>degradation</w:t>
      </w:r>
      <w:r w:rsidR="007E57B7">
        <w:t xml:space="preserve"> </w:t>
      </w:r>
      <w:r w:rsidR="004E19A5">
        <w:rPr>
          <w:rFonts w:eastAsiaTheme="minorEastAsia"/>
        </w:rPr>
        <w:fldChar w:fldCharType="begin"/>
      </w:r>
      <w:r w:rsidR="004E19A5">
        <w:rPr>
          <w:rFonts w:eastAsiaTheme="minorEastAsia"/>
        </w:rPr>
        <w:instrText xml:space="preserve"> ADDIN PAPERS2_CITATIONS &lt;citation&gt;&lt;priority&gt;69&lt;/priority&gt;&lt;uuid&gt;E3F1390A-F7E6-46A9-8DC9-94ADB89D7633&lt;/uuid&gt;&lt;publications&gt;&lt;publication&gt;&lt;subtype&gt;400&lt;/subtype&gt;&lt;title&gt;Stability of Circulating Blood-Based MicroRNAs - Pre-Analytic Methodological Considerations.&lt;/title&gt;&lt;url&gt;http://eutils.ncbi.nlm.nih.gov/entrez/eutils/elink.fcgi?dbfrom=pubmed&amp;amp;id=28151938&amp;amp;retmode=ref&amp;amp;cmd=prlinks&lt;/url&gt;&lt;volume&gt;12&lt;/volume&gt;&lt;publication_date&gt;99201700001200000000200000&lt;/publication_date&gt;&lt;uuid&gt;6AF0E7B0-60D9-4E8D-8540-63B5D4647233&lt;/uuid&gt;&lt;type&gt;400&lt;/type&gt;&lt;accepted_date&gt;99201611231200000000222000&lt;/accepted_date&gt;&lt;number&gt;2&lt;/number&gt;&lt;submission_date&gt;99201605171200000000222000&lt;/submission_date&gt;&lt;doi&gt;10.1371/journal.pone.0167969&lt;/doi&gt;&lt;institution&gt;Department of Cardiology, the Heart Centre, Copenhagen University Hospital, Rigshospitalet, Copenhagen, Denmark.&lt;/institution&gt;&lt;startpage&gt;e0167969&lt;/startpage&gt;&lt;bundle&gt;&lt;publication&gt;&lt;title&gt;PloS one&lt;/title&gt;&lt;uuid&gt;82F7624E-B927-496C-B434-7FDEB6B50A82&lt;/uuid&gt;&lt;subtype&gt;-100&lt;/subtype&gt;&lt;publisher&gt;Public Library of Science&lt;/publisher&gt;&lt;type&gt;-100&lt;/type&gt;&lt;url&gt;http://www.plosone.org&lt;/url&gt;&lt;/publication&gt;&lt;/bundle&gt;&lt;authors&gt;&lt;author&gt;&lt;lastName&gt;Glinge&lt;/lastName&gt;&lt;firstName&gt;Charlotte&lt;/firstName&gt;&lt;/author&gt;&lt;author&gt;&lt;lastName&gt;Clauss&lt;/lastName&gt;&lt;firstName&gt;Sebastian&lt;/firstName&gt;&lt;/author&gt;&lt;author&gt;&lt;lastName&gt;Boddum&lt;/lastName&gt;&lt;firstName&gt;Kim&lt;/firstName&gt;&lt;/author&gt;&lt;author&gt;&lt;lastName&gt;Jabbari&lt;/lastName&gt;&lt;firstName&gt;Reza&lt;/firstName&gt;&lt;/author&gt;&lt;author&gt;&lt;lastName&gt;Jabbari&lt;/lastName&gt;&lt;firstName&gt;Javad&lt;/firstName&gt;&lt;/author&gt;&lt;author&gt;&lt;lastName&gt;Risgaard&lt;/lastName&gt;&lt;firstName&gt;Bjarke&lt;/firstName&gt;&lt;/author&gt;&lt;author&gt;&lt;lastName&gt;Tomsits&lt;/lastName&gt;&lt;firstName&gt;Philipp&lt;/firstName&gt;&lt;/author&gt;&lt;author&gt;&lt;lastName&gt;Hildebrand&lt;/lastName&gt;&lt;firstName&gt;Bianca&lt;/firstName&gt;&lt;/author&gt;&lt;author&gt;&lt;lastName&gt;Kääb&lt;/lastName&gt;&lt;firstName&gt;Stefan&lt;/firstName&gt;&lt;/author&gt;&lt;author&gt;&lt;lastName&gt;Wakili&lt;/lastName&gt;&lt;firstName&gt;Reza&lt;/firstName&gt;&lt;/author&gt;&lt;author&gt;&lt;lastName&gt;Jespersen&lt;/lastName&gt;&lt;firstName&gt;Thomas&lt;/firstName&gt;&lt;/author&gt;&lt;author&gt;&lt;lastName&gt;Tfelt-Hansen&lt;/lastName&gt;&lt;firstName&gt;Jacob&lt;/firstName&gt;&lt;/author&gt;&lt;/auth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Glinge</w:t>
      </w:r>
      <w:proofErr w:type="spellEnd"/>
      <w:r w:rsidR="004E19A5">
        <w:rPr>
          <w:rFonts w:eastAsiaTheme="minorEastAsia"/>
        </w:rPr>
        <w:t xml:space="preserve"> et al., 2017)</w:t>
      </w:r>
      <w:r w:rsidR="004E19A5">
        <w:rPr>
          <w:rFonts w:eastAsiaTheme="minorEastAsia"/>
        </w:rPr>
        <w:fldChar w:fldCharType="end"/>
      </w:r>
      <w:r w:rsidR="00D2313E">
        <w:t>.</w:t>
      </w:r>
      <w:r w:rsidR="005643B7">
        <w:t xml:space="preserve"> However</w:t>
      </w:r>
      <w:r w:rsidR="00E140B5">
        <w:t>,</w:t>
      </w:r>
      <w:r w:rsidR="005643B7">
        <w:t xml:space="preserve"> despite intense research</w:t>
      </w:r>
      <w:r w:rsidR="00637315">
        <w:t xml:space="preserve"> as yet</w:t>
      </w:r>
      <w:r w:rsidR="00E140B5">
        <w:t xml:space="preserve"> none have been successful in translating to clinic</w:t>
      </w:r>
      <w:r w:rsidR="006456A2">
        <w:t xml:space="preserve"> </w:t>
      </w:r>
      <w:r w:rsidR="004E19A5">
        <w:rPr>
          <w:rFonts w:eastAsiaTheme="minorEastAsia"/>
        </w:rPr>
        <w:fldChar w:fldCharType="begin"/>
      </w:r>
      <w:r w:rsidR="004E19A5">
        <w:rPr>
          <w:rFonts w:eastAsiaTheme="minorEastAsia"/>
        </w:rPr>
        <w:instrText xml:space="preserve"> ADDIN PAPERS2_CITATIONS &lt;citation&gt;&lt;priority&gt;70&lt;/priority&gt;&lt;uuid&gt;E183ACF8-D2B2-4652-B5AD-5E3EDF0F462F&lt;/uuid&gt;&lt;publications&gt;&lt;publication&gt;&lt;subtype&gt;400&lt;/subtype&gt;&lt;title&gt;Why have microRNA biomarkers not been translated from bench to clinic?&lt;/title&gt;&lt;url&gt;https://www.futuremedicine.com/doi/10.2217/fon-2018-0812&lt;/url&gt;&lt;volume&gt;15&lt;/volume&gt;&lt;publication_date&gt;99201903001200000000220000&lt;/publication_date&gt;&lt;uuid&gt;F8B221C9-A1C4-4944-BCE8-A0FCA7F9A330&lt;/uuid&gt;&lt;type&gt;400&lt;/type&gt;&lt;number&gt;8&lt;/number&gt;&lt;doi&gt;10.2217/fon-2018-0812&lt;/doi&gt;&lt;startpage&gt;801&lt;/startpage&gt;&lt;endpage&gt;803&lt;/endpage&gt;&lt;bundle&gt;&lt;publication&gt;&lt;title&gt;Future Oncology&lt;/title&gt;&lt;uuid&gt;E3FB6544-DC13-4056-ADE0-BB28D8983020&lt;/uuid&gt;&lt;subtype&gt;-100&lt;/subtype&gt;&lt;type&gt;-100&lt;/type&gt;&lt;/publication&gt;&lt;/bundle&gt;&lt;authors&gt;&lt;author&gt;&lt;lastName&gt;Saliminejad&lt;/lastName&gt;&lt;firstName&gt;Kioomars&lt;/firstName&gt;&lt;/author&gt;&lt;author&gt;&lt;lastName&gt;Khorram Khorshid&lt;/lastName&gt;&lt;firstName&gt;Hamid&lt;/firstName&gt;&lt;middleNames&gt;Reza&lt;/middleNames&gt;&lt;/author&gt;&lt;author&gt;&lt;lastName&gt;Ghaffari&lt;/lastName&gt;&lt;firstName&gt;Seyed&lt;/firstName&gt;&lt;middleNames&gt;Hamidollah&lt;/middleNames&gt;&lt;/author&gt;&lt;/auth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Saliminejad</w:t>
      </w:r>
      <w:proofErr w:type="spellEnd"/>
      <w:r w:rsidR="004E19A5">
        <w:rPr>
          <w:rFonts w:eastAsiaTheme="minorEastAsia"/>
        </w:rPr>
        <w:t xml:space="preserve">, </w:t>
      </w:r>
      <w:proofErr w:type="spellStart"/>
      <w:r w:rsidR="004E19A5">
        <w:rPr>
          <w:rFonts w:eastAsiaTheme="minorEastAsia"/>
        </w:rPr>
        <w:t>Khorram</w:t>
      </w:r>
      <w:proofErr w:type="spellEnd"/>
      <w:r w:rsidR="004E19A5">
        <w:rPr>
          <w:rFonts w:eastAsiaTheme="minorEastAsia"/>
        </w:rPr>
        <w:t xml:space="preserve"> </w:t>
      </w:r>
      <w:proofErr w:type="spellStart"/>
      <w:r w:rsidR="004E19A5">
        <w:rPr>
          <w:rFonts w:eastAsiaTheme="minorEastAsia"/>
        </w:rPr>
        <w:t>Khorshid</w:t>
      </w:r>
      <w:proofErr w:type="spellEnd"/>
      <w:r w:rsidR="004E19A5">
        <w:rPr>
          <w:rFonts w:eastAsiaTheme="minorEastAsia"/>
        </w:rPr>
        <w:t xml:space="preserve">, &amp; </w:t>
      </w:r>
      <w:proofErr w:type="spellStart"/>
      <w:r w:rsidR="004E19A5">
        <w:rPr>
          <w:rFonts w:eastAsiaTheme="minorEastAsia"/>
        </w:rPr>
        <w:t>Ghaffari</w:t>
      </w:r>
      <w:proofErr w:type="spellEnd"/>
      <w:r w:rsidR="004E19A5">
        <w:rPr>
          <w:rFonts w:eastAsiaTheme="minorEastAsia"/>
        </w:rPr>
        <w:t>, 2019)</w:t>
      </w:r>
      <w:r w:rsidR="004E19A5">
        <w:rPr>
          <w:rFonts w:eastAsiaTheme="minorEastAsia"/>
        </w:rPr>
        <w:fldChar w:fldCharType="end"/>
      </w:r>
      <w:r w:rsidR="00E140B5">
        <w:rPr>
          <w:rFonts w:eastAsiaTheme="minorEastAsia"/>
        </w:rPr>
        <w:t>.</w:t>
      </w:r>
      <w:r w:rsidR="007C5B5E">
        <w:rPr>
          <w:rFonts w:eastAsiaTheme="minorEastAsia"/>
        </w:rPr>
        <w:t xml:space="preserve"> Some examples of</w:t>
      </w:r>
      <w:r w:rsidR="00CA486D">
        <w:rPr>
          <w:rFonts w:eastAsiaTheme="minorEastAsia"/>
        </w:rPr>
        <w:t xml:space="preserve"> successfully validated miRNA</w:t>
      </w:r>
      <w:r w:rsidR="007C5B5E">
        <w:rPr>
          <w:rFonts w:eastAsiaTheme="minorEastAsia"/>
        </w:rPr>
        <w:t xml:space="preserve"> biomarkers</w:t>
      </w:r>
      <w:r w:rsidR="00260480">
        <w:rPr>
          <w:rFonts w:eastAsiaTheme="minorEastAsia"/>
        </w:rPr>
        <w:t xml:space="preserve"> </w:t>
      </w:r>
      <w:r w:rsidR="00CA486D">
        <w:rPr>
          <w:rFonts w:eastAsiaTheme="minorEastAsia"/>
        </w:rPr>
        <w:t xml:space="preserve">utilising differing discovery strategies </w:t>
      </w:r>
      <w:r w:rsidR="00260480">
        <w:rPr>
          <w:rFonts w:eastAsiaTheme="minorEastAsia"/>
        </w:rPr>
        <w:t>are detailed below.</w:t>
      </w:r>
    </w:p>
    <w:p w14:paraId="682143FE" w14:textId="77777777" w:rsidR="00A83155" w:rsidRDefault="00A83155" w:rsidP="009A78C9">
      <w:pPr>
        <w:pStyle w:val="Body"/>
      </w:pPr>
    </w:p>
    <w:p w14:paraId="481A07C6" w14:textId="0F85968F" w:rsidR="007E57B7" w:rsidRDefault="007E57B7" w:rsidP="007D55DB">
      <w:pPr>
        <w:pStyle w:val="Heading2"/>
        <w:numPr>
          <w:ilvl w:val="3"/>
          <w:numId w:val="7"/>
        </w:numPr>
        <w:spacing w:before="120" w:after="120"/>
      </w:pPr>
      <w:bookmarkStart w:id="52" w:name="_Toc60773857"/>
      <w:r>
        <w:t>Prostate cancer</w:t>
      </w:r>
      <w:bookmarkEnd w:id="52"/>
    </w:p>
    <w:p w14:paraId="09E316D1" w14:textId="67EF1130" w:rsidR="00637315" w:rsidRDefault="00637315" w:rsidP="003E2E45"/>
    <w:p w14:paraId="7F5A23CC" w14:textId="5D40C6CF" w:rsidR="003E2E45" w:rsidRDefault="00C63B34" w:rsidP="00F8575B">
      <w:pPr>
        <w:pStyle w:val="Body"/>
      </w:pPr>
      <w:r>
        <w:t>C</w:t>
      </w:r>
      <w:r w:rsidR="005643B7">
        <w:t xml:space="preserve">ancers </w:t>
      </w:r>
      <w:r w:rsidR="00367B47">
        <w:t xml:space="preserve">can </w:t>
      </w:r>
      <w:r w:rsidR="005643B7">
        <w:t xml:space="preserve">have significantly altered genetic profile of which </w:t>
      </w:r>
      <w:r w:rsidR="00367B47">
        <w:t>may potentially lead</w:t>
      </w:r>
      <w:r w:rsidR="000B01AD">
        <w:t xml:space="preserve"> to</w:t>
      </w:r>
      <w:r w:rsidR="008B7815">
        <w:t xml:space="preserve"> </w:t>
      </w:r>
      <w:r w:rsidR="000B01AD">
        <w:t xml:space="preserve">dramatic miRNA profile changes that may be detectable in plasma. </w:t>
      </w:r>
      <w:r w:rsidR="005E2639">
        <w:t>To</w:t>
      </w:r>
      <w:r w:rsidR="00367B47">
        <w:t xml:space="preserve"> identify a miRNA panel to</w:t>
      </w:r>
      <w:r w:rsidR="005E2639">
        <w:t xml:space="preserve"> diagnose prostate cancer</w:t>
      </w:r>
      <w:r w:rsidR="00367B47">
        <w:t xml:space="preserve"> Matin et al., used a</w:t>
      </w:r>
      <w:r w:rsidR="0004263C">
        <w:t xml:space="preserve"> </w:t>
      </w:r>
      <w:r w:rsidR="00663B20">
        <w:t xml:space="preserve">focused </w:t>
      </w:r>
      <w:r w:rsidR="00367B47">
        <w:t>qPCR array which profiled 372 cancer-associated miRNAs</w:t>
      </w:r>
      <w:r w:rsidR="00893907">
        <w:t xml:space="preserve"> </w:t>
      </w:r>
      <w:r w:rsidR="004E19A5">
        <w:rPr>
          <w:rFonts w:eastAsiaTheme="minorEastAsia"/>
        </w:rPr>
        <w:fldChar w:fldCharType="begin"/>
      </w:r>
      <w:r w:rsidR="004E19A5">
        <w:rPr>
          <w:rFonts w:eastAsiaTheme="minorEastAsia"/>
        </w:rPr>
        <w:instrText xml:space="preserve"> ADDIN PAPERS2_CITATIONS &lt;citation&gt;&lt;priority&gt;71&lt;/priority&gt;&lt;uuid&gt;58D4F306-3082-4FA5-AF3E-FB4D3D74536A&lt;/uuid&gt;&lt;publications&gt;&lt;publication&gt;&lt;subtype&gt;400&lt;/subtype&gt;&lt;publisher&gt;Nature Publishing Group&lt;/publisher&gt;&lt;title&gt;A Plasma Biomarker Panel of Four MicroRNAs for the Diagnosis of Prostate Cancer&lt;/title&gt;&lt;url&gt;https://www.nature.com/articles/s41598-018-24424-w&lt;/url&gt;&lt;volume&gt;8&lt;/volume&gt;&lt;publication_date&gt;99201804271200000000222000&lt;/publication_date&gt;&lt;uuid&gt;A1E083F2-58CE-45B0-B52A-9CA5D9669155&lt;/uuid&gt;&lt;type&gt;400&lt;/type&gt;&lt;number&gt;1&lt;/number&gt;&lt;doi&gt;10.1038/s41598-018-24424-w&lt;/doi&gt;&lt;startpage&gt;1&lt;/startpage&gt;&lt;endpage&gt;15&lt;/endpage&gt;&lt;bundle&gt;&lt;publication&gt;&lt;title&gt;Scientific Reports&lt;/title&gt;&lt;uuid&gt;809338AD-D3BD-4569-B598-17E86AA4A45B&lt;/uuid&gt;&lt;subtype&gt;-100&lt;/subtype&gt;&lt;publisher&gt;Nature Publishing Group&lt;/publisher&gt;&lt;type&gt;-100&lt;/type&gt;&lt;url&gt;http://www.nature.com&lt;/url&gt;&lt;/publication&gt;&lt;/bundle&gt;&lt;authors&gt;&lt;author&gt;&lt;lastName&gt;Matin&lt;/lastName&gt;&lt;firstName&gt;Farhana&lt;/firstName&gt;&lt;/author&gt;&lt;author&gt;&lt;lastName&gt;Jeet&lt;/lastName&gt;&lt;firstName&gt;Varinder&lt;/firstName&gt;&lt;/author&gt;&lt;author&gt;&lt;lastName&gt;Moya&lt;/lastName&gt;&lt;firstName&gt;Leire&lt;/firstName&gt;&lt;/author&gt;&lt;author&gt;&lt;lastName&gt;Selth&lt;/lastName&gt;&lt;firstName&gt;Luke&lt;/firstName&gt;&lt;middleNames&gt;A&lt;/middleNames&gt;&lt;/author&gt;&lt;author&gt;&lt;lastName&gt;Chambers&lt;/lastName&gt;&lt;firstName&gt;Suzanne&lt;/firstName&gt;&lt;/author&gt;&lt;author&gt;&lt;lastName&gt;Clements&lt;/lastName&gt;&lt;firstName&gt;Judith&lt;/firstName&gt;&lt;middleNames&gt;A&lt;/middleNames&gt;&lt;/author&gt;&lt;author&gt;&lt;lastName&gt;Batra&lt;/lastName&gt;&lt;firstName&gt;Jyotsna&lt;/firstName&gt;&lt;/author&gt;&lt;/authors&gt;&lt;/publication&gt;&lt;/publications&gt;&lt;cites&gt;&lt;/cites&gt;&lt;/citation&gt;</w:instrText>
      </w:r>
      <w:r w:rsidR="004E19A5">
        <w:rPr>
          <w:rFonts w:eastAsiaTheme="minorEastAsia"/>
        </w:rPr>
        <w:fldChar w:fldCharType="separate"/>
      </w:r>
      <w:r w:rsidR="004E19A5">
        <w:rPr>
          <w:rFonts w:eastAsiaTheme="minorEastAsia"/>
        </w:rPr>
        <w:t>(Matin et al., 2018)</w:t>
      </w:r>
      <w:r w:rsidR="004E19A5">
        <w:rPr>
          <w:rFonts w:eastAsiaTheme="minorEastAsia"/>
        </w:rPr>
        <w:fldChar w:fldCharType="end"/>
      </w:r>
      <w:r w:rsidR="00367B47">
        <w:t xml:space="preserve">. </w:t>
      </w:r>
      <w:r w:rsidR="0004263C">
        <w:t>Pooled</w:t>
      </w:r>
      <w:r w:rsidR="00367B47">
        <w:t xml:space="preserve"> plasma samples were used</w:t>
      </w:r>
      <w:r w:rsidR="0004263C">
        <w:t xml:space="preserve"> for the qPCR screen</w:t>
      </w:r>
      <w:r w:rsidR="00367B47">
        <w:t xml:space="preserve">, 19 healthy volunteers and 42 patients with prostate cancer produced </w:t>
      </w:r>
      <w:r w:rsidR="00EF46A9">
        <w:t xml:space="preserve">2x </w:t>
      </w:r>
      <w:r w:rsidR="00367B47">
        <w:t>pools</w:t>
      </w:r>
      <w:r w:rsidR="00EF46A9">
        <w:t xml:space="preserve"> of HV and 3x pools of patient samples</w:t>
      </w:r>
      <w:r w:rsidR="00367B47">
        <w:t>.</w:t>
      </w:r>
      <w:r w:rsidR="00EF46A9">
        <w:t xml:space="preserve"> The qPCR array identified 11 candidate miRNAs</w:t>
      </w:r>
      <w:r w:rsidR="00E33CBA">
        <w:t xml:space="preserve"> which were </w:t>
      </w:r>
      <w:r w:rsidR="00D86735">
        <w:t>validated</w:t>
      </w:r>
      <w:r w:rsidR="0004263C">
        <w:t xml:space="preserve"> individually</w:t>
      </w:r>
      <w:r w:rsidR="00D86735">
        <w:t xml:space="preserve"> in the samples in the poo</w:t>
      </w:r>
      <w:r w:rsidR="0004263C">
        <w:t>ls</w:t>
      </w:r>
      <w:r w:rsidR="00D86735">
        <w:t xml:space="preserve">. The miRNAs 98-5p, 152-3p, 326 and 4289 were significantly increased, </w:t>
      </w:r>
      <w:r w:rsidR="00AA45DF">
        <w:t xml:space="preserve">by </w:t>
      </w:r>
      <w:r w:rsidR="00D86735">
        <w:lastRenderedPageBreak/>
        <w:t>Bonferroni corrected Mann-Whitney U-test. These were</w:t>
      </w:r>
      <w:r w:rsidR="00AA45DF">
        <w:t xml:space="preserve"> successfully</w:t>
      </w:r>
      <w:r w:rsidR="00D86735">
        <w:t xml:space="preserve"> validated in an external cohort of 40 patients and 18 HVs.</w:t>
      </w:r>
    </w:p>
    <w:p w14:paraId="5570DA24" w14:textId="656D8047" w:rsidR="00D86735" w:rsidRDefault="00D86735" w:rsidP="00F8575B">
      <w:pPr>
        <w:pStyle w:val="Body"/>
      </w:pPr>
    </w:p>
    <w:p w14:paraId="254220DF" w14:textId="19885C8D" w:rsidR="003D037E" w:rsidRDefault="003D037E" w:rsidP="00F8575B">
      <w:pPr>
        <w:pStyle w:val="Body"/>
      </w:pPr>
      <w:r>
        <w:t>Logistic regression was used to assess the 4 miRNAs as a panel</w:t>
      </w:r>
      <w:r w:rsidR="005C69E9">
        <w:t>,</w:t>
      </w:r>
      <w:r>
        <w:t xml:space="preserve"> the internal cohort </w:t>
      </w:r>
      <w:r w:rsidR="005C69E9">
        <w:t>had</w:t>
      </w:r>
      <w:r>
        <w:t xml:space="preserve"> an AUC of 0.82 and the external cohort an AUC of 0.95. It is highly unusual to have a predictive model to improve </w:t>
      </w:r>
      <w:r w:rsidR="005C69E9">
        <w:t>when going from train to test</w:t>
      </w:r>
      <w:r>
        <w:t xml:space="preserve"> cohort</w:t>
      </w:r>
      <w:r w:rsidR="00F32173">
        <w:t xml:space="preserve"> and whilst possible </w:t>
      </w:r>
      <w:r>
        <w:t>it is</w:t>
      </w:r>
      <w:r w:rsidR="005C69E9">
        <w:t xml:space="preserve"> more</w:t>
      </w:r>
      <w:r>
        <w:t xml:space="preserve"> likely a new logistic regression model was built</w:t>
      </w:r>
      <w:r w:rsidR="00F32173">
        <w:t xml:space="preserve"> with</w:t>
      </w:r>
      <w:r>
        <w:t xml:space="preserve"> the external validation</w:t>
      </w:r>
      <w:r w:rsidR="00F32173">
        <w:t xml:space="preserve"> data set</w:t>
      </w:r>
      <w:r>
        <w:t xml:space="preserve">. Ideally, </w:t>
      </w:r>
      <w:r w:rsidR="00F32173">
        <w:t>a</w:t>
      </w:r>
      <w:r>
        <w:t xml:space="preserve"> model built using the test data should have been applied to the external data.</w:t>
      </w:r>
      <w:r w:rsidR="005C69E9">
        <w:t xml:space="preserve"> This would have given a measure of how stable the prediction would be in diagnostic use.</w:t>
      </w:r>
      <w:r>
        <w:t xml:space="preserve"> </w:t>
      </w:r>
    </w:p>
    <w:p w14:paraId="46AE89C5" w14:textId="77777777" w:rsidR="003D037E" w:rsidRDefault="003D037E" w:rsidP="00F8575B">
      <w:pPr>
        <w:pStyle w:val="Body"/>
      </w:pPr>
    </w:p>
    <w:p w14:paraId="34DEFE88" w14:textId="2FD87CC4" w:rsidR="00D86735" w:rsidRDefault="003D037E" w:rsidP="00F8575B">
      <w:pPr>
        <w:pStyle w:val="Body"/>
      </w:pPr>
      <w:r>
        <w:t xml:space="preserve">This study </w:t>
      </w:r>
      <w:r w:rsidR="00E773B0">
        <w:t>demonstrates</w:t>
      </w:r>
      <w:r>
        <w:t xml:space="preserve"> a</w:t>
      </w:r>
      <w:r w:rsidR="00E773B0">
        <w:t>n</w:t>
      </w:r>
      <w:r>
        <w:t xml:space="preserve"> economical approach to biomarker identification through pooling initial samples</w:t>
      </w:r>
      <w:r w:rsidR="00E773B0">
        <w:t xml:space="preserve"> and using a focused miRNA panel</w:t>
      </w:r>
      <w:r>
        <w:t xml:space="preserve">. However, </w:t>
      </w:r>
      <w:r w:rsidR="0064710B">
        <w:t>if they had utilised a more traditional training</w:t>
      </w:r>
      <w:r w:rsidR="00F32173">
        <w:t>/</w:t>
      </w:r>
      <w:r w:rsidR="0064710B">
        <w:t>test dataset approach to the discovery and validation panels more insight into the</w:t>
      </w:r>
      <w:r w:rsidR="00D6411A">
        <w:t xml:space="preserve"> diagnostic</w:t>
      </w:r>
      <w:r w:rsidR="0064710B">
        <w:t xml:space="preserve"> </w:t>
      </w:r>
      <w:r w:rsidR="00D76E1E">
        <w:t>effectiveness</w:t>
      </w:r>
      <w:r w:rsidR="0064710B">
        <w:t xml:space="preserve"> of the </w:t>
      </w:r>
      <w:proofErr w:type="gramStart"/>
      <w:r w:rsidR="0064710B">
        <w:t>4 miR</w:t>
      </w:r>
      <w:r w:rsidR="003B3E9C">
        <w:t>NA</w:t>
      </w:r>
      <w:proofErr w:type="gramEnd"/>
      <w:r w:rsidR="0064710B">
        <w:t xml:space="preserve"> panel could have been determined. </w:t>
      </w:r>
    </w:p>
    <w:p w14:paraId="7CEA49F2" w14:textId="77777777" w:rsidR="00A83155" w:rsidRDefault="00A83155" w:rsidP="00A83155"/>
    <w:p w14:paraId="4323C8D1" w14:textId="77777777" w:rsidR="00A83155" w:rsidRDefault="00A83155" w:rsidP="00A83155">
      <w:pPr>
        <w:pStyle w:val="Heading2"/>
        <w:numPr>
          <w:ilvl w:val="3"/>
          <w:numId w:val="7"/>
        </w:numPr>
        <w:spacing w:before="120" w:after="120"/>
      </w:pPr>
      <w:bookmarkStart w:id="53" w:name="_Toc60773858"/>
      <w:r>
        <w:t>Acute myocardial infarction</w:t>
      </w:r>
      <w:bookmarkEnd w:id="53"/>
    </w:p>
    <w:p w14:paraId="5338963E" w14:textId="77777777" w:rsidR="00FF55B1" w:rsidRDefault="00FF55B1" w:rsidP="00983CF7"/>
    <w:p w14:paraId="106390C2" w14:textId="19049208" w:rsidR="007C7B05" w:rsidRDefault="00B57BCD" w:rsidP="002D77F4">
      <w:pPr>
        <w:pStyle w:val="Body"/>
      </w:pPr>
      <w:r>
        <w:t>To identi</w:t>
      </w:r>
      <w:r w:rsidR="001F0D1A">
        <w:t>f</w:t>
      </w:r>
      <w:r>
        <w:t>y miRNA biomarkers of</w:t>
      </w:r>
      <w:r w:rsidR="00023AA7">
        <w:t xml:space="preserve"> acute</w:t>
      </w:r>
      <w:r>
        <w:t xml:space="preserve"> myocardial infarction (</w:t>
      </w:r>
      <w:r w:rsidR="00023AA7">
        <w:t>A</w:t>
      </w:r>
      <w:r>
        <w:t>MI)</w:t>
      </w:r>
      <w:r w:rsidR="00BF0B5F">
        <w:t xml:space="preserve"> </w:t>
      </w:r>
      <w:r w:rsidR="00FF55B1">
        <w:t>Adachi et al.,</w:t>
      </w:r>
      <w:r w:rsidR="00DB7846">
        <w:t xml:space="preserve"> first</w:t>
      </w:r>
      <w:r w:rsidR="00FF55B1">
        <w:t xml:space="preserve"> used a microRNA </w:t>
      </w:r>
      <w:r w:rsidR="003919A2">
        <w:t>micro</w:t>
      </w:r>
      <w:r w:rsidR="00FF55B1">
        <w:t xml:space="preserve">array </w:t>
      </w:r>
      <w:r w:rsidR="00D84DD5">
        <w:t>screen</w:t>
      </w:r>
      <w:r w:rsidR="00FF55B1">
        <w:t xml:space="preserve"> across </w:t>
      </w:r>
      <w:r w:rsidR="007C7B05">
        <w:t>15 different</w:t>
      </w:r>
      <w:r w:rsidR="00FF55B1">
        <w:t xml:space="preserve"> tissue types to identify miRNAs unique to cardiac tissue</w:t>
      </w:r>
      <w:r w:rsidR="007C7B05">
        <w:t xml:space="preserve"> </w:t>
      </w:r>
      <w:r w:rsidR="004E19A5">
        <w:rPr>
          <w:rFonts w:eastAsiaTheme="minorEastAsia"/>
        </w:rPr>
        <w:fldChar w:fldCharType="begin"/>
      </w:r>
      <w:r w:rsidR="004E19A5">
        <w:rPr>
          <w:rFonts w:eastAsiaTheme="minorEastAsia"/>
        </w:rPr>
        <w:instrText xml:space="preserve"> ADDIN PAPERS2_CITATIONS &lt;citation&gt;&lt;priority&gt;72&lt;/priority&gt;&lt;uuid&gt;0CDDC6E1-640E-4C33-A327-1D849AF90DB2&lt;/uuid&gt;&lt;publications&gt;&lt;publication&gt;&lt;subtype&gt;400&lt;/subtype&gt;&lt;publisher&gt;Clin Chem&lt;/publisher&gt;&lt;title&gt;Plasma microRNA 499 as a biomarker of acute myocardial infarction&lt;/title&gt;&lt;url&gt;https://academic.oup.com/clinchem/article/56/7/1183/5622365&lt;/url&gt;&lt;volume&gt;56&lt;/volume&gt;&lt;publication_date&gt;99201007011200000000222000&lt;/publication_date&gt;&lt;uuid&gt;5861541F-0E37-410D-BFF6-3BF638EE6571&lt;/uuid&gt;&lt;type&gt;400&lt;/type&gt;&lt;number&gt;7&lt;/number&gt;&lt;doi&gt;10.1373/clinchem.2010.144121&lt;/doi&gt;&lt;institution&gt;Department of Cardiology, National Cardiovascular Center, Suita, Osaka, Japan.&lt;/institution&gt;&lt;startpage&gt;1183&lt;/startpage&gt;&lt;endpage&gt;1185&lt;/endpage&gt;&lt;bundle&gt;&lt;publication&gt;&lt;title&gt;Clinical Chemistry&lt;/title&gt;&lt;uuid&gt;9738C8EB-8F2F-47CA-86EB-887BFEB8F095&lt;/uuid&gt;&lt;subtype&gt;-100&lt;/subtype&gt;&lt;publisher&gt;NIH Public Access&lt;/publisher&gt;&lt;type&gt;-100&lt;/type&gt;&lt;/publication&gt;&lt;/bundle&gt;&lt;authors&gt;&lt;author&gt;&lt;lastName&gt;T&lt;/lastName&gt;&lt;firstName&gt;Adachi&lt;/firstName&gt;&lt;/author&gt;&lt;author&gt;&lt;lastName&gt;M&lt;/lastName&gt;&lt;firstName&gt;Nakanishi&lt;/firstName&gt;&lt;/author&gt;&lt;author&gt;&lt;lastName&gt;Y&lt;/lastName&gt;&lt;firstName&gt;Otsuka&lt;/firstName&gt;&lt;/author&gt;&lt;author&gt;&lt;lastName&gt;K&lt;/lastName&gt;&lt;firstName&gt;Nishimura&lt;/firstName&gt;&lt;/author&gt;&lt;author&gt;&lt;lastName&gt;G&lt;/lastName&gt;&lt;firstName&gt;Hirokawa&lt;/firstName&gt;&lt;/author&gt;&lt;author&gt;&lt;lastName&gt;Y&lt;/lastName&gt;&lt;firstName&gt;Goto&lt;/firstName&gt;&lt;/author&gt;&lt;author&gt;&lt;lastName&gt;H&lt;/lastName&gt;&lt;firstName&gt;Nonogi&lt;/firstName&gt;&lt;/author&gt;&lt;author&gt;&lt;lastName&gt;N&lt;/lastName&gt;&lt;firstName&gt;Iwai&lt;/firstName&gt;&lt;/author&gt;&lt;/authors&gt;&lt;/publication&gt;&lt;/publications&gt;&lt;cites&gt;&lt;/cites&gt;&lt;/citation&gt;</w:instrText>
      </w:r>
      <w:r w:rsidR="004E19A5">
        <w:rPr>
          <w:rFonts w:eastAsiaTheme="minorEastAsia"/>
        </w:rPr>
        <w:fldChar w:fldCharType="separate"/>
      </w:r>
      <w:r w:rsidR="004E19A5">
        <w:rPr>
          <w:rFonts w:eastAsiaTheme="minorEastAsia"/>
        </w:rPr>
        <w:t>(T et al., 2010)</w:t>
      </w:r>
      <w:r w:rsidR="004E19A5">
        <w:rPr>
          <w:rFonts w:eastAsiaTheme="minorEastAsia"/>
        </w:rPr>
        <w:fldChar w:fldCharType="end"/>
      </w:r>
      <w:r w:rsidR="00FF55B1">
        <w:t xml:space="preserve">. MiR-499 was identified </w:t>
      </w:r>
      <w:r w:rsidR="00023AA7">
        <w:t xml:space="preserve">and </w:t>
      </w:r>
      <w:r w:rsidR="00DB7846">
        <w:t>then</w:t>
      </w:r>
      <w:r w:rsidR="00023AA7">
        <w:t xml:space="preserve"> measured </w:t>
      </w:r>
      <w:r w:rsidR="00DB7846">
        <w:t xml:space="preserve">in plasma by qPCR </w:t>
      </w:r>
      <w:r w:rsidR="00023AA7">
        <w:t>in a validation cohort of patients</w:t>
      </w:r>
      <w:r w:rsidR="00287608">
        <w:t xml:space="preserve"> with chronic heart failure</w:t>
      </w:r>
      <w:r w:rsidR="00DB7846">
        <w:t xml:space="preserve"> (n = 15), </w:t>
      </w:r>
      <w:r w:rsidR="00287608">
        <w:t>AMI</w:t>
      </w:r>
      <w:r w:rsidR="00DB7846">
        <w:t xml:space="preserve"> (n = 9) </w:t>
      </w:r>
      <w:proofErr w:type="gramStart"/>
      <w:r w:rsidR="00DB7846">
        <w:t>add</w:t>
      </w:r>
      <w:proofErr w:type="gramEnd"/>
      <w:r w:rsidR="00DB7846">
        <w:t xml:space="preserve"> healthy volunteers (n = 10)</w:t>
      </w:r>
      <w:r w:rsidR="00287608">
        <w:t>.</w:t>
      </w:r>
      <w:r w:rsidR="00BF0B5F">
        <w:t xml:space="preserve"> </w:t>
      </w:r>
      <w:r w:rsidR="00DB7846">
        <w:t xml:space="preserve">Whilst the </w:t>
      </w:r>
      <w:r w:rsidR="00503770">
        <w:t xml:space="preserve">n was </w:t>
      </w:r>
      <w:r w:rsidR="00DB7846">
        <w:t xml:space="preserve">small miR-499 was only </w:t>
      </w:r>
      <w:r w:rsidR="00DB7846">
        <w:lastRenderedPageBreak/>
        <w:t>above the limit of detection in AMI patients and the expression was large enough to be statistically significant.</w:t>
      </w:r>
    </w:p>
    <w:p w14:paraId="7E0F0CAD" w14:textId="77777777" w:rsidR="007C7B05" w:rsidRDefault="007C7B05" w:rsidP="00983CF7"/>
    <w:p w14:paraId="1F305A44" w14:textId="28F3D45C" w:rsidR="00023AA7" w:rsidRDefault="00503770" w:rsidP="002D77F4">
      <w:pPr>
        <w:pStyle w:val="Body"/>
      </w:pPr>
      <w:r>
        <w:t xml:space="preserve">This </w:t>
      </w:r>
      <w:r w:rsidR="00023AA7">
        <w:t xml:space="preserve">novel strategy of </w:t>
      </w:r>
      <w:r w:rsidR="00DB7846">
        <w:t>identifying</w:t>
      </w:r>
      <w:r w:rsidR="00023AA7">
        <w:t xml:space="preserve"> tissue specific miRNAs </w:t>
      </w:r>
      <w:r w:rsidR="0006725A">
        <w:t xml:space="preserve">before measuring in plasma </w:t>
      </w:r>
      <w:r w:rsidR="00023AA7">
        <w:t xml:space="preserve">it </w:t>
      </w:r>
      <w:r>
        <w:t>isn’t</w:t>
      </w:r>
      <w:r w:rsidR="00023AA7">
        <w:t xml:space="preserve"> without precedent</w:t>
      </w:r>
      <w:r w:rsidR="0006725A">
        <w:t>.</w:t>
      </w:r>
      <w:r w:rsidR="00023AA7">
        <w:t xml:space="preserve"> </w:t>
      </w:r>
      <w:r w:rsidR="0006725A">
        <w:t>C</w:t>
      </w:r>
      <w:r w:rsidR="00BF0B5F">
        <w:t xml:space="preserve">ardiac troponin </w:t>
      </w:r>
      <w:r w:rsidR="00023AA7">
        <w:t>is</w:t>
      </w:r>
      <w:r w:rsidR="00BF0B5F">
        <w:t xml:space="preserve"> specific to heart muscle measuring </w:t>
      </w:r>
      <w:r w:rsidR="00023AA7">
        <w:t>and is measured in clinical practice</w:t>
      </w:r>
      <w:r w:rsidR="0006725A">
        <w:t>,</w:t>
      </w:r>
      <w:r w:rsidR="00023AA7">
        <w:t xml:space="preserve"> </w:t>
      </w:r>
      <w:r w:rsidR="0006725A">
        <w:t>i</w:t>
      </w:r>
      <w:r w:rsidR="00023AA7">
        <w:t>ts release into the circulation caused by myocardial injury/necrosis during AMI</w:t>
      </w:r>
      <w:r w:rsidR="00843639">
        <w:t xml:space="preserve"> </w:t>
      </w:r>
      <w:r w:rsidR="004E19A5">
        <w:rPr>
          <w:rFonts w:eastAsiaTheme="minorEastAsia"/>
        </w:rPr>
        <w:fldChar w:fldCharType="begin"/>
      </w:r>
      <w:r w:rsidR="004E19A5">
        <w:rPr>
          <w:rFonts w:eastAsiaTheme="minorEastAsia"/>
        </w:rPr>
        <w:instrText xml:space="preserve"> ADDIN PAPERS2_CITATIONS &lt;citation&gt;&lt;priority&gt;73&lt;/priority&gt;&lt;uuid&gt;C7809F91-2523-4FD1-AFF0-1052C56931A6&lt;/uuid&gt;&lt;publications&gt;&lt;publication&gt;&lt;subtype&gt;400&lt;/subtype&gt;&lt;title&gt;Recommendations for the use of cardiac troponin measurement in acute cardiac care&lt;/title&gt;&lt;url&gt;https://academic.oup.com/eurheartj/article-lookup/doi/10.1093/eurheartj/ehq251&lt;/url&gt;&lt;volume&gt;31&lt;/volume&gt;&lt;publication_date&gt;99201009141200000000222000&lt;/publication_date&gt;&lt;uuid&gt;CE530730-7DBD-4ECB-8658-58574CBFFADE&lt;/uuid&gt;&lt;type&gt;400&lt;/type&gt;&lt;number&gt;18&lt;/number&gt;&lt;doi&gt;10.1093/eurheartj/ehq251&lt;/doi&gt;&lt;startpage&gt;2197&lt;/startpage&gt;&lt;endpage&gt;2204&lt;/endpage&gt;&lt;bundle&gt;&lt;publication&gt;&lt;title&gt;European Heart Journal&lt;/title&gt;&lt;uuid&gt;9B2F36EA-4378-47D4-BC03-5AB7B9E7132C&lt;/uuid&gt;&lt;subtype&gt;-100&lt;/subtype&gt;&lt;type&gt;-100&lt;/type&gt;&lt;/publication&gt;&lt;/bundle&gt;&lt;authors&gt;&lt;author&gt;&lt;lastName&gt;Thygesen&lt;/lastName&gt;&lt;firstName&gt;K&lt;/firstName&gt;&lt;/author&gt;&lt;author&gt;&lt;lastName&gt;Mair&lt;/lastName&gt;&lt;firstName&gt;J&lt;/firstName&gt;&lt;/author&gt;&lt;author&gt;&lt;lastName&gt;Katus&lt;/lastName&gt;&lt;firstName&gt;H&lt;/firstName&gt;&lt;/author&gt;&lt;author&gt;&lt;lastName&gt;Plebani&lt;/lastName&gt;&lt;firstName&gt;M&lt;/firstName&gt;&lt;/author&gt;&lt;author&gt;&lt;lastName&gt;Venge&lt;/lastName&gt;&lt;firstName&gt;P&lt;/firstName&gt;&lt;/author&gt;&lt;author&gt;&lt;lastName&gt;Collinson&lt;/lastName&gt;&lt;firstName&gt;P&lt;/firstName&gt;&lt;/author&gt;&lt;author&gt;&lt;lastName&gt;Lindahl&lt;/lastName&gt;&lt;firstName&gt;B&lt;/firstName&gt;&lt;/author&gt;&lt;author&gt;&lt;lastName&gt;Giannitsis&lt;/lastName&gt;&lt;firstName&gt;E&lt;/firstName&gt;&lt;/author&gt;&lt;author&gt;&lt;lastName&gt;Hasin&lt;/lastName&gt;&lt;firstName&gt;Y&lt;/firstName&gt;&lt;/author&gt;&lt;author&gt;&lt;lastName&gt;Galvani&lt;/lastName&gt;&lt;firstName&gt;M&lt;/firstName&gt;&lt;/author&gt;&lt;author&gt;&lt;lastName&gt;Tubaro&lt;/lastName&gt;&lt;firstName&gt;M&lt;/firstName&gt;&lt;/author&gt;&lt;author&gt;&lt;lastName&gt;Alpert&lt;/lastName&gt;&lt;firstName&gt;J&lt;/firstName&gt;&lt;middleNames&gt;S&lt;/middleNames&gt;&lt;/author&gt;&lt;author&gt;&lt;lastName&gt;Biasucci&lt;/lastName&gt;&lt;firstName&gt;L&lt;/firstName&gt;&lt;middleNames&gt;M&lt;/middleNames&gt;&lt;/author&gt;&lt;author&gt;&lt;lastName&gt;Koenig&lt;/lastName&gt;&lt;firstName&gt;W&lt;/firstName&gt;&lt;/author&gt;&lt;author&gt;&lt;lastName&gt;Mueller&lt;/lastName&gt;&lt;firstName&gt;C&lt;/firstName&gt;&lt;/author&gt;&lt;author&gt;&lt;lastName&gt;Huber&lt;/lastName&gt;&lt;firstName&gt;K&lt;/firstName&gt;&lt;/author&gt;&lt;author&gt;&lt;lastName&gt;Hamm&lt;/lastName&gt;&lt;firstName&gt;C&lt;/firstName&gt;&lt;/author&gt;&lt;author&gt;&lt;lastName&gt;Jaffe&lt;/lastName&gt;&lt;firstName&gt;A&lt;/firstName&gt;&lt;middleNames&gt;S&lt;/middleNames&gt;&lt;/author&gt;&lt;author&gt;&lt;lastName&gt;the Study Group on Biomarkers in Cardiology of the ESC Working Group on Acute Cardiac Care&lt;/lastName&gt;&lt;/author&gt;&lt;/authors&gt;&lt;/publication&gt;&lt;/publications&gt;&lt;cites&gt;&lt;/cites&gt;&lt;/citation&gt;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Thygesen</w:t>
      </w:r>
      <w:proofErr w:type="spellEnd"/>
      <w:r w:rsidR="004E19A5">
        <w:rPr>
          <w:rFonts w:eastAsiaTheme="minorEastAsia"/>
        </w:rPr>
        <w:t xml:space="preserve"> et al., 2010)</w:t>
      </w:r>
      <w:r w:rsidR="004E19A5">
        <w:rPr>
          <w:rFonts w:eastAsiaTheme="minorEastAsia"/>
        </w:rPr>
        <w:fldChar w:fldCharType="end"/>
      </w:r>
      <w:r w:rsidR="00023AA7">
        <w:t xml:space="preserve">. </w:t>
      </w:r>
    </w:p>
    <w:p w14:paraId="31C424EC" w14:textId="77777777" w:rsidR="00023AA7" w:rsidRDefault="00023AA7" w:rsidP="00983CF7"/>
    <w:p w14:paraId="254A54AF" w14:textId="699E76B3" w:rsidR="00DE2C13" w:rsidRDefault="00CC42B5" w:rsidP="002D77F4">
      <w:pPr>
        <w:pStyle w:val="Body"/>
      </w:pPr>
      <w:r>
        <w:t>Whilst there</w:t>
      </w:r>
      <w:r w:rsidR="00DB7846">
        <w:t xml:space="preserve"> was no external cohort, however, the increase in miR-499 following AMI has been confirmed in sever subsequent publications </w:t>
      </w:r>
      <w:r w:rsidR="004E19A5">
        <w:rPr>
          <w:rFonts w:eastAsiaTheme="minorEastAsia"/>
        </w:rPr>
        <w:fldChar w:fldCharType="begin"/>
      </w:r>
      <w:r w:rsidR="004E19A5">
        <w:rPr>
          <w:rFonts w:eastAsiaTheme="minorEastAsia"/>
        </w:rPr>
        <w:instrText xml:space="preserve"> ADDIN PAPERS2_CITATIONS &lt;citation&gt;&lt;priority&gt;74&lt;/priority&gt;&lt;uuid&gt;D72B31F9-30F0-4727-BC5A-5DBA395455A1&lt;/uuid&gt;&lt;publications&gt;&lt;publication&gt;&lt;subtype&gt;400&lt;/subtype&gt;&lt;publisher&gt;Exp Gerontol&lt;/publisher&gt;&lt;title&gt;Plasma miR-1, miR-208, miR-499 as potential predictive biomarkers for acute myocardial infarction: An independent study of Han population&lt;/title&gt;&lt;url&gt;https://linkinghub.elsevier.com/retrieve/pii/S0531556515300735&lt;/url&gt;&lt;volume&gt;72&lt;/volume&gt;&lt;revision_date&gt;99201510131200000000222000&lt;/revision_date&gt;&lt;publication_date&gt;99201512011200000000222000&lt;/publication_date&gt;&lt;uuid&gt;323E2533-2A0B-417E-8661-C2F646F7028E&lt;/uuid&gt;&lt;type&gt;400&lt;/type&gt;&lt;accepted_date&gt;99201510211200000000222000&lt;/accepted_date&gt;&lt;submission_date&gt;99201506051200000000222000&lt;/submission_date&gt;&lt;doi&gt;10.1016/j.exger.2015.10.011&lt;/doi&gt;&lt;institution&gt;Department of Cardiology, The Fourth Clinical Hospital of Harbin Medical University, Harbin 150001, Heilongjiang Province, China.&lt;/institution&gt;&lt;startpage&gt;230&lt;/startpage&gt;&lt;endpage&gt;238&lt;/endpage&gt;&lt;bundle&gt;&lt;publication&gt;&lt;title&gt;Experimental gerontology&lt;/title&gt;&lt;uuid&gt;E88FD483-A69F-4D4C-AFA6-11777B3C8096&lt;/uuid&gt;&lt;subtype&gt;-100&lt;/subtype&gt;&lt;type&gt;-100&lt;/type&gt;&lt;/publication&gt;&lt;/bundle&gt;&lt;authors&gt;&lt;author&gt;&lt;lastName&gt;X&lt;/lastName&gt;&lt;firstName&gt;Liu&lt;/firstName&gt;&lt;/author&gt;&lt;author&gt;&lt;lastName&gt;Z&lt;/lastName&gt;&lt;firstName&gt;Fan&lt;/firstName&gt;&lt;/author&gt;&lt;author&gt;&lt;lastName&gt;T&lt;/lastName&gt;&lt;firstName&gt;Zhao&lt;/firstName&gt;&lt;/author&gt;&lt;author&gt;&lt;lastName&gt;W&lt;/lastName&gt;&lt;firstName&gt;Cao&lt;/firstName&gt;&lt;/author&gt;&lt;author&gt;&lt;lastName&gt;L&lt;/lastName&gt;&lt;firstName&gt;Zhang&lt;/firstName&gt;&lt;/author&gt;&lt;author&gt;&lt;lastName&gt;H&lt;/lastName&gt;&lt;firstName&gt;Li&lt;/firstName&gt;&lt;/author&gt;&lt;author&gt;&lt;lastName&gt;Q&lt;/lastName&gt;&lt;firstName&gt;Xie&lt;/firstName&gt;&lt;/author&gt;&lt;author&gt;&lt;lastName&gt;Y&lt;/lastName&gt;&lt;firstName&gt;Tian&lt;/firstName&gt;&lt;/author&gt;&lt;author&gt;&lt;lastName&gt;B&lt;/lastName&gt;&lt;firstName&gt;Wang&lt;/firstName&gt;&lt;/author&gt;&lt;/authors&gt;&lt;/publication&gt;&lt;/publications&gt;&lt;cites&gt;&lt;/cites&gt;&lt;/citation&gt;</w:instrText>
      </w:r>
      <w:r w:rsidR="004E19A5">
        <w:rPr>
          <w:rFonts w:eastAsiaTheme="minorEastAsia"/>
        </w:rPr>
        <w:fldChar w:fldCharType="separate"/>
      </w:r>
      <w:r w:rsidR="004E19A5">
        <w:rPr>
          <w:rFonts w:eastAsiaTheme="minorEastAsia"/>
        </w:rPr>
        <w:t>(L. X et al., 2015)</w:t>
      </w:r>
      <w:r w:rsidR="004E19A5">
        <w:rPr>
          <w:rFonts w:eastAsiaTheme="minorEastAsia"/>
        </w:rPr>
        <w:fldChar w:fldCharType="end"/>
      </w:r>
      <w:r w:rsidR="002D77F4">
        <w:rPr>
          <w:rFonts w:eastAsiaTheme="minorEastAsia"/>
        </w:rPr>
        <w:t xml:space="preserve">, </w:t>
      </w:r>
      <w:r w:rsidR="004E19A5">
        <w:rPr>
          <w:rFonts w:eastAsiaTheme="minorEastAsia"/>
        </w:rPr>
        <w:fldChar w:fldCharType="begin"/>
      </w:r>
      <w:r w:rsidR="004E19A5">
        <w:rPr>
          <w:rFonts w:eastAsiaTheme="minorEastAsia"/>
        </w:rPr>
        <w:instrText xml:space="preserve"> ADDIN PAPERS2_CITATIONS &lt;citation&gt;&lt;priority&gt;75&lt;/priority&gt;&lt;uuid&gt;9D9969DF-DD4D-43CE-853F-AB2ABEAD409D&lt;/uuid&gt;&lt;publications&gt;&lt;publication&gt;&lt;subtype&gt;400&lt;/subtype&gt;&lt;title&gt;MiRNAs as Biomarkers of Myocardial Infarction: A Meta-Analysis&lt;/title&gt;&lt;url&gt;https://dx.plos.org/10.1371/journal.pone.0088566&lt;/url&gt;&lt;volume&gt;9&lt;/volume&gt;&lt;publication_date&gt;99201402121200000000222000&lt;/publication_date&gt;&lt;uuid&gt;D36DD00F-ECFA-41A8-B650-C60BA61D2101&lt;/uuid&gt;&lt;type&gt;400&lt;/type&gt;&lt;number&gt;2&lt;/number&gt;&lt;doi&gt;10.1371/journal.pone.0088566&lt;/doi&gt;&lt;startpage&gt;e88566&lt;/startpage&gt;&lt;bundle&gt;&lt;publication&gt;&lt;title&gt;PloS one&lt;/title&gt;&lt;uuid&gt;82F7624E-B927-496C-B434-7FDEB6B50A82&lt;/uuid&gt;&lt;subtype&gt;-100&lt;/subtype&gt;&lt;publisher&gt;Public Library of Science&lt;/publisher&gt;&lt;type&gt;-100&lt;/type&gt;&lt;url&gt;http://www.plosone.org&lt;/url&gt;&lt;/publication&gt;&lt;/bundle&gt;&lt;authors&gt;&lt;author&gt;&lt;lastName&gt;Cheng&lt;/lastName&gt;&lt;firstName&gt;Chao&lt;/firstName&gt;&lt;/author&gt;&lt;author&gt;&lt;lastName&gt;Wang&lt;/lastName&gt;&lt;firstName&gt;Qiang&lt;/firstName&gt;&lt;/author&gt;&lt;author&gt;&lt;lastName&gt;You&lt;/lastName&gt;&lt;firstName&gt;Wenjie&lt;/firstName&gt;&lt;/author&gt;&lt;author&gt;&lt;lastName&gt;Chen&lt;/lastName&gt;&lt;firstName&gt;Manhua&lt;/firstName&gt;&lt;/author&gt;&lt;author&gt;&lt;lastName&gt;Xia&lt;/lastName&gt;&lt;firstName&gt;Jiahong&lt;/firstName&gt;&lt;/author&gt;&lt;/authors&gt;&lt;editors&gt;&lt;author&gt;&lt;lastName&gt;Aalto-Setala&lt;/lastName&gt;&lt;firstName&gt;Katriina&lt;/firstName&gt;&lt;/author&gt;&lt;/editors&gt;&lt;/publication&gt;&lt;/publications&gt;&lt;cites&gt;&lt;/cites&gt;&lt;/citation&gt;</w:instrText>
      </w:r>
      <w:r w:rsidR="004E19A5">
        <w:rPr>
          <w:rFonts w:eastAsiaTheme="minorEastAsia"/>
        </w:rPr>
        <w:fldChar w:fldCharType="separate"/>
      </w:r>
      <w:r w:rsidR="004E19A5">
        <w:rPr>
          <w:rFonts w:eastAsiaTheme="minorEastAsia"/>
        </w:rPr>
        <w:t>(Cheng, Wang, You, Chen, &amp; Xia, 2014)</w:t>
      </w:r>
      <w:r w:rsidR="004E19A5">
        <w:rPr>
          <w:rFonts w:eastAsiaTheme="minorEastAsia"/>
        </w:rPr>
        <w:fldChar w:fldCharType="end"/>
      </w:r>
      <w:r w:rsidR="00DB7846">
        <w:t>.</w:t>
      </w:r>
    </w:p>
    <w:p w14:paraId="4C07FE98" w14:textId="77777777" w:rsidR="00A351A8" w:rsidRDefault="00A351A8" w:rsidP="00A351A8">
      <w:pPr>
        <w:pStyle w:val="Body"/>
      </w:pPr>
    </w:p>
    <w:p w14:paraId="69BEE735" w14:textId="77777777" w:rsidR="00A351A8" w:rsidRDefault="00A351A8" w:rsidP="00A351A8">
      <w:pPr>
        <w:pStyle w:val="Heading2"/>
        <w:numPr>
          <w:ilvl w:val="3"/>
          <w:numId w:val="7"/>
        </w:numPr>
        <w:spacing w:before="120" w:after="120"/>
      </w:pPr>
      <w:bookmarkStart w:id="54" w:name="_Toc60773859"/>
      <w:r>
        <w:t>Sepsis</w:t>
      </w:r>
      <w:bookmarkEnd w:id="54"/>
    </w:p>
    <w:p w14:paraId="205C3E10" w14:textId="202DC919" w:rsidR="00EF270F" w:rsidRDefault="00C931BF" w:rsidP="00EF270F">
      <w:pPr>
        <w:pStyle w:val="Body"/>
      </w:pPr>
      <w:r>
        <w:t>To identify potential</w:t>
      </w:r>
      <w:r w:rsidR="00CD6086">
        <w:t xml:space="preserve"> new therapies</w:t>
      </w:r>
      <w:r>
        <w:t xml:space="preserve"> and improve outcomes </w:t>
      </w:r>
      <w:r w:rsidR="00CD6086">
        <w:t xml:space="preserve">in sepsis </w:t>
      </w:r>
      <w:proofErr w:type="spellStart"/>
      <w:r>
        <w:t>Visilescu</w:t>
      </w:r>
      <w:proofErr w:type="spellEnd"/>
      <w:r>
        <w:t xml:space="preserve"> et al., sought to identify new diagnostic markers </w:t>
      </w:r>
      <w:r w:rsidR="004E19A5">
        <w:rPr>
          <w:rFonts w:eastAsiaTheme="minorEastAsia"/>
        </w:rPr>
        <w:fldChar w:fldCharType="begin"/>
      </w:r>
      <w:r w:rsidR="004E19A5">
        <w:rPr>
          <w:rFonts w:eastAsiaTheme="minorEastAsia"/>
        </w:rPr>
        <w:instrText xml:space="preserve"> ADDIN PAPERS2_CITATIONS &lt;citation&gt;&lt;priority&gt;76&lt;/priority&gt;&lt;uuid&gt;2DC95696-D73F-4C4D-B7FC-FBC517A5CB04&lt;/uuid&gt;&lt;publications&gt;&lt;publication&gt;&lt;subtype&gt;400&lt;/subtype&gt;&lt;title&gt;MicroRNA Fingerprints Identify miR-150 as a Plasma Prognostic Marker in Patients with Sepsis&lt;/title&gt;&lt;url&gt;https://dx.plos.org/10.1371/journal.pone.0007405&lt;/url&gt;&lt;volume&gt;4&lt;/volume&gt;&lt;publication_date&gt;99200910121200000000222000&lt;/publication_date&gt;&lt;uuid&gt;9F353BB6-D88D-4F5D-BDF1-8E7953169EAC&lt;/uuid&gt;&lt;type&gt;400&lt;/type&gt;&lt;number&gt;10&lt;/number&gt;&lt;doi&gt;10.1371/journal.pone.0007405&lt;/doi&gt;&lt;startpage&gt;e7405&lt;/startpage&gt;&lt;bundle&gt;&lt;publication&gt;&lt;title&gt;PloS one&lt;/title&gt;&lt;uuid&gt;82F7624E-B927-496C-B434-7FDEB6B50A82&lt;/uuid&gt;&lt;subtype&gt;-100&lt;/subtype&gt;&lt;publisher&gt;Public Library of Science&lt;/publisher&gt;&lt;type&gt;-100&lt;/type&gt;&lt;url&gt;http://www.plosone.org&lt;/url&gt;&lt;/publication&gt;&lt;/bundle&gt;&lt;authors&gt;&lt;author&gt;&lt;lastName&gt;Vasilescu&lt;/lastName&gt;&lt;firstName&gt;Catalin&lt;/firstName&gt;&lt;/author&gt;&lt;author&gt;&lt;lastName&gt;Rossi&lt;/lastName&gt;&lt;firstName&gt;Simona&lt;/firstName&gt;&lt;/author&gt;&lt;author&gt;&lt;lastName&gt;Shimizu&lt;/lastName&gt;&lt;firstName&gt;Masayoshi&lt;/firstName&gt;&lt;/author&gt;&lt;author&gt;&lt;lastName&gt;Tudor&lt;/lastName&gt;&lt;firstName&gt;Stefan&lt;/firstName&gt;&lt;/author&gt;&lt;author&gt;&lt;lastName&gt;Veronese&lt;/lastName&gt;&lt;firstName&gt;Angelo&lt;/firstName&gt;&lt;/author&gt;&lt;author&gt;&lt;lastName&gt;Ferracin&lt;/lastName&gt;&lt;firstName&gt;Manuela&lt;/firstName&gt;&lt;/author&gt;&lt;author&gt;&lt;lastName&gt;Nicoloso&lt;/lastName&gt;&lt;firstName&gt;Milena&lt;/firstName&gt;&lt;middleNames&gt;S&lt;/middleNames&gt;&lt;/author&gt;&lt;author&gt;&lt;lastName&gt;Barbarotto&lt;/lastName&gt;&lt;firstName&gt;Elisa&lt;/firstName&gt;&lt;/author&gt;&lt;author&gt;&lt;lastName&gt;Popa&lt;/lastName&gt;&lt;firstName&gt;Monica&lt;/firstName&gt;&lt;/author&gt;&lt;author&gt;&lt;lastName&gt;Stanciulea&lt;/lastName&gt;&lt;firstName&gt;Oana&lt;/firstName&gt;&lt;/author&gt;&lt;author&gt;&lt;lastName&gt;Fernandez&lt;/lastName&gt;&lt;firstName&gt;Michael&lt;/firstName&gt;&lt;middleNames&gt;H&lt;/middleNames&gt;&lt;/author&gt;&lt;author&gt;&lt;lastName&gt;Tulbure&lt;/lastName&gt;&lt;firstName&gt;Dan&lt;/firstName&gt;&lt;/author&gt;&lt;author&gt;&lt;lastName&gt;Bueso-Ramos&lt;/lastName&gt;&lt;firstName&gt;Carlos&lt;/firstName&gt;&lt;middleNames&gt;E&lt;/middleNames&gt;&lt;/author&gt;&lt;author&gt;&lt;lastName&gt;Negrini&lt;/lastName&gt;&lt;firstName&gt;Massimo&lt;/firstName&gt;&lt;/author&gt;&lt;author&gt;&lt;lastName&gt;Calin&lt;/lastName&gt;&lt;firstName&gt;George&lt;/firstName&gt;&lt;middleNames&gt;A&lt;/middleNames&gt;&lt;/author&gt;&lt;/authors&gt;&lt;editors&gt;&lt;author&gt;&lt;lastName&gt;Gold&lt;/lastName&gt;&lt;firstName&gt;Jeffrey&lt;/firstName&gt;&lt;middleNames&gt;A&lt;/middleNames&gt;&lt;/author&gt;&lt;/edit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Vasilescu</w:t>
      </w:r>
      <w:proofErr w:type="spellEnd"/>
      <w:r w:rsidR="004E19A5">
        <w:rPr>
          <w:rFonts w:eastAsiaTheme="minorEastAsia"/>
        </w:rPr>
        <w:t xml:space="preserve"> et al., 2009)</w:t>
      </w:r>
      <w:r w:rsidR="004E19A5">
        <w:rPr>
          <w:rFonts w:eastAsiaTheme="minorEastAsia"/>
        </w:rPr>
        <w:fldChar w:fldCharType="end"/>
      </w:r>
      <w:r>
        <w:t>.</w:t>
      </w:r>
      <w:r w:rsidR="00AE7BF0">
        <w:t xml:space="preserve"> A </w:t>
      </w:r>
      <w:r w:rsidR="00663B20">
        <w:t>low-resolution</w:t>
      </w:r>
      <w:r w:rsidR="00AE7BF0">
        <w:t xml:space="preserve"> miRNA microarray screen of 470 </w:t>
      </w:r>
      <w:proofErr w:type="spellStart"/>
      <w:r w:rsidR="00AE7BF0">
        <w:t>miRs</w:t>
      </w:r>
      <w:proofErr w:type="spellEnd"/>
      <w:r w:rsidR="00AE7BF0">
        <w:t xml:space="preserve"> in the peripheral blood mononuclear cells (PBMC) fraction in </w:t>
      </w:r>
      <w:r w:rsidR="001B6D61">
        <w:t>8</w:t>
      </w:r>
      <w:r w:rsidR="00AE7BF0">
        <w:t xml:space="preserve"> patients with sepsis and </w:t>
      </w:r>
      <w:r w:rsidR="001B6D61">
        <w:t>8</w:t>
      </w:r>
      <w:r w:rsidR="00AE7BF0">
        <w:t xml:space="preserve"> controls was performed. This identified 17 </w:t>
      </w:r>
      <w:proofErr w:type="spellStart"/>
      <w:r w:rsidR="00AE7BF0">
        <w:t>miRs</w:t>
      </w:r>
      <w:proofErr w:type="spellEnd"/>
      <w:r w:rsidR="00AE7BF0">
        <w:t xml:space="preserve"> that could differentiate disease, 4 of </w:t>
      </w:r>
      <w:r w:rsidR="001B6D61">
        <w:t>which</w:t>
      </w:r>
      <w:r w:rsidR="00AE7BF0">
        <w:t xml:space="preserve"> had an absolute log fold-change &gt; 2 </w:t>
      </w:r>
      <w:r w:rsidR="00571D3B">
        <w:t>which were further validated by qPCR</w:t>
      </w:r>
      <w:r w:rsidR="001B6D61">
        <w:t xml:space="preserve"> in a larger cohort of 10 patient</w:t>
      </w:r>
      <w:r w:rsidR="00641241">
        <w:t>s and</w:t>
      </w:r>
      <w:r w:rsidR="001B6D61">
        <w:t xml:space="preserve"> 12 controls</w:t>
      </w:r>
      <w:r w:rsidR="00571D3B">
        <w:t xml:space="preserve">. </w:t>
      </w:r>
      <w:r w:rsidR="001B6D61">
        <w:t>The qPCR results validated the microarray performance confirming that miR</w:t>
      </w:r>
      <w:r w:rsidR="002E009C">
        <w:t>-</w:t>
      </w:r>
      <w:r w:rsidR="001B6D61">
        <w:t>182 and miR-486 were upregulated in sepsis and miR-150 and 342-5p were down regulated. Further</w:t>
      </w:r>
      <w:r w:rsidR="002E009C">
        <w:t xml:space="preserve"> investigations found that the </w:t>
      </w:r>
      <w:r w:rsidR="001B6D61">
        <w:t xml:space="preserve">decrease in miR-150 expression in patients was </w:t>
      </w:r>
      <w:r w:rsidR="002E009C">
        <w:t xml:space="preserve">also present </w:t>
      </w:r>
      <w:r w:rsidR="001B6D61">
        <w:t>in plasma</w:t>
      </w:r>
      <w:r w:rsidR="002E009C">
        <w:t>. Importantly, this did not correlate with total white blood cell count and was therefore not a reflection of PBMC contamination.</w:t>
      </w:r>
    </w:p>
    <w:p w14:paraId="00A8D858" w14:textId="715E0A93" w:rsidR="00AE7BF0" w:rsidRDefault="00AE7BF0" w:rsidP="00EF270F">
      <w:pPr>
        <w:pStyle w:val="Body"/>
      </w:pPr>
    </w:p>
    <w:p w14:paraId="2165FD63" w14:textId="6CC75C48" w:rsidR="00AE7BF0" w:rsidRDefault="002F6F38" w:rsidP="00EF270F">
      <w:pPr>
        <w:pStyle w:val="Body"/>
      </w:pPr>
      <w:r>
        <w:t xml:space="preserve">The study could have demonstrated the predictive potential by combining the </w:t>
      </w:r>
      <w:r w:rsidR="00AE7BF0">
        <w:t xml:space="preserve">4 </w:t>
      </w:r>
      <w:proofErr w:type="spellStart"/>
      <w:r w:rsidR="00AE7BF0">
        <w:t>miRs</w:t>
      </w:r>
      <w:proofErr w:type="spellEnd"/>
      <w:r w:rsidR="00AE7BF0">
        <w:t xml:space="preserve"> into a singular score </w:t>
      </w:r>
      <w:r w:rsidR="006D740A">
        <w:t>and</w:t>
      </w:r>
      <w:r>
        <w:t xml:space="preserve"> </w:t>
      </w:r>
      <w:r w:rsidR="006D740A">
        <w:t>t</w:t>
      </w:r>
      <w:r>
        <w:t>he samples numbers were also quite small, with no external validation cohort used. However, miR-150</w:t>
      </w:r>
      <w:r w:rsidR="00585D00">
        <w:t xml:space="preserve"> serum levels have</w:t>
      </w:r>
      <w:r>
        <w:t xml:space="preserve"> </w:t>
      </w:r>
      <w:r w:rsidR="00017D93">
        <w:t xml:space="preserve">since </w:t>
      </w:r>
      <w:r>
        <w:t xml:space="preserve">been </w:t>
      </w:r>
      <w:r w:rsidR="00017D93">
        <w:t xml:space="preserve">shown to predict survival in </w:t>
      </w:r>
      <w:r w:rsidR="00585D00">
        <w:t xml:space="preserve">large cohort of 138 </w:t>
      </w:r>
      <w:r w:rsidR="00017D93">
        <w:t xml:space="preserve">patients with sepsis </w:t>
      </w:r>
      <w:r w:rsidR="00585D00">
        <w:t xml:space="preserve">and 76 controls </w:t>
      </w:r>
      <w:r w:rsidR="004E19A5">
        <w:rPr>
          <w:rFonts w:eastAsiaTheme="minorEastAsia"/>
        </w:rPr>
        <w:fldChar w:fldCharType="begin"/>
      </w:r>
      <w:r w:rsidR="004E19A5">
        <w:rPr>
          <w:rFonts w:eastAsiaTheme="minorEastAsia"/>
        </w:rPr>
        <w:instrText xml:space="preserve"> ADDIN PAPERS2_CITATIONS &lt;citation&gt;&lt;priority&gt;77&lt;/priority&gt;&lt;uuid&gt;5B7BCEA4-EE9D-4084-9C1F-78C12D443C1B&lt;/uuid&gt;&lt;publications&gt;&lt;publication&gt;&lt;subtype&gt;400&lt;/subtype&gt;&lt;title&gt;Circulating microRNA-150 serum levels predict survival in patients with critical illness and sepsis.&lt;/title&gt;&lt;url&gt;http://eutils.ncbi.nlm.nih.gov/entrez/eutils/elink.fcgi?dbfrom=pubmed&amp;amp;id=23372743&amp;amp;retmode=ref&amp;amp;cmd=prlinks&lt;/url&gt;&lt;volume&gt;8&lt;/volume&gt;&lt;publication_date&gt;99201300001200000000200000&lt;/publication_date&gt;&lt;uuid&gt;9C0211AA-87A4-422F-ABF2-F59FF9BC1126&lt;/uuid&gt;&lt;type&gt;400&lt;/type&gt;&lt;accepted_date&gt;99201212131200000000222000&lt;/accepted_date&gt;&lt;number&gt;1&lt;/number&gt;&lt;submission_date&gt;99201210041200000000222000&lt;/submission_date&gt;&lt;doi&gt;10.1371/journal.pone.0054612&lt;/doi&gt;&lt;institution&gt;Department of Medicine III, University Hospital Rheinisch-Westfaelische Technische Hochschule Aachen, Aachen, Germany.&lt;/institution&gt;&lt;startpage&gt;e54612&lt;/startpage&gt;&lt;bundle&gt;&lt;publication&gt;&lt;title&gt;PloS one&lt;/title&gt;&lt;uuid&gt;82F7624E-B927-496C-B434-7FDEB6B50A82&lt;/uuid&gt;&lt;subtype&gt;-100&lt;/subtype&gt;&lt;publisher&gt;Public Library of Science&lt;/publisher&gt;&lt;type&gt;-100&lt;/type&gt;&lt;url&gt;http://www.plosone.org&lt;/url&gt;&lt;/publication&gt;&lt;/bundle&gt;&lt;authors&gt;&lt;author&gt;&lt;lastName&gt;Roderburg&lt;/lastName&gt;&lt;firstName&gt;Christoph&lt;/firstName&gt;&lt;/author&gt;&lt;author&gt;&lt;lastName&gt;Luedde&lt;/lastName&gt;&lt;firstName&gt;Mark&lt;/firstName&gt;&lt;/author&gt;&lt;author&gt;&lt;lastName&gt;Vargas Cardenas&lt;/lastName&gt;&lt;firstName&gt;David&lt;/firstName&gt;&lt;/author&gt;&lt;author&gt;&lt;lastName&gt;Vucur&lt;/lastName&gt;&lt;firstName&gt;Mihael&lt;/firstName&gt;&lt;/author&gt;&lt;author&gt;&lt;lastName&gt;Scholten&lt;/lastName&gt;&lt;firstName&gt;David&lt;/firstName&gt;&lt;/author&gt;&lt;author&gt;&lt;lastName&gt;Frey&lt;/lastName&gt;&lt;firstName&gt;Norbert&lt;/firstName&gt;&lt;/author&gt;&lt;author&gt;&lt;lastName&gt;Koch&lt;/lastName&gt;&lt;firstName&gt;Alexander&lt;/firstName&gt;&lt;/author&gt;&lt;author&gt;&lt;lastName&gt;Trautwein&lt;/lastName&gt;&lt;firstName&gt;Christian&lt;/firstName&gt;&lt;/author&gt;&lt;author&gt;&lt;lastName&gt;Tacke&lt;/lastName&gt;&lt;firstName&gt;Frank&lt;/firstName&gt;&lt;/author&gt;&lt;author&gt;&lt;lastName&gt;Luedde&lt;/lastName&gt;&lt;firstName&gt;Tom&lt;/firstName&gt;&lt;/author&gt;&lt;/auth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Roderburg</w:t>
      </w:r>
      <w:proofErr w:type="spellEnd"/>
      <w:r w:rsidR="004E19A5">
        <w:rPr>
          <w:rFonts w:eastAsiaTheme="minorEastAsia"/>
        </w:rPr>
        <w:t xml:space="preserve"> et al., 2013)</w:t>
      </w:r>
      <w:r w:rsidR="004E19A5">
        <w:rPr>
          <w:rFonts w:eastAsiaTheme="minorEastAsia"/>
        </w:rPr>
        <w:fldChar w:fldCharType="end"/>
      </w:r>
      <w:r w:rsidR="00017D93">
        <w:t xml:space="preserve">. </w:t>
      </w:r>
    </w:p>
    <w:p w14:paraId="24B2DDC1" w14:textId="77777777" w:rsidR="004D4713" w:rsidRDefault="004D4713" w:rsidP="004D4713">
      <w:pPr>
        <w:pStyle w:val="Body"/>
      </w:pPr>
    </w:p>
    <w:p w14:paraId="7CF20E59" w14:textId="77777777" w:rsidR="004D4713" w:rsidRDefault="004D4713" w:rsidP="004D4713">
      <w:pPr>
        <w:pStyle w:val="Heading2"/>
        <w:numPr>
          <w:ilvl w:val="3"/>
          <w:numId w:val="7"/>
        </w:numPr>
        <w:spacing w:before="120" w:after="120"/>
      </w:pPr>
      <w:bookmarkStart w:id="55" w:name="_Toc60773860"/>
      <w:r>
        <w:t>Frontotemporal dementia</w:t>
      </w:r>
      <w:bookmarkEnd w:id="55"/>
    </w:p>
    <w:p w14:paraId="0B556490" w14:textId="7DF291C4" w:rsidR="004D4713" w:rsidRDefault="0088592E" w:rsidP="004D4713">
      <w:pPr>
        <w:pStyle w:val="Body"/>
      </w:pPr>
      <w:r>
        <w:t>As neurodegenerative diseases are typically challenging to diagnose Grasso et al., sought to identify a minimally invasive miRNA measure of frontotemporal lobar degeneration (FTLD)</w:t>
      </w:r>
      <w:r w:rsidR="00685617">
        <w:t>. In plasma, 3 miRNAs were</w:t>
      </w:r>
      <w:r w:rsidR="00635446">
        <w:t xml:space="preserve"> significantly</w:t>
      </w:r>
      <w:r w:rsidR="00685617">
        <w:t xml:space="preserve"> downregulated miR-206, miR-502-3p, miR-663a in FTLD when compared with healthy controls </w:t>
      </w:r>
      <w:r w:rsidR="004E19A5">
        <w:rPr>
          <w:rFonts w:eastAsiaTheme="minorEastAsia"/>
        </w:rPr>
        <w:fldChar w:fldCharType="begin"/>
      </w:r>
      <w:r w:rsidR="004E19A5">
        <w:rPr>
          <w:rFonts w:eastAsiaTheme="minorEastAsia"/>
        </w:rPr>
        <w:instrText xml:space="preserve"> ADDIN PAPERS2_CITATIONS &lt;citation&gt;&lt;priority&gt;78&lt;/priority&gt;&lt;uuid&gt;5C7C1BEA-016E-400A-AA61-DF97B029C61B&lt;/uuid&gt;&lt;publications&gt;&lt;publication&gt;&lt;subtype&gt;400&lt;/subtype&gt;&lt;publisher&gt;Elsevier Inc&lt;/publisher&gt;&lt;title&gt;Plasma microRNA profiling distinguishes patients with frontotemporal dementia from healthy subjects&lt;/title&gt;&lt;url&gt;https://doi.org/10.1016/j.neurobiolaging.2019.01.024&lt;/url&gt;&lt;publication_date&gt;99201902261200000000222000&lt;/publication_date&gt;&lt;uuid&gt;95B8E1C9-34C0-48EC-A336-5AC0C28524E2&lt;/uuid&gt;&lt;type&gt;400&lt;/type&gt;&lt;doi&gt;10.1016/j.neurobiolaging.2019.01.024&lt;/doi&gt;&lt;startpage&gt;1&lt;/startpage&gt;&lt;endpage&gt;12&lt;/endpage&gt;&lt;bundle&gt;&lt;publication&gt;&lt;title&gt;Neurobiology of Aging&lt;/title&gt;&lt;uuid&gt;AF6764A9-9F06-432F-8C05-F7DBC3283109&lt;/uuid&gt;&lt;subtype&gt;-100&lt;/subtype&gt;&lt;publisher&gt;Elsevier Inc&lt;/publisher&gt;&lt;type&gt;-100&lt;/type&gt;&lt;/publication&gt;&lt;/bundle&gt;&lt;authors&gt;&lt;author&gt;&lt;lastName&gt;Grasso&lt;/lastName&gt;&lt;firstName&gt;Margherita&lt;/firstName&gt;&lt;/author&gt;&lt;author&gt;&lt;lastName&gt;Piscopo&lt;/lastName&gt;&lt;firstName&gt;Paola&lt;/firstName&gt;&lt;/author&gt;&lt;author&gt;&lt;lastName&gt;Talarico&lt;/lastName&gt;&lt;firstName&gt;Giuseppina&lt;/firstName&gt;&lt;/author&gt;&lt;author&gt;&lt;lastName&gt;Ricci&lt;/lastName&gt;&lt;firstName&gt;Leonardo&lt;/firstName&gt;&lt;/author&gt;&lt;author&gt;&lt;lastName&gt;Crestini&lt;/lastName&gt;&lt;firstName&gt;Alessio&lt;/firstName&gt;&lt;/author&gt;&lt;author&gt;&lt;lastName&gt;Tosto&lt;/lastName&gt;&lt;firstName&gt;Giuseppe&lt;/firstName&gt;&lt;/author&gt;&lt;author&gt;&lt;lastName&gt;Gasparini&lt;/lastName&gt;&lt;firstName&gt;Marina&lt;/firstName&gt;&lt;/author&gt;&lt;author&gt;&lt;lastName&gt;Bruno&lt;/lastName&gt;&lt;firstName&gt;Giuseppe&lt;/firstName&gt;&lt;/author&gt;&lt;author&gt;&lt;lastName&gt;Denti&lt;/lastName&gt;&lt;firstName&gt;Michela&lt;/firstName&gt;&lt;middleNames&gt;A&lt;/middleNames&gt;&lt;/author&gt;&lt;author&gt;&lt;lastName&gt;Confaloni&lt;/lastName&gt;&lt;firstName&gt;Annamaria&lt;/firstName&gt;&lt;/author&gt;&lt;/authors&gt;&lt;/publication&gt;&lt;/publications&gt;&lt;cites&gt;&lt;/cites&gt;&lt;/citation&gt;</w:instrText>
      </w:r>
      <w:r w:rsidR="004E19A5">
        <w:rPr>
          <w:rFonts w:eastAsiaTheme="minorEastAsia"/>
        </w:rPr>
        <w:fldChar w:fldCharType="separate"/>
      </w:r>
      <w:r w:rsidR="004E19A5">
        <w:rPr>
          <w:rFonts w:eastAsiaTheme="minorEastAsia"/>
        </w:rPr>
        <w:t>(Grasso et al., 2019)</w:t>
      </w:r>
      <w:r w:rsidR="004E19A5">
        <w:rPr>
          <w:rFonts w:eastAsiaTheme="minorEastAsia"/>
        </w:rPr>
        <w:fldChar w:fldCharType="end"/>
      </w:r>
      <w:r w:rsidR="00685617">
        <w:rPr>
          <w:rFonts w:eastAsiaTheme="minorEastAsia"/>
        </w:rPr>
        <w:t xml:space="preserve">. Initial discovery was performed by profiling the expression 752 miRNAs using </w:t>
      </w:r>
      <w:proofErr w:type="spellStart"/>
      <w:r w:rsidR="00685617">
        <w:rPr>
          <w:rFonts w:eastAsiaTheme="minorEastAsia"/>
        </w:rPr>
        <w:t>Exiqon</w:t>
      </w:r>
      <w:proofErr w:type="spellEnd"/>
      <w:r w:rsidR="00685617">
        <w:rPr>
          <w:rFonts w:eastAsiaTheme="minorEastAsia"/>
        </w:rPr>
        <w:t xml:space="preserve"> </w:t>
      </w:r>
      <w:r w:rsidR="00685617">
        <w:t>qPCR arrays in 10 FTLD and 10 HVs. In the cohort</w:t>
      </w:r>
      <w:r w:rsidR="00635446">
        <w:t xml:space="preserve"> a total of</w:t>
      </w:r>
      <w:r w:rsidR="00685617">
        <w:t xml:space="preserve"> 221 miRNAs were found to be expressed</w:t>
      </w:r>
      <w:r w:rsidR="00635446">
        <w:t xml:space="preserve"> following initial filtering of Ct &lt; 37 and presence within ≥ 25% of samples.</w:t>
      </w:r>
      <w:r w:rsidR="00685617">
        <w:t xml:space="preserve"> </w:t>
      </w:r>
      <w:r w:rsidR="00635446">
        <w:t xml:space="preserve">Following differential expression analysis </w:t>
      </w:r>
      <w:r w:rsidR="00685617">
        <w:t xml:space="preserve">7 </w:t>
      </w:r>
      <w:r w:rsidR="00635446">
        <w:t>significant</w:t>
      </w:r>
      <w:r w:rsidR="00701C08">
        <w:t>ly differentially expressed</w:t>
      </w:r>
      <w:r w:rsidR="00635446">
        <w:t xml:space="preserve"> </w:t>
      </w:r>
      <w:r w:rsidR="00701C08">
        <w:t>miRNAs were</w:t>
      </w:r>
      <w:r w:rsidR="00635446">
        <w:t xml:space="preserve"> </w:t>
      </w:r>
      <w:r w:rsidR="00685617">
        <w:t>chosen for validation in a larger cohort of 48 FTLD and 46 HVs</w:t>
      </w:r>
      <w:r w:rsidR="00635446">
        <w:t>, identifying 3 significantly downregulated miRNAs. The 3 miRNAs were then combined in their possible combinations using a Bayesian approach. This identified a panel of miR-502-3p and miR-633a that had a classification accuracy of 84.4%.</w:t>
      </w:r>
    </w:p>
    <w:p w14:paraId="5D4ADD6F" w14:textId="77777777" w:rsidR="00685617" w:rsidRDefault="00685617" w:rsidP="004D4713">
      <w:pPr>
        <w:pStyle w:val="Body"/>
      </w:pPr>
    </w:p>
    <w:p w14:paraId="0E290C78" w14:textId="3C9A01F6" w:rsidR="003055AB" w:rsidRDefault="00635446" w:rsidP="001B2A6E">
      <w:pPr>
        <w:pStyle w:val="Body"/>
      </w:pPr>
      <w:r>
        <w:t xml:space="preserve">Good filtering and </w:t>
      </w:r>
      <w:proofErr w:type="gramStart"/>
      <w:r>
        <w:t>well balanced</w:t>
      </w:r>
      <w:proofErr w:type="gramEnd"/>
      <w:r>
        <w:t xml:space="preserve"> discover</w:t>
      </w:r>
      <w:r w:rsidR="0044391A">
        <w:t>y</w:t>
      </w:r>
      <w:r>
        <w:t xml:space="preserve"> and validation cohorts helped identify 3 miRNAs of interest. However, as a diagnostic biomarker it would have been good to </w:t>
      </w:r>
      <w:r>
        <w:lastRenderedPageBreak/>
        <w:t>have tested in diverse cohorts to establish whether the miRNAs could distinguish FTLD from other</w:t>
      </w:r>
      <w:r w:rsidR="0088592E">
        <w:t xml:space="preserve"> neurodegenerative disorders.</w:t>
      </w:r>
    </w:p>
    <w:p w14:paraId="25E1764F" w14:textId="77777777" w:rsidR="0088592E" w:rsidRDefault="0088592E" w:rsidP="004D4713">
      <w:pPr>
        <w:pStyle w:val="Body"/>
      </w:pPr>
    </w:p>
    <w:p w14:paraId="65FFA899" w14:textId="46B7E4A0" w:rsidR="004D4713" w:rsidRDefault="00D851C1" w:rsidP="004D4713">
      <w:pPr>
        <w:pStyle w:val="Heading2"/>
        <w:numPr>
          <w:ilvl w:val="3"/>
          <w:numId w:val="7"/>
        </w:numPr>
        <w:spacing w:before="120" w:after="120"/>
      </w:pPr>
      <w:bookmarkStart w:id="56" w:name="_Toc60773861"/>
      <w:r>
        <w:t>Non-Alcoholic Fatty Liver Disease</w:t>
      </w:r>
      <w:bookmarkEnd w:id="56"/>
    </w:p>
    <w:p w14:paraId="1BF3EFF1" w14:textId="32A30E97" w:rsidR="004D4713" w:rsidRDefault="00680B94" w:rsidP="00EA5F13">
      <w:pPr>
        <w:pStyle w:val="Body"/>
      </w:pPr>
      <w:r>
        <w:t xml:space="preserve">Non-alcoholic fatty liver disease (NAFLD) </w:t>
      </w:r>
      <w:r w:rsidR="00DE74E9">
        <w:t>is difficult to diagnose and can progress to the more serious</w:t>
      </w:r>
      <w:r>
        <w:t xml:space="preserve"> non-alcoholic steatohepatitis (NASH).</w:t>
      </w:r>
      <w:r w:rsidR="00DE74E9">
        <w:t xml:space="preserve"> </w:t>
      </w:r>
      <w:proofErr w:type="spellStart"/>
      <w:r w:rsidR="00DE74E9">
        <w:t>Pirola</w:t>
      </w:r>
      <w:proofErr w:type="spellEnd"/>
      <w:r w:rsidR="00DE74E9">
        <w:t xml:space="preserve"> et al., sought to identify serum miRNA biomarkers </w:t>
      </w:r>
      <w:r w:rsidR="004F7929">
        <w:t xml:space="preserve">that were diagnostic and followed disease progression </w:t>
      </w:r>
      <w:r w:rsidR="004E19A5">
        <w:rPr>
          <w:rFonts w:eastAsiaTheme="minorEastAsia"/>
        </w:rPr>
        <w:fldChar w:fldCharType="begin"/>
      </w:r>
      <w:r w:rsidR="004E19A5">
        <w:rPr>
          <w:rFonts w:eastAsiaTheme="minorEastAsia"/>
        </w:rPr>
        <w:instrText xml:space="preserve"> ADDIN PAPERS2_CITATIONS &lt;citation&gt;&lt;priority&gt;79&lt;/priority&gt;&lt;uuid&gt;A6D64DCF-DDBC-4CC9-96FB-307746B10A88&lt;/uuid&gt;&lt;publications&gt;&lt;publication&gt;&lt;subtype&gt;400&lt;/subtype&gt;&lt;title&gt;Circulating microRNA signature in non-alcoholic fatty liver disease: from serum non-coding RNAs to liver histology and disease pathogenesis&lt;/title&gt;&lt;url&gt;https://gut.bmj.com/lookup/doi/10.1136/gutjnl-2014-306996&lt;/url&gt;&lt;volume&gt;64&lt;/volume&gt;&lt;publication_date&gt;99201504011200000000222000&lt;/publication_date&gt;&lt;uuid&gt;A323D6D3-8ECA-40C1-9B5D-020ACA072A1F&lt;/uuid&gt;&lt;type&gt;400&lt;/type&gt;&lt;number&gt;5&lt;/number&gt;&lt;doi&gt;10.1136/gutjnl-2014-306996&lt;/doi&gt;&lt;startpage&gt;800&lt;/startpage&gt;&lt;endpage&gt;812&lt;/endpage&gt;&lt;bundle&gt;&lt;publication&gt;&lt;title&gt;Gut&lt;/title&gt;&lt;uuid&gt;308C2B46-11D5-4558-B95E-E349CC79A846&lt;/uuid&gt;&lt;subtype&gt;-100&lt;/subtype&gt;&lt;type&gt;-100&lt;/type&gt;&lt;/publication&gt;&lt;/bundle&gt;&lt;authors&gt;&lt;author&gt;&lt;lastName&gt;Pirola&lt;/lastName&gt;&lt;firstName&gt;Carlos&lt;/firstName&gt;&lt;middleNames&gt;J&lt;/middleNames&gt;&lt;/author&gt;&lt;author&gt;&lt;lastName&gt;Fernández Gianotti&lt;/lastName&gt;&lt;firstName&gt;Tomas&lt;/firstName&gt;&lt;/author&gt;&lt;author&gt;&lt;lastName&gt;Castaño&lt;/lastName&gt;&lt;firstName&gt;Gustavo&lt;/firstName&gt;&lt;middleNames&gt;O&lt;/middleNames&gt;&lt;/author&gt;&lt;author&gt;&lt;lastName&gt;Mallardi&lt;/lastName&gt;&lt;firstName&gt;Pablo&lt;/firstName&gt;&lt;/author&gt;&lt;author&gt;&lt;lastName&gt;San Martino&lt;/lastName&gt;&lt;firstName&gt;Julio&lt;/firstName&gt;&lt;/author&gt;&lt;author&gt;&lt;lastName&gt;Mora Gonzalez Lopez Ledesma&lt;/lastName&gt;&lt;firstName&gt;María&lt;/firstName&gt;&lt;/author&gt;&lt;author&gt;&lt;lastName&gt;Flichman&lt;/lastName&gt;&lt;firstName&gt;Diego&lt;/firstName&gt;&lt;/author&gt;&lt;author&gt;&lt;lastName&gt;Mirshahi&lt;/lastName&gt;&lt;firstName&gt;Faridodin&lt;/firstName&gt;&lt;/author&gt;&lt;author&gt;&lt;lastName&gt;Sanyal&lt;/lastName&gt;&lt;firstName&gt;Arun&lt;/firstName&gt;&lt;middleNames&gt;J&lt;/middleNames&gt;&lt;/author&gt;&lt;author&gt;&lt;lastName&gt;Sookoian&lt;/lastName&gt;&lt;firstName&gt;Silvia&lt;/firstName&gt;&lt;/author&gt;&lt;/auth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Pirola</w:t>
      </w:r>
      <w:proofErr w:type="spellEnd"/>
      <w:r w:rsidR="004E19A5">
        <w:rPr>
          <w:rFonts w:eastAsiaTheme="minorEastAsia"/>
        </w:rPr>
        <w:t xml:space="preserve"> et al., 2015)</w:t>
      </w:r>
      <w:r w:rsidR="004E19A5">
        <w:rPr>
          <w:rFonts w:eastAsiaTheme="minorEastAsia"/>
        </w:rPr>
        <w:fldChar w:fldCharType="end"/>
      </w:r>
      <w:r w:rsidR="004F7929">
        <w:t xml:space="preserve">. </w:t>
      </w:r>
      <w:r w:rsidR="0067251D">
        <w:t xml:space="preserve">Discovery was performed </w:t>
      </w:r>
      <w:r w:rsidR="00EA5F13">
        <w:t xml:space="preserve">using a qPCR array </w:t>
      </w:r>
      <w:r w:rsidR="0067251D">
        <w:t>on a cohort of 16 HVs, 16 NAFLD grade 1</w:t>
      </w:r>
      <w:r w:rsidR="007C01C6">
        <w:t>;</w:t>
      </w:r>
      <w:r w:rsidR="0067251D">
        <w:t xml:space="preserve"> simple steatosis (SS)</w:t>
      </w:r>
      <w:r w:rsidR="00EA5F13">
        <w:t xml:space="preserve">, and 16 NASH. The qPCR array </w:t>
      </w:r>
      <w:r w:rsidR="007C01C6">
        <w:t>was of</w:t>
      </w:r>
      <w:r w:rsidR="00EA5F13">
        <w:t xml:space="preserve"> </w:t>
      </w:r>
      <w:r w:rsidR="007C01C6">
        <w:t xml:space="preserve">custom design utilising </w:t>
      </w:r>
      <w:r w:rsidR="00EA5F13">
        <w:t xml:space="preserve">84 miRNAs </w:t>
      </w:r>
      <w:r w:rsidR="000E2876">
        <w:t xml:space="preserve">identified </w:t>
      </w:r>
      <w:r w:rsidR="0067251D">
        <w:t>in</w:t>
      </w:r>
      <w:r w:rsidR="000E2876">
        <w:t xml:space="preserve"> disease relevant literature</w:t>
      </w:r>
      <w:r w:rsidR="00EA5F13">
        <w:t>.</w:t>
      </w:r>
      <w:r w:rsidR="0099645D">
        <w:t xml:space="preserve"> 6 miRNAs were identified by differential expression for validation in a larger cohort of 19 HVs, 30 SS, and 47 NASH. The validation confirmed significant upregulation in miR-122, miR-192 and miR-375</w:t>
      </w:r>
      <w:r w:rsidR="00025DF8">
        <w:t>. Additionally, these miRNAs were significantly associated with disease severity.</w:t>
      </w:r>
    </w:p>
    <w:p w14:paraId="68C9CADC" w14:textId="250075D5" w:rsidR="009A12EC" w:rsidRDefault="009A12EC" w:rsidP="00EA5F13">
      <w:pPr>
        <w:pStyle w:val="Body"/>
      </w:pPr>
      <w:r>
        <w:t>The miRNAs were assessed individually for their discriminatory power by ROC analysis, all 3 had</w:t>
      </w:r>
      <w:r w:rsidR="008B08A4">
        <w:t xml:space="preserve"> similar</w:t>
      </w:r>
      <w:r>
        <w:t xml:space="preserve"> ROC AUC</w:t>
      </w:r>
      <w:r w:rsidR="008B08A4">
        <w:t xml:space="preserve"> values </w:t>
      </w:r>
      <w:r>
        <w:t>of 0.7. A larg</w:t>
      </w:r>
      <w:r w:rsidR="00C51663">
        <w:t>e diagnostic</w:t>
      </w:r>
      <w:r>
        <w:t xml:space="preserve"> panel was built </w:t>
      </w:r>
      <w:r w:rsidR="00C51663">
        <w:t>with the miRNAs and common the common liver biomarkers and disease measures</w:t>
      </w:r>
      <w:r w:rsidR="008B08A4">
        <w:t>;</w:t>
      </w:r>
      <w:r w:rsidR="00C51663">
        <w:t xml:space="preserve"> aspartate transaminase (AST), alanine transaminase (ALT), cytokeratin 18 (CK18), body mass index, waist measurement. Unfortunately, it was not clear what method was used to combine all features in unison and strangely there was no increase in ROC AUC measurement to a single miRNA was seen. With additional features</w:t>
      </w:r>
      <w:r w:rsidR="0058246D">
        <w:t>,</w:t>
      </w:r>
      <w:r w:rsidR="00C51663">
        <w:t xml:space="preserve"> even if it was overfitting</w:t>
      </w:r>
      <w:r w:rsidR="0058246D">
        <w:t>,</w:t>
      </w:r>
      <w:r w:rsidR="00C51663">
        <w:t xml:space="preserve"> an increase in performance is likely.</w:t>
      </w:r>
      <w:r w:rsidR="0058246D">
        <w:t xml:space="preserve"> </w:t>
      </w:r>
    </w:p>
    <w:p w14:paraId="474C9E23" w14:textId="2E843158" w:rsidR="00C51663" w:rsidRDefault="00C51663" w:rsidP="00EA5F13">
      <w:pPr>
        <w:pStyle w:val="Body"/>
      </w:pPr>
    </w:p>
    <w:p w14:paraId="2B651D7A" w14:textId="05844DAB" w:rsidR="0018562F" w:rsidRDefault="0058246D" w:rsidP="00EA5F13">
      <w:pPr>
        <w:pStyle w:val="Body"/>
      </w:pPr>
      <w:r>
        <w:t xml:space="preserve">By utilising prior knowledge this study was able to </w:t>
      </w:r>
      <w:r w:rsidR="00171774">
        <w:t xml:space="preserve">use a </w:t>
      </w:r>
      <w:r>
        <w:t>focu</w:t>
      </w:r>
      <w:r w:rsidR="00171774">
        <w:t>sed</w:t>
      </w:r>
      <w:r w:rsidR="00F3403D">
        <w:t xml:space="preserve"> liver disease</w:t>
      </w:r>
      <w:r w:rsidR="00171774">
        <w:t xml:space="preserve"> discover</w:t>
      </w:r>
      <w:r w:rsidR="00BF07A1">
        <w:t>y</w:t>
      </w:r>
      <w:r w:rsidR="00171774">
        <w:t xml:space="preserve"> panel that</w:t>
      </w:r>
      <w:r>
        <w:t xml:space="preserve"> </w:t>
      </w:r>
      <w:r w:rsidR="00BF07A1">
        <w:t>identified</w:t>
      </w:r>
      <w:r>
        <w:t xml:space="preserve"> 3 </w:t>
      </w:r>
      <w:r w:rsidR="00BF07A1">
        <w:t xml:space="preserve">serum </w:t>
      </w:r>
      <w:r>
        <w:t xml:space="preserve">miRNAs </w:t>
      </w:r>
      <w:r w:rsidR="00BF07A1">
        <w:t>of</w:t>
      </w:r>
      <w:r>
        <w:t xml:space="preserve"> NAFLD and its progression. </w:t>
      </w:r>
      <w:r w:rsidR="0018562F">
        <w:t xml:space="preserve">Whilst validation </w:t>
      </w:r>
      <w:r w:rsidR="0018562F">
        <w:lastRenderedPageBreak/>
        <w:t>with an external cohort was not performed the miRNAs were shown to correlate with disease progression demonstrating a promising</w:t>
      </w:r>
      <w:r w:rsidR="003C2663">
        <w:t xml:space="preserve"> relevant</w:t>
      </w:r>
      <w:r w:rsidR="0018562F">
        <w:t xml:space="preserve"> </w:t>
      </w:r>
      <w:r w:rsidR="003C2663">
        <w:t>relationship</w:t>
      </w:r>
      <w:r w:rsidR="0018562F">
        <w:t xml:space="preserve"> with disease. Additionally, miRNA-122 is a </w:t>
      </w:r>
      <w:r w:rsidR="002A487D">
        <w:t>well-known</w:t>
      </w:r>
      <w:r w:rsidR="0018562F">
        <w:t xml:space="preserve"> highly liver specific miRNA </w:t>
      </w:r>
      <w:r w:rsidR="004E19A5">
        <w:rPr>
          <w:rFonts w:eastAsiaTheme="minorEastAsia"/>
        </w:rPr>
        <w:fldChar w:fldCharType="begin"/>
      </w:r>
      <w:r w:rsidR="004E19A5">
        <w:rPr>
          <w:rFonts w:eastAsiaTheme="minorEastAsia"/>
        </w:rPr>
        <w:instrText xml:space="preserve"> ADDIN PAPERS2_CITATIONS &lt;citation&gt;&lt;priority&gt;80&lt;/priority&gt;&lt;uuid&gt;77911634-D740-46FF-A4CF-7EFD53E16556&lt;/uuid&gt;&lt;publications&gt;&lt;publication&gt;&lt;subtype&gt;400&lt;/subtype&gt;&lt;publisher&gt;Curr Biol&lt;/publisher&gt;&lt;title&gt;Identification of tissue-specific microRNAs from mouse&lt;/title&gt;&lt;url&gt;https://linkinghub.elsevier.com/retrieve/pii/S0960982202008096&lt;/url&gt;&lt;volume&gt;12&lt;/volume&gt;&lt;publication_date&gt;99200204301200000000222000&lt;/publication_date&gt;&lt;uuid&gt;CB75E5D9-AD28-4F86-92C7-9808B1C54062&lt;/uuid&gt;&lt;type&gt;400&lt;/type&gt;&lt;number&gt;9&lt;/number&gt;&lt;doi&gt;10.1016/s0960-9822(02)00809-6&lt;/doi&gt;&lt;institution&gt;Department of Cellular Biochemistry, Max-Planck-Institute for Biophysical Chemistry, Am Fassberg 11, D-37077 Göttingen, Germany.&lt;/institution&gt;&lt;startpage&gt;735&lt;/startpage&gt;&lt;endpage&gt;739&lt;/endpage&gt;&lt;bundle&gt;&lt;publication&gt;&lt;title&gt;Current biology : CB&lt;/title&gt;&lt;uuid&gt;DA0B1CA5-7694-4A7C-8E77-828238B13563&lt;/uuid&gt;&lt;subtype&gt;-100&lt;/subtype&gt;&lt;type&gt;-100&lt;/type&gt;&lt;/publication&gt;&lt;/bundle&gt;&lt;authors&gt;&lt;author&gt;&lt;lastName&gt;M&lt;/lastName&gt;&lt;firstName&gt;Lagos-Quintana&lt;/firstName&gt;&lt;/author&gt;&lt;author&gt;&lt;lastName&gt;R&lt;/lastName&gt;&lt;firstName&gt;Rauhut&lt;/firstName&gt;&lt;/author&gt;&lt;author&gt;&lt;lastName&gt;A&lt;/lastName&gt;&lt;firstName&gt;Yalcin&lt;/firstName&gt;&lt;/author&gt;&lt;author&gt;&lt;lastName&gt;J&lt;/lastName&gt;&lt;firstName&gt;Meyer&lt;/firstName&gt;&lt;/author&gt;&lt;author&gt;&lt;lastName&gt;W&lt;/lastName&gt;&lt;firstName&gt;Lendeckel&lt;/firstName&gt;&lt;/author&gt;&lt;author&gt;&lt;lastName&gt;T&lt;/lastName&gt;&lt;firstName&gt;Tuschl&lt;/firstName&gt;&lt;/author&gt;&lt;/authors&gt;&lt;/publication&gt;&lt;/publications&gt;&lt;cites&gt;&lt;/cites&gt;&lt;/citation&gt;</w:instrText>
      </w:r>
      <w:r w:rsidR="004E19A5">
        <w:rPr>
          <w:rFonts w:eastAsiaTheme="minorEastAsia"/>
        </w:rPr>
        <w:fldChar w:fldCharType="separate"/>
      </w:r>
      <w:r w:rsidR="004E19A5">
        <w:rPr>
          <w:rFonts w:eastAsiaTheme="minorEastAsia"/>
        </w:rPr>
        <w:t>(L.-Q. M et al., 2002)</w:t>
      </w:r>
      <w:r w:rsidR="004E19A5">
        <w:rPr>
          <w:rFonts w:eastAsiaTheme="minorEastAsia"/>
        </w:rPr>
        <w:fldChar w:fldCharType="end"/>
      </w:r>
      <w:r w:rsidR="0018562F">
        <w:rPr>
          <w:rFonts w:eastAsiaTheme="minorEastAsia"/>
        </w:rPr>
        <w:t xml:space="preserve">, </w:t>
      </w:r>
      <w:r w:rsidR="004E19A5">
        <w:rPr>
          <w:rFonts w:eastAsiaTheme="minorEastAsia"/>
        </w:rPr>
        <w:fldChar w:fldCharType="begin"/>
      </w:r>
      <w:r w:rsidR="004E19A5">
        <w:rPr>
          <w:rFonts w:eastAsiaTheme="minorEastAsia"/>
        </w:rPr>
        <w:instrText xml:space="preserve"> ADDIN PAPERS2_CITATIONS &lt;citation&gt;&lt;priority&gt;81&lt;/priority&gt;&lt;uuid&gt;C4D3FA2C-ABD2-4ECF-9B33-5A743D370CEE&lt;/uuid&gt;&lt;publications&gt;&lt;publication&gt;&lt;subtype&gt;400&lt;/subtype&gt;&lt;publisher&gt;NIH Public Access&lt;/publisher&gt;&lt;title&gt;miR-122 is a unique molecule with great potential in diagnosis, prognosis of liver disease, and therapy both as miRNA mimic and antimir.&lt;/title&gt;&lt;url&gt;http://www.eurekaselect.com/openurl/content.php?genre=article&amp;amp;issn=1566-5232&amp;amp;volume=15&amp;amp;issue=2&amp;amp;spage=142&lt;/url&gt;&lt;volume&gt;15&lt;/volume&gt;&lt;revision_date&gt;99201412131200000000222000&lt;/revision_date&gt;&lt;publication_date&gt;99201500001200000000200000&lt;/publication_date&gt;&lt;uuid&gt;F3DE6F3F-ED80-4890-9594-5F729EAAF31B&lt;/uuid&gt;&lt;type&gt;400&lt;/type&gt;&lt;accepted_date&gt;99201412171200000000222000&lt;/accepted_date&gt;&lt;number&gt;2&lt;/number&gt;&lt;submission_date&gt;99201408251200000000222000&lt;/submission_date&gt;&lt;doi&gt;10.2174/1566523214666141224095610&lt;/doi&gt;&lt;institution&gt;646C MRF, 420 W. 12th Avenue, Columbus, OH 43210, USA. Kalpana.Ghoshal@osumc.edu.&lt;/institution&gt;&lt;startpage&gt;142&lt;/startpage&gt;&lt;endpage&gt;150&lt;/endpage&gt;&lt;bundle&gt;&lt;publication&gt;&lt;title&gt;Current gene therapy&lt;/title&gt;&lt;uuid&gt;B54D83EC-C598-487B-A373-59BAD12A83B7&lt;/uuid&gt;&lt;subtype&gt;-100&lt;/subtype&gt;&lt;publisher&gt;NIH Public Access&lt;/publisher&gt;&lt;type&gt;-100&lt;/type&gt;&lt;/publication&gt;&lt;/bundle&gt;&lt;authors&gt;&lt;author&gt;&lt;lastName&gt;Thakral&lt;/lastName&gt;&lt;firstName&gt;Sharda&lt;/firstName&gt;&lt;/author&gt;&lt;author&gt;&lt;lastName&gt;Ghoshal&lt;/lastName&gt;&lt;firstName&gt;Kalpana&lt;/firstName&gt;&lt;/author&gt;&lt;/authors&gt;&lt;/publication&gt;&lt;/publications&gt;&lt;cites&gt;&lt;/cites&gt;&lt;/citation&gt;</w:instrText>
      </w:r>
      <w:r w:rsidR="004E19A5">
        <w:rPr>
          <w:rFonts w:eastAsiaTheme="minorEastAsia"/>
        </w:rPr>
        <w:fldChar w:fldCharType="separate"/>
      </w:r>
      <w:r w:rsidR="004E19A5">
        <w:rPr>
          <w:rFonts w:eastAsiaTheme="minorEastAsia"/>
        </w:rPr>
        <w:t>(Thakral &amp; Ghoshal, 2015)</w:t>
      </w:r>
      <w:r w:rsidR="004E19A5">
        <w:rPr>
          <w:rFonts w:eastAsiaTheme="minorEastAsia"/>
        </w:rPr>
        <w:fldChar w:fldCharType="end"/>
      </w:r>
      <w:r w:rsidR="002A487D">
        <w:rPr>
          <w:rFonts w:eastAsiaTheme="minorEastAsia"/>
        </w:rPr>
        <w:t xml:space="preserve"> and the upregulation </w:t>
      </w:r>
      <w:r w:rsidR="00F3403D">
        <w:rPr>
          <w:rFonts w:eastAsiaTheme="minorEastAsia"/>
        </w:rPr>
        <w:t>identified</w:t>
      </w:r>
      <w:r w:rsidR="002A487D">
        <w:rPr>
          <w:rFonts w:eastAsiaTheme="minorEastAsia"/>
        </w:rPr>
        <w:t xml:space="preserve"> in </w:t>
      </w:r>
      <w:r w:rsidR="00F3403D">
        <w:rPr>
          <w:rFonts w:eastAsiaTheme="minorEastAsia"/>
        </w:rPr>
        <w:t xml:space="preserve">patient </w:t>
      </w:r>
      <w:r w:rsidR="002A487D">
        <w:rPr>
          <w:rFonts w:eastAsiaTheme="minorEastAsia"/>
        </w:rPr>
        <w:t xml:space="preserve">serum is </w:t>
      </w:r>
      <w:r w:rsidR="00F3403D">
        <w:rPr>
          <w:rFonts w:eastAsiaTheme="minorEastAsia"/>
        </w:rPr>
        <w:t xml:space="preserve">likely to be </w:t>
      </w:r>
      <w:r w:rsidR="002A487D">
        <w:rPr>
          <w:rFonts w:eastAsiaTheme="minorEastAsia"/>
        </w:rPr>
        <w:t>linked to</w:t>
      </w:r>
      <w:r w:rsidR="00F3403D">
        <w:t xml:space="preserve"> deterioration of the liver.</w:t>
      </w:r>
    </w:p>
    <w:p w14:paraId="4F03D505" w14:textId="77777777" w:rsidR="003C2663" w:rsidRDefault="003C2663" w:rsidP="00EA5F13">
      <w:pPr>
        <w:pStyle w:val="Body"/>
      </w:pPr>
    </w:p>
    <w:p w14:paraId="0CEA5206" w14:textId="3072B4A9" w:rsidR="002F677B" w:rsidRDefault="0058246D" w:rsidP="002D77F4">
      <w:pPr>
        <w:pStyle w:val="Body"/>
      </w:pPr>
      <w:r>
        <w:t xml:space="preserve">The larger panel may have been more successful if different models had been tested, or if model stability was explored in a train and test scenario. Additionally, the AST/ALT ratio </w:t>
      </w:r>
      <w:r w:rsidR="004B5245">
        <w:t xml:space="preserve">is an informative </w:t>
      </w:r>
      <w:r>
        <w:t xml:space="preserve">measurement </w:t>
      </w:r>
      <w:r w:rsidR="004B5245">
        <w:t xml:space="preserve">of liver function </w:t>
      </w:r>
      <w:r>
        <w:t>and calculating this as</w:t>
      </w:r>
      <w:r w:rsidR="004B5245">
        <w:t xml:space="preserve"> an input in the model </w:t>
      </w:r>
      <w:r w:rsidR="00B131D8">
        <w:t xml:space="preserve">would have been appropriate and </w:t>
      </w:r>
      <w:r w:rsidR="004B5245">
        <w:t>could have aide</w:t>
      </w:r>
      <w:r w:rsidR="00BF07A1">
        <w:t>d</w:t>
      </w:r>
      <w:r w:rsidR="00B131D8">
        <w:t xml:space="preserve"> in predictive performance</w:t>
      </w:r>
      <w:r w:rsidR="004B5245">
        <w:t>.</w:t>
      </w:r>
    </w:p>
    <w:p w14:paraId="1382AB92" w14:textId="77777777" w:rsidR="0084552C" w:rsidRDefault="0084552C" w:rsidP="0084552C"/>
    <w:p w14:paraId="2DD956E1" w14:textId="77777777" w:rsidR="0084552C" w:rsidRPr="007F030E" w:rsidRDefault="0084552C" w:rsidP="00983CF7"/>
    <w:p w14:paraId="19888401" w14:textId="6BE1D1D6" w:rsidR="00983CF7" w:rsidRPr="00B22F03" w:rsidRDefault="00983CF7" w:rsidP="00531EEC">
      <w:pPr>
        <w:pStyle w:val="Heading2"/>
        <w:numPr>
          <w:ilvl w:val="2"/>
          <w:numId w:val="7"/>
        </w:numPr>
        <w:spacing w:before="120" w:after="120"/>
      </w:pPr>
      <w:bookmarkStart w:id="57" w:name="_Toc60773862"/>
      <w:r w:rsidRPr="00B22F03">
        <w:t>MicroRNA biomarkers</w:t>
      </w:r>
      <w:r w:rsidR="00081299">
        <w:t xml:space="preserve"> in PAH</w:t>
      </w:r>
      <w:bookmarkEnd w:id="57"/>
    </w:p>
    <w:p w14:paraId="7961529F" w14:textId="2DCAFB85" w:rsidR="00B22F03" w:rsidRPr="001F6340" w:rsidRDefault="004E2249" w:rsidP="004E2249">
      <w:pPr>
        <w:pStyle w:val="Body"/>
      </w:pPr>
      <w:r>
        <w:t xml:space="preserve">The publication landscape </w:t>
      </w:r>
      <w:r w:rsidR="001635AF">
        <w:t>regarding</w:t>
      </w:r>
      <w:r>
        <w:t xml:space="preserve"> biomarkers in PAH was investigated by identifying, in PubMed, the subset of PAH publications which mentioned or were tagged with the MeSH term “biomarkers”.</w:t>
      </w:r>
      <w:r w:rsidR="00F03C81">
        <w:t xml:space="preserve"> </w:t>
      </w:r>
      <w:r w:rsidR="00B12C0F">
        <w:t xml:space="preserve">Only publications </w:t>
      </w:r>
      <w:r w:rsidR="001635AF">
        <w:t>describing</w:t>
      </w:r>
      <w:r w:rsidR="00F03C81">
        <w:t xml:space="preserve"> </w:t>
      </w:r>
      <w:r w:rsidR="00B12C0F">
        <w:t xml:space="preserve">miRNA levels measured in patient samples of Group I PAH </w:t>
      </w:r>
      <w:r w:rsidR="001635AF">
        <w:t xml:space="preserve">were interrogated and </w:t>
      </w:r>
      <w:r w:rsidR="00F037FB">
        <w:t>reported upon</w:t>
      </w:r>
      <w:r w:rsidR="00B12C0F">
        <w:t>.</w:t>
      </w:r>
    </w:p>
    <w:p w14:paraId="4B9B74A5" w14:textId="615DBA9E" w:rsidR="00CA153F" w:rsidRPr="001F6340" w:rsidRDefault="00CA153F" w:rsidP="00B22F03">
      <w:pPr>
        <w:pStyle w:val="Body"/>
        <w:rPr>
          <w:highlight w:val="yellow"/>
        </w:rPr>
      </w:pPr>
    </w:p>
    <w:p w14:paraId="0C9A337B" w14:textId="7FFB76B1" w:rsidR="00804437" w:rsidRPr="00804437" w:rsidRDefault="004C4682" w:rsidP="00804437">
      <w:pPr>
        <w:pStyle w:val="Heading2"/>
        <w:numPr>
          <w:ilvl w:val="3"/>
          <w:numId w:val="7"/>
        </w:numPr>
        <w:spacing w:before="120" w:after="120"/>
      </w:pPr>
      <w:r>
        <w:t xml:space="preserve"> </w:t>
      </w:r>
      <w:bookmarkStart w:id="58" w:name="_Toc60773863"/>
      <w:r w:rsidR="00AD5B12">
        <w:t>mi</w:t>
      </w:r>
      <w:r w:rsidR="001815C6">
        <w:t>cro</w:t>
      </w:r>
      <w:r w:rsidR="00AD5B12">
        <w:t>R</w:t>
      </w:r>
      <w:r w:rsidR="001815C6">
        <w:t>NA</w:t>
      </w:r>
      <w:r w:rsidR="00AD5B12">
        <w:t>-204</w:t>
      </w:r>
      <w:bookmarkEnd w:id="58"/>
      <w:r w:rsidR="00AD5B12">
        <w:t xml:space="preserve"> </w:t>
      </w:r>
    </w:p>
    <w:p w14:paraId="354D3D9B" w14:textId="5F5C8B92" w:rsidR="008D60D9" w:rsidRDefault="008D60D9" w:rsidP="005C3582">
      <w:pPr>
        <w:pStyle w:val="Body"/>
      </w:pPr>
      <w:r>
        <w:t>The first suggestion of a miRNA providing diagnostic biomarker</w:t>
      </w:r>
      <w:r w:rsidR="00411257">
        <w:t xml:space="preserve"> in PAH</w:t>
      </w:r>
      <w:r>
        <w:t xml:space="preserve"> was in</w:t>
      </w:r>
      <w:r w:rsidR="00804437">
        <w:t xml:space="preserve"> 2011 </w:t>
      </w:r>
      <w:r>
        <w:t xml:space="preserve">when </w:t>
      </w:r>
      <w:proofErr w:type="spellStart"/>
      <w:r w:rsidR="00804437">
        <w:t>Courboulin</w:t>
      </w:r>
      <w:proofErr w:type="spellEnd"/>
      <w:r w:rsidR="00804437">
        <w:t xml:space="preserve"> et al., </w:t>
      </w:r>
      <w:r>
        <w:t>reported decreased levels if miR-204 in patients with IPAH</w:t>
      </w:r>
      <w:r w:rsidR="003A4F76">
        <w:t xml:space="preserve"> </w:t>
      </w:r>
      <w:r w:rsidR="003A4F76">
        <w:rPr>
          <w:rFonts w:eastAsiaTheme="minorEastAsia"/>
          <w:color w:val="auto"/>
          <w:bdr w:val="none" w:sz="0" w:space="0" w:color="auto"/>
          <w:lang w:val="en-US"/>
        </w:rPr>
        <w:t>(</w:t>
      </w:r>
      <w:proofErr w:type="spellStart"/>
      <w:r w:rsidR="003A4F76">
        <w:rPr>
          <w:rFonts w:eastAsiaTheme="minorEastAsia"/>
          <w:color w:val="auto"/>
          <w:bdr w:val="none" w:sz="0" w:space="0" w:color="auto"/>
          <w:lang w:val="en-US"/>
        </w:rPr>
        <w:t>Courboulin</w:t>
      </w:r>
      <w:proofErr w:type="spellEnd"/>
      <w:r w:rsidR="003A4F76">
        <w:rPr>
          <w:rFonts w:eastAsiaTheme="minorEastAsia"/>
          <w:color w:val="auto"/>
          <w:bdr w:val="none" w:sz="0" w:space="0" w:color="auto"/>
          <w:lang w:val="en-US"/>
        </w:rPr>
        <w:t xml:space="preserve"> et al.</w:t>
      </w:r>
      <w:r w:rsidR="00DB3E62">
        <w:rPr>
          <w:rFonts w:eastAsiaTheme="minorEastAsia"/>
          <w:color w:val="auto"/>
          <w:bdr w:val="none" w:sz="0" w:space="0" w:color="auto"/>
          <w:lang w:val="en-US"/>
        </w:rPr>
        <w:t>,</w:t>
      </w:r>
      <w:r w:rsidR="003A4F76">
        <w:rPr>
          <w:rFonts w:eastAsiaTheme="minorEastAsia"/>
          <w:color w:val="auto"/>
          <w:bdr w:val="none" w:sz="0" w:space="0" w:color="auto"/>
          <w:lang w:val="en-US"/>
        </w:rPr>
        <w:t xml:space="preserve"> 2011)</w:t>
      </w:r>
      <w:r>
        <w:t xml:space="preserve">. A significant decrease (p &lt; 0.01) in expression was </w:t>
      </w:r>
      <w:r w:rsidR="00465150">
        <w:t xml:space="preserve">detected in buffy coat in IPAH when compared with </w:t>
      </w:r>
      <w:r>
        <w:t>control patients</w:t>
      </w:r>
      <w:r w:rsidR="00411257">
        <w:t xml:space="preserve"> (hypertensive, not PH)</w:t>
      </w:r>
      <w:r w:rsidR="00465150">
        <w:t xml:space="preserve"> (n = 13 IPAH, 7 Control)</w:t>
      </w:r>
      <w:r>
        <w:t xml:space="preserve"> by qPCR. Whilst the paper explicitly described miR-204 as a “potent </w:t>
      </w:r>
      <w:r>
        <w:lastRenderedPageBreak/>
        <w:t xml:space="preserve">biomarker for PAH” and suggesting it “could become a reliable biomarker of PAH” </w:t>
      </w:r>
      <w:r w:rsidR="00465150">
        <w:t xml:space="preserve">further </w:t>
      </w:r>
      <w:r>
        <w:t xml:space="preserve">performance metrics beyond a significant </w:t>
      </w:r>
      <w:r w:rsidRPr="00465150">
        <w:t>t-test</w:t>
      </w:r>
      <w:r w:rsidR="00465150" w:rsidRPr="00465150">
        <w:t xml:space="preserve"> were not provided</w:t>
      </w:r>
      <w:r w:rsidRPr="00465150">
        <w:t>.</w:t>
      </w:r>
      <w:r w:rsidR="00465150" w:rsidRPr="00465150">
        <w:t xml:space="preserve"> </w:t>
      </w:r>
      <w:r w:rsidR="00097767">
        <w:t>Biomarkers not being the main topic of the study and t</w:t>
      </w:r>
      <w:r w:rsidR="00465150" w:rsidRPr="00465150">
        <w:t xml:space="preserve">he small sample numbers may in part be the reason for </w:t>
      </w:r>
      <w:r w:rsidR="00097767">
        <w:t>not exploring further</w:t>
      </w:r>
      <w:r w:rsidR="00465150" w:rsidRPr="00465150">
        <w:t>.</w:t>
      </w:r>
    </w:p>
    <w:p w14:paraId="629DCE08" w14:textId="77777777" w:rsidR="00C757F3" w:rsidRDefault="00C757F3" w:rsidP="005C3582">
      <w:pPr>
        <w:pStyle w:val="Body"/>
      </w:pPr>
    </w:p>
    <w:p w14:paraId="5ED2F2A1" w14:textId="41B3A04A" w:rsidR="00C757F3" w:rsidRDefault="00C757F3" w:rsidP="005C3582">
      <w:pPr>
        <w:pStyle w:val="Body"/>
      </w:pPr>
      <w:r>
        <w:t>Additionally, whilst not explicitly mentioned as a biomarker of severity miR-204 expression in PAH lung biopsy tissue was shown to negatively correlate with PVR. However, it was not reported if this correlation could be detected in the circulating fraction</w:t>
      </w:r>
      <w:r w:rsidR="00065A03">
        <w:t>.</w:t>
      </w:r>
    </w:p>
    <w:p w14:paraId="76D60521" w14:textId="77777777" w:rsidR="00097767" w:rsidRPr="001F6340" w:rsidRDefault="00097767" w:rsidP="00097767">
      <w:pPr>
        <w:pStyle w:val="Body"/>
        <w:rPr>
          <w:highlight w:val="yellow"/>
        </w:rPr>
      </w:pPr>
    </w:p>
    <w:p w14:paraId="0B8FB7CE" w14:textId="6396F7FC" w:rsidR="00097767" w:rsidRPr="00804437" w:rsidRDefault="00097767" w:rsidP="00097767">
      <w:pPr>
        <w:pStyle w:val="Heading2"/>
        <w:numPr>
          <w:ilvl w:val="3"/>
          <w:numId w:val="7"/>
        </w:numPr>
        <w:spacing w:before="120" w:after="120"/>
      </w:pPr>
      <w:bookmarkStart w:id="59" w:name="_Toc60773864"/>
      <w:r>
        <w:t>mi</w:t>
      </w:r>
      <w:r w:rsidR="001815C6">
        <w:t>cro</w:t>
      </w:r>
      <w:r>
        <w:t>R</w:t>
      </w:r>
      <w:r w:rsidR="001815C6">
        <w:t>NA</w:t>
      </w:r>
      <w:r>
        <w:t>-150</w:t>
      </w:r>
      <w:bookmarkEnd w:id="59"/>
    </w:p>
    <w:p w14:paraId="37887115" w14:textId="34948868" w:rsidR="00E964B0" w:rsidRDefault="00097767" w:rsidP="00E964B0">
      <w:pPr>
        <w:pStyle w:val="Body"/>
        <w:rPr>
          <w:highlight w:val="yellow"/>
        </w:rPr>
      </w:pPr>
      <w:r>
        <w:t>Rhodes et al., performed an u</w:t>
      </w:r>
      <w:r w:rsidR="00295048">
        <w:t>n</w:t>
      </w:r>
      <w:r>
        <w:t>biased screen on microRNA isolated from IPAH and control plasma, identifying miR-150 as a prognostic indicator of survival</w:t>
      </w:r>
      <w:r w:rsidR="00E964B0">
        <w:t xml:space="preserve">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&lt;citation&gt;&lt;priority&gt;58&lt;/priority&gt;&lt;uuid&gt;B70D64B3-8744-4203-8B00-95F44C20F0E5&lt;/uuid&gt;&lt;publications&gt;&lt;publication&gt;&lt;subtype&gt;400&lt;/subtype&gt;&lt;title&gt;Reduced microRNA-150 is associated with poor survival in pulmonary arterial hypertension.&lt;/title&gt;&lt;url&gt;http://www.atsjournals.org/doi/abs/10.1164/rccm.201205-0839OC&lt;/url&gt;&lt;volume&gt;187&lt;/volume&gt;&lt;publication_date&gt;99201302011200000000222000&lt;/publication_date&gt;&lt;uuid&gt;8EEA7BCF-8CA6-4EFF-8084-CF4B2F9D13B5&lt;/uuid&gt;&lt;type&gt;400&lt;/type&gt;&lt;number&gt;3&lt;/number&gt;&lt;citekey&gt;Rhodes:2013ck&lt;/citekey&gt;&lt;doi&gt;10.1164/rccm.201205-0839OC&lt;/doi&gt;&lt;institution&gt;Centre for Pharmacology and Therapeutics, Imperial College London, London, UK.&lt;/institution&gt;&lt;startpage&gt;294&lt;/startpage&gt;&lt;endpage&gt;302&lt;/endpage&gt;&lt;bundle&gt;&lt;publication&gt;&lt;title&gt;American journal of respiratory and critical care medicine&lt;/title&gt;&lt;uuid&gt;6449F919-B7B0-4590-B1EB-52EBB4E4B50D&lt;/uuid&gt;&lt;subtype&gt;-100&lt;/subtype&gt;&lt;publisher&gt;American Thoracic Society&lt;/publisher&gt;&lt;type&gt;-100&lt;/type&gt;&lt;/publication&gt;&lt;/bundle&gt;&lt;authors&gt;&lt;author&gt;&lt;lastName&gt;Rhodes&lt;/lastName&gt;&lt;firstName&gt;Christopher&lt;/firstName&gt;&lt;middleNames&gt;J&lt;/middleNames&gt;&lt;/author&gt;&lt;author&gt;&lt;lastName&gt;Wharton&lt;/lastName&gt;&lt;firstName&gt;John&lt;/firstName&gt;&lt;/author&gt;&lt;author&gt;&lt;lastName&gt;Boon&lt;/lastName&gt;&lt;firstName&gt;Reinier&lt;/firstName&gt;&lt;middleNames&gt;A&lt;/middleNames&gt;&lt;/author&gt;&lt;author&gt;&lt;lastName&gt;Roexe&lt;/lastName&gt;&lt;firstName&gt;Tino&lt;/firstName&gt;&lt;/author&gt;&lt;author&gt;&lt;lastName&gt;Tsang&lt;/lastName&gt;&lt;firstName&gt;Hilda&lt;/firstName&gt;&lt;/author&gt;&lt;author&gt;&lt;lastName&gt;Wojciak-Stothard&lt;/lastName&gt;&lt;firstName&gt;Beata&lt;/firstName&gt;&lt;/author&gt;&lt;author&gt;&lt;lastName&gt;Chakrabarti&lt;/lastName&gt;&lt;firstName&gt;Anob&lt;/firstName&gt;&lt;/author&gt;&lt;author&gt;&lt;lastName&gt;Howard&lt;/lastName&gt;&lt;firstName&gt;Luke&lt;/firstName&gt;&lt;middleNames&gt;S&lt;/middleNames&gt;&lt;/author&gt;&lt;author&gt;&lt;lastName&gt;Gibbs&lt;/lastName&gt;&lt;firstName&gt;J&lt;/firstName&gt;&lt;middleNames&gt;Simon R&lt;/middleNames&gt;&lt;/author&gt;&lt;author&gt;&lt;lastName&gt;Lawrie&lt;/lastName&gt;&lt;firstName&gt;Allan&lt;/firstName&gt;&lt;/author&gt;&lt;author&gt;&lt;lastName&gt;Condliffe&lt;/lastName&gt;&lt;firstName&gt;Robin&lt;/firstName&gt;&lt;/author&gt;&lt;author&gt;&lt;lastName&gt;Elliot&lt;/lastName&gt;&lt;firstName&gt;Charles&lt;/firstName&gt;&lt;middleNames&gt;A&lt;/middleNames&gt;&lt;/author&gt;&lt;author&gt;&lt;lastName&gt;Kiely&lt;/lastName&gt;&lt;firstName&gt;David&lt;/firstName&gt;&lt;middleNames&gt;G&lt;/middleNames&gt;&lt;/author&gt;&lt;author&gt;&lt;lastName&gt;Huson&lt;/lastName&gt;&lt;firstName&gt;Les&lt;/firstName&gt;&lt;/author&gt;&lt;author&gt;&lt;lastName&gt;Ghofrani&lt;/lastName&gt;&lt;firstName&gt;Hossein&lt;/firstName&gt;&lt;middleNames&gt;A&lt;/middleNames&gt;&lt;/author&gt;&lt;author&gt;&lt;lastName&gt;Tiede&lt;/lastName&gt;&lt;firstName&gt;Henning&lt;/firstName&gt;&lt;/author&gt;&lt;author&gt;&lt;lastName&gt;Schermuly&lt;/lastName&gt;&lt;firstName&gt;Ralph&lt;/firstName&gt;&lt;/author&gt;&lt;author&gt;&lt;lastName&gt;Zeiher&lt;/lastName&gt;&lt;firstName&gt;Andreas&lt;/firstName&gt;&lt;middleNames&gt;M&lt;/middleNames&gt;&lt;/author&gt;&lt;author&gt;&lt;lastName&gt;Dimmeler&lt;/lastName&gt;&lt;firstName&gt;Stefanie&lt;/firstName&gt;&lt;/author&gt;&lt;author&gt;&lt;lastName&gt;Wilkins&lt;/lastName&gt;&lt;firstName&gt;Martin&lt;/firstName&gt;&lt;middleNames&gt;R&lt;/middleNames&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(Rhodes et al., 2013)</w:t>
      </w:r>
      <w:r w:rsidR="00095567">
        <w:rPr>
          <w:rFonts w:eastAsiaTheme="minorEastAsia"/>
          <w:color w:val="auto"/>
          <w:bdr w:val="none" w:sz="0" w:space="0" w:color="auto"/>
          <w:lang w:val="en-US"/>
        </w:rPr>
        <w:fldChar w:fldCharType="end"/>
      </w:r>
      <w:r>
        <w:t>.</w:t>
      </w:r>
      <w:r w:rsidR="00295048">
        <w:t xml:space="preserve"> Discovery was performed </w:t>
      </w:r>
      <w:r w:rsidR="00C757F3">
        <w:t>by microRNA microarray on 8 IPAH and 8 healthy volunteers, once miR-150 had been identified as the lead candidate miRNA survival analysis was performed on the qPCR expression of 175 patients with PAH. This identified that decreased miR-150 correlated with reduced 2-year survival (p &lt;0.01)</w:t>
      </w:r>
      <w:r w:rsidR="00E964B0" w:rsidRPr="00E964B0">
        <w:rPr>
          <w:highlight w:val="yellow"/>
        </w:rPr>
        <w:t xml:space="preserve"> </w:t>
      </w:r>
    </w:p>
    <w:p w14:paraId="5E0B42E2" w14:textId="77777777" w:rsidR="00A96F22" w:rsidRPr="001F6340" w:rsidRDefault="00A96F22" w:rsidP="00E964B0">
      <w:pPr>
        <w:pStyle w:val="Body"/>
        <w:rPr>
          <w:highlight w:val="yellow"/>
        </w:rPr>
      </w:pPr>
    </w:p>
    <w:p w14:paraId="08670DF8" w14:textId="114D34DE" w:rsidR="00E964B0" w:rsidRPr="00804437" w:rsidRDefault="00E964B0" w:rsidP="00E964B0">
      <w:pPr>
        <w:pStyle w:val="Heading2"/>
        <w:numPr>
          <w:ilvl w:val="3"/>
          <w:numId w:val="7"/>
        </w:numPr>
        <w:spacing w:before="120" w:after="120"/>
      </w:pPr>
      <w:bookmarkStart w:id="60" w:name="_Toc60773865"/>
      <w:r>
        <w:t>mi</w:t>
      </w:r>
      <w:r w:rsidR="001815C6">
        <w:t>cro</w:t>
      </w:r>
      <w:r>
        <w:t>R</w:t>
      </w:r>
      <w:r w:rsidR="001815C6">
        <w:t>NA</w:t>
      </w:r>
      <w:r>
        <w:t>-</w:t>
      </w:r>
      <w:r w:rsidR="00B07E04">
        <w:t>23a</w:t>
      </w:r>
      <w:bookmarkEnd w:id="60"/>
    </w:p>
    <w:p w14:paraId="31DFAE7E" w14:textId="517FD00E" w:rsidR="008D60D9" w:rsidRDefault="000A54C2" w:rsidP="005C3582">
      <w:pPr>
        <w:pStyle w:val="Body"/>
      </w:pPr>
      <w:r>
        <w:t>Increased m</w:t>
      </w:r>
      <w:r w:rsidR="000C6380">
        <w:t>icroRNA-23a</w:t>
      </w:r>
      <w:r>
        <w:t xml:space="preserve"> expression was seen </w:t>
      </w:r>
      <w:r w:rsidR="000C6380">
        <w:t xml:space="preserve">following a microRNA microarray profiling serum from 12 IPAH and 10 healthy volunteers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&lt;citation&gt;&lt;priority&gt;59&lt;/priority&gt;&lt;uuid&gt;D94ADA41-8BB8-4A7A-BCC6-3B54E8244815&lt;/uuid&gt;&lt;publications&gt;&lt;publication&gt;&lt;subtype&gt;400&lt;/subtype&gt;&lt;publisher&gt;Hindawi Publishing Corporation&lt;/publisher&gt;&lt;title&gt;Role of Circulating miRNAs as Biomarkers in Idiopathic Pulmonary Arterial Hypertension: Possible Relevance of miR-23a. - PubMed - NCBI&lt;/title&gt;&lt;url&gt;http://www.hindawi.com/journals/omcl/2015/792846/&lt;/url&gt;&lt;volume&gt;2015&lt;/volume&gt;&lt;revision_date&gt;99201502011200000000222000&lt;/revision_date&gt;&lt;publication_date&gt;99201500001200000000200000&lt;/publication_date&gt;&lt;uuid&gt;DD76CE07-A564-4A14-825E-EFE4ED1278A4&lt;/uuid&gt;&lt;type&gt;400&lt;/type&gt;&lt;accepted_date&gt;99201502041200000000222000&lt;/accepted_date&gt;&lt;number&gt;20&lt;/number&gt;&lt;citekey&gt;Sarrion:2015bq&lt;/citekey&gt;&lt;submission_date&gt;99201410271200000000222000&lt;/submission_date&gt;&lt;doi&gt;10.1155/2015/792846&lt;/doi&gt;&lt;institution&gt;Universidad Catolica de Valencia, Guillem de Castro Street 106, 46003 Valencia, Spain.&lt;/institution&gt;&lt;startpage&gt;1&lt;/startpage&gt;&lt;endpage&gt;10&lt;/endpage&gt;&lt;bundle&gt;&lt;publication&gt;&lt;title&gt;Oxidative Medicine and Cellular Longevity&lt;/title&gt;&lt;uuid&gt;44A69FDA-E20F-40AF-A0AE-2F192EE537C8&lt;/uuid&gt;&lt;subtype&gt;-100&lt;/subtype&gt;&lt;type&gt;-100&lt;/type&gt;&lt;/publication&gt;&lt;/bundle&gt;&lt;authors&gt;&lt;author&gt;&lt;lastName&gt;Sarrion&lt;/lastName&gt;&lt;firstName&gt;Irene&lt;/firstName&gt;&lt;/author&gt;&lt;author&gt;&lt;lastName&gt;Milian&lt;/lastName&gt;&lt;firstName&gt;Lara&lt;/firstName&gt;&lt;/author&gt;&lt;author&gt;&lt;lastName&gt;Juan&lt;/lastName&gt;&lt;firstName&gt;G&lt;/firstName&gt;&lt;/author&gt;&lt;author&gt;&lt;lastName&gt;Ramon&lt;/lastName&gt;&lt;firstName&gt;Mercedes&lt;/firstName&gt;&lt;/author&gt;&lt;author&gt;&lt;lastName&gt;Furest&lt;/lastName&gt;&lt;firstName&gt;Idelfonso&lt;/firstName&gt;&lt;/author&gt;&lt;author&gt;&lt;lastName&gt;Carda&lt;/lastName&gt;&lt;firstName&gt;Carmen&lt;/firstName&gt;&lt;/author&gt;&lt;author&gt;&lt;lastName&gt;Cortijo Gimeno&lt;/lastName&gt;&lt;firstName&gt;Julio&lt;/firstName&gt;&lt;/author&gt;&lt;author&gt;&lt;lastName&gt;Mata Roig&lt;/lastName&gt;&lt;firstName&gt;Manuel&lt;/firstName&gt;&lt;/author&gt;&lt;/authors&gt;&lt;/publication&gt;&lt;/publications&gt;&lt;cites&gt;&lt;/cites&gt;&lt;/citation&gt;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w:t>
      </w:r>
      <w:proofErr w:type="spellStart"/>
      <w:r w:rsidR="00095567">
        <w:rPr>
          <w:rFonts w:eastAsiaTheme="minorEastAsia"/>
          <w:lang w:val="en-US"/>
        </w:rPr>
        <w:t>Sarrion</w:t>
      </w:r>
      <w:proofErr w:type="spellEnd"/>
      <w:r w:rsidR="00095567">
        <w:rPr>
          <w:rFonts w:eastAsiaTheme="minorEastAsia"/>
          <w:lang w:val="en-US"/>
        </w:rPr>
        <w:t xml:space="preserve"> et al., 2015)</w:t>
      </w:r>
      <w:r w:rsidR="00095567">
        <w:rPr>
          <w:rFonts w:eastAsiaTheme="minorEastAsia"/>
          <w:color w:val="auto"/>
          <w:bdr w:val="none" w:sz="0" w:space="0" w:color="auto"/>
          <w:lang w:val="en-US"/>
        </w:rPr>
        <w:fldChar w:fldCharType="end"/>
      </w:r>
      <w:r w:rsidR="000C6380">
        <w:t xml:space="preserve">. Differential expression analysis identified 61 significant miRNAs of which 15 were qPCR </w:t>
      </w:r>
      <w:r>
        <w:t>validated</w:t>
      </w:r>
      <w:r w:rsidR="000C6380">
        <w:t xml:space="preserve">. </w:t>
      </w:r>
      <w:r w:rsidR="00322BF9">
        <w:t>Following the qPCR results m</w:t>
      </w:r>
      <w:r w:rsidR="000C6380">
        <w:t xml:space="preserve">iRNA-23a was </w:t>
      </w:r>
      <w:r>
        <w:t>suggested as a potential biomarker</w:t>
      </w:r>
      <w:r w:rsidR="000C6380">
        <w:t xml:space="preserve"> </w:t>
      </w:r>
      <w:r>
        <w:t>as it had significant</w:t>
      </w:r>
      <w:r w:rsidR="000C6380">
        <w:t xml:space="preserve"> correlations with </w:t>
      </w:r>
      <w:proofErr w:type="spellStart"/>
      <w:r w:rsidR="000C6380">
        <w:t>mPAP</w:t>
      </w:r>
      <w:proofErr w:type="spellEnd"/>
      <w:r w:rsidR="000C6380">
        <w:t xml:space="preserve">, CI and PVR. </w:t>
      </w:r>
    </w:p>
    <w:p w14:paraId="013A54DB" w14:textId="35D61519" w:rsidR="00E46F8A" w:rsidRDefault="00E46F8A" w:rsidP="005C3582">
      <w:pPr>
        <w:pStyle w:val="Body"/>
      </w:pPr>
    </w:p>
    <w:p w14:paraId="70F43B1E" w14:textId="4BC6C2DD" w:rsidR="00E46F8A" w:rsidRDefault="00322BF9" w:rsidP="005C3582">
      <w:pPr>
        <w:pStyle w:val="Body"/>
      </w:pPr>
      <w:r>
        <w:t xml:space="preserve">Uncharacteristically for this type of study summary statistics of patient demographics were not detailed and p-values from the qPCR validation were not reported obfuscating the </w:t>
      </w:r>
      <w:r w:rsidR="008104BC">
        <w:t xml:space="preserve">study and </w:t>
      </w:r>
      <w:r>
        <w:t xml:space="preserve">miRNA performance. Additionally, this study was not performed on treatment naïve patients </w:t>
      </w:r>
      <w:r w:rsidR="008104BC">
        <w:t>it is</w:t>
      </w:r>
      <w:r>
        <w:t xml:space="preserve"> therefore unknown whether miRNA-23a expression would</w:t>
      </w:r>
      <w:r w:rsidR="008104BC">
        <w:t xml:space="preserve"> remain diagnostic. Even so with further investigation and larger study size miRNA-23a may</w:t>
      </w:r>
      <w:r w:rsidR="00E46F8A">
        <w:t xml:space="preserve"> </w:t>
      </w:r>
      <w:r w:rsidR="008104BC">
        <w:t xml:space="preserve">still be a biomarker of </w:t>
      </w:r>
      <w:r w:rsidR="00E46F8A">
        <w:t>patient</w:t>
      </w:r>
      <w:r w:rsidR="008104BC">
        <w:t xml:space="preserve"> pulmonary function.</w:t>
      </w:r>
      <w:r w:rsidR="00E46F8A">
        <w:t xml:space="preserve"> </w:t>
      </w:r>
    </w:p>
    <w:p w14:paraId="678DCCB2" w14:textId="77777777" w:rsidR="007E223D" w:rsidRDefault="007E223D" w:rsidP="007E223D">
      <w:pPr>
        <w:pStyle w:val="Body"/>
      </w:pPr>
    </w:p>
    <w:p w14:paraId="45F2C904" w14:textId="05D484C0" w:rsidR="007E223D" w:rsidRDefault="00566BE9" w:rsidP="007E223D">
      <w:pPr>
        <w:pStyle w:val="Heading2"/>
        <w:numPr>
          <w:ilvl w:val="3"/>
          <w:numId w:val="7"/>
        </w:numPr>
        <w:spacing w:before="120" w:after="120"/>
      </w:pPr>
      <w:bookmarkStart w:id="61" w:name="_Toc60773866"/>
      <w:r>
        <w:t xml:space="preserve">Let-7 family in </w:t>
      </w:r>
      <w:proofErr w:type="spellStart"/>
      <w:r>
        <w:t>SSc</w:t>
      </w:r>
      <w:proofErr w:type="spellEnd"/>
      <w:r>
        <w:t>-PAH</w:t>
      </w:r>
      <w:bookmarkEnd w:id="61"/>
    </w:p>
    <w:p w14:paraId="1D389446" w14:textId="5242429D" w:rsidR="00F91CEB" w:rsidRDefault="008D0919" w:rsidP="007E223D">
      <w:pPr>
        <w:pStyle w:val="Body"/>
      </w:pPr>
      <w:r>
        <w:t xml:space="preserve">Skin biopsies taken from </w:t>
      </w:r>
      <w:r w:rsidR="00F91CEB">
        <w:t xml:space="preserve">6 </w:t>
      </w:r>
      <w:proofErr w:type="spellStart"/>
      <w:r w:rsidR="00F91CEB">
        <w:t>SSc</w:t>
      </w:r>
      <w:proofErr w:type="spellEnd"/>
      <w:r w:rsidR="00F91CEB">
        <w:t xml:space="preserve">-PAH and 9 </w:t>
      </w:r>
      <w:proofErr w:type="spellStart"/>
      <w:r w:rsidR="00F91CEB">
        <w:t>SSc</w:t>
      </w:r>
      <w:proofErr w:type="spellEnd"/>
      <w:r w:rsidR="00F91CEB">
        <w:t xml:space="preserve"> patients identified 6 members of the let-7 family as being downregulated in PAH</w:t>
      </w:r>
      <w:r w:rsidR="0067043F">
        <w:t xml:space="preserve"> </w:t>
      </w:r>
      <w:r w:rsidR="00095567">
        <w:rPr>
          <w:rFonts w:eastAsiaTheme="minorEastAsia"/>
          <w:lang w:val="en-US"/>
        </w:rPr>
        <w:fldChar w:fldCharType="begin"/>
      </w:r>
      <w:r w:rsidR="004E19A5">
        <w:rPr>
          <w:rFonts w:eastAsiaTheme="minorEastAsia"/>
          <w:lang w:val="en-US"/>
        </w:rPr>
        <w:instrText xml:space="preserve"> ADDIN PAPERS2_CITATIONS &lt;citation&gt;&lt;priority&gt;60&lt;/priority&gt;&lt;uuid&gt;8CCA902F-5663-4FE8-9D4E-2FB7DFA20741&lt;/uuid&gt;&lt;publications&gt;&lt;publication&gt;&lt;subtype&gt;400&lt;/subtype&gt;&lt;title&gt;Expression of Let-7 family microRNAs in skin correlates negatively with severity of pulmonary hypertension in patients with systemic scleroderma.&lt;/title&gt;&lt;url&gt;http://eutils.ncbi.nlm.nih.gov/entrez/eutils/elink.fcgi?dbfrom=pubmed&amp;amp;id=28785688&amp;amp;retmode=ref&amp;amp;cmd=prlinks&lt;/url&gt;&lt;volume&gt;8&lt;/volume&gt;&lt;revision_date&gt;99201506151200000000222000&lt;/revision_date&gt;&lt;publication_date&gt;99201509011200000000222000&lt;/publication_date&gt;&lt;uuid&gt;16CF1A45-74EA-4B40-9687-6594F9C5D8C5&lt;/uuid&gt;&lt;type&gt;400&lt;/type&gt;&lt;accepted_date&gt;99201506161200000000222000&lt;/accepted_date&gt;&lt;submission_date&gt;99201503051200000000222000&lt;/submission_date&gt;&lt;doi&gt;10.1016/j.ijcha.2015.06.006&lt;/doi&gt;&lt;institution&gt;Department of Cardiovascular Medicine, Graduate School of Medical Sciences, Kumamoto University, Kumamoto, Japan.&lt;/institution&gt;&lt;startpage&gt;98&lt;/startpage&gt;&lt;endpage&gt;102&lt;/endpage&gt;&lt;bundle&gt;&lt;publication&gt;&lt;title&gt;International journal of cardiology. Heart &amp;amp; vasculature&lt;/title&gt;&lt;uuid&gt;9F157875-544F-4BBC-9A9C-3E90DF8CD3B3&lt;/uuid&gt;&lt;subtype&gt;-100&lt;/subtype&gt;&lt;type&gt;-100&lt;/type&gt;&lt;/publication&gt;&lt;/bundle&gt;&lt;authors&gt;&lt;author&gt;&lt;lastName&gt;Izumiya&lt;/lastName&gt;&lt;firstName&gt;Yasuhiro&lt;/firstName&gt;&lt;/author&gt;&lt;author&gt;&lt;lastName&gt;Jinnn&lt;/lastName&gt;&lt;firstName&gt;Masatoshi&lt;/firstName&gt;&lt;/author&gt;&lt;author&gt;&lt;lastName&gt;Kimura&lt;/lastName&gt;&lt;firstName&gt;Yuichi&lt;/firstName&gt;&lt;/author&gt;&lt;author&gt;&lt;lastName&gt;Wang&lt;/lastName&gt;&lt;firstName&gt;Zhongzhi&lt;/firstName&gt;&lt;/author&gt;&lt;author&gt;&lt;lastName&gt;Onoue&lt;/lastName&gt;&lt;firstName&gt;Yoshiro&lt;/firstName&gt;&lt;/author&gt;&lt;author&gt;&lt;lastName&gt;Hanatani&lt;/lastName&gt;&lt;firstName&gt;Shinsuke&lt;/firstName&gt;&lt;/author&gt;&lt;author&gt;&lt;lastName&gt;Araki&lt;/lastName&gt;&lt;firstName&gt;Satoshi&lt;/firstName&gt;&lt;/author&gt;&lt;author&gt;&lt;lastName&gt;Ihn&lt;/lastName&gt;&lt;firstName&gt;Hironobu&lt;/firstName&gt;&lt;/author&gt;&lt;author&gt;&lt;lastName&gt;Ogawa&lt;/lastName&gt;&lt;firstName&gt;Hisao&lt;/firstName&gt;&lt;/author&gt;&lt;/authors&gt;&lt;/publication&gt;&lt;/publications&gt;&lt;cites&gt;&lt;/cites&gt;&lt;/citation&gt;</w:instrText>
      </w:r>
      <w:r w:rsidR="00095567">
        <w:rPr>
          <w:rFonts w:eastAsiaTheme="minorEastAsia"/>
          <w:lang w:val="en-US"/>
        </w:rPr>
        <w:fldChar w:fldCharType="separate"/>
      </w:r>
      <w:r w:rsidR="00095567">
        <w:rPr>
          <w:rFonts w:eastAsiaTheme="minorEastAsia"/>
          <w:lang w:val="en-US"/>
        </w:rPr>
        <w:t>(Izumiya et al., 2015)</w:t>
      </w:r>
      <w:r w:rsidR="00095567">
        <w:rPr>
          <w:rFonts w:eastAsiaTheme="minorEastAsia"/>
          <w:lang w:val="en-US"/>
        </w:rPr>
        <w:fldChar w:fldCharType="end"/>
      </w:r>
      <w:r w:rsidR="00F91CEB">
        <w:t>. This would provide a simple, albeit uncomfortable test for PAH for an at</w:t>
      </w:r>
      <w:r w:rsidR="00A96F22">
        <w:t>-</w:t>
      </w:r>
      <w:r w:rsidR="00F91CEB">
        <w:t xml:space="preserve">risk group. The discovery was performed using qPCR arrays limiting the number of miRNAs that could be queried to 1066. Furthermore, statistical analysis was performed by multiple t-tests without correcting for multiple testing. The most significant change seen was in let-7d p = 0.020, it is unlikely that this would remain significant after correction for multiple testing. </w:t>
      </w:r>
    </w:p>
    <w:p w14:paraId="50538122" w14:textId="77777777" w:rsidR="00F91CEB" w:rsidRDefault="00F91CEB" w:rsidP="007E223D">
      <w:pPr>
        <w:pStyle w:val="Body"/>
      </w:pPr>
    </w:p>
    <w:p w14:paraId="0FEEFCF7" w14:textId="77777777" w:rsidR="007E223D" w:rsidRDefault="007E223D" w:rsidP="007E223D">
      <w:pPr>
        <w:pStyle w:val="Heading2"/>
        <w:numPr>
          <w:ilvl w:val="3"/>
          <w:numId w:val="7"/>
        </w:numPr>
        <w:spacing w:before="120" w:after="120"/>
      </w:pPr>
      <w:bookmarkStart w:id="62" w:name="_Toc60773867"/>
      <w:r>
        <w:t xml:space="preserve">microRNAs in the </w:t>
      </w:r>
      <w:r w:rsidRPr="001350DC">
        <w:t>WNT/β-catenin pathway</w:t>
      </w:r>
      <w:bookmarkEnd w:id="62"/>
    </w:p>
    <w:p w14:paraId="7D1327D6" w14:textId="1AADE161" w:rsidR="005A338D" w:rsidRDefault="004C3D46" w:rsidP="001244CE">
      <w:pPr>
        <w:pStyle w:val="Body"/>
        <w:rPr>
          <w:rFonts w:ascii="Calibri" w:hAnsi="Calibri" w:cs="Calibri"/>
        </w:rPr>
      </w:pPr>
      <w:r>
        <w:t xml:space="preserve">Reduced expression of miR-26a that correlated with </w:t>
      </w:r>
      <w:r w:rsidR="000C2868">
        <w:t>6-minute walk distance</w:t>
      </w:r>
      <w:r>
        <w:t xml:space="preserve"> was suggested as a potential biomarker following microRNA microarray analysis comparing lung tissue from 8 IPAH </w:t>
      </w:r>
      <w:r w:rsidR="000C2868">
        <w:t>too</w:t>
      </w:r>
      <w:r>
        <w:t xml:space="preserve"> 8 healthy volunteers </w:t>
      </w:r>
      <w:r w:rsidR="00095567">
        <w:rPr>
          <w:rFonts w:eastAsiaTheme="minorEastAsia"/>
          <w:lang w:val="en-US"/>
        </w:rPr>
        <w:fldChar w:fldCharType="begin"/>
      </w:r>
      <w:r w:rsidR="004E19A5">
        <w:rPr>
          <w:rFonts w:eastAsiaTheme="minorEastAsia" w:hint="eastAsia"/>
          <w:lang w:val="en-US"/>
        </w:rPr>
        <w:instrText xml:space="preserve"> ADDIN PAPERS2_CITATIONS &lt;citation&gt;&lt;priority&gt;61&lt;/priority&gt;&lt;uuid&gt;CAF48887-B581-48C2-9693-1B3A8A0B30C2&lt;/uuid&gt;&lt;publications&gt;&lt;publication&gt;&lt;subtype&gt;400&lt;/subtype&gt;&lt;publisher&gt;Springer Berlin Heidelberg&lt;/publisher&gt;&lt;title&gt;Identifying microRNAs targeting Wnt/</w:instrText>
      </w:r>
      <w:r w:rsidR="004E19A5">
        <w:rPr>
          <w:rFonts w:eastAsiaTheme="minorEastAsia" w:hint="eastAsia"/>
          <w:lang w:val="en-US"/>
        </w:rPr>
        <w:instrText>β</w:instrText>
      </w:r>
      <w:r w:rsidR="004E19A5">
        <w:rPr>
          <w:rFonts w:eastAsiaTheme="minorEastAsia" w:hint="eastAsia"/>
          <w:lang w:val="en-US"/>
        </w:rPr>
        <w:instrText>-caten</w:instrText>
      </w:r>
      <w:r w:rsidR="004E19A5">
        <w:rPr>
          <w:rFonts w:eastAsiaTheme="minorEastAsia"/>
          <w:lang w:val="en-US"/>
        </w:rPr>
        <w:instrText>in pathway in end-stage idiopathic pulmonary arterial hypertension&lt;/title&gt;&lt;url&gt;http://link.springer.com/article/10.1007/s00109-016-1426-z/fulltext.html&lt;/url&gt;&lt;volume&gt;94&lt;/volume&gt;&lt;publication_date&gt;99201605181200000000222000&lt;/publication_date&gt;&lt;uuid&gt;54EE4FB2-560F-402B-B4E7-5F40E4393E37&lt;/uuid&gt;&lt;type&gt;400&lt;/type&gt;&lt;number&gt;8&lt;/number&gt;&lt;doi&gt;10.1007/s00109-016-1426-z&lt;/doi&gt;&lt;startpage&gt;1&lt;/startpage&gt;&lt;endpage&gt;11&lt;/endpage&gt;&lt;bundle&gt;&lt;publication&gt;&lt;title&gt;Journal of Molecular Medicine&lt;/title&gt;&lt;uuid&gt;CFCFF9E0-D9B5-4586-B642-84B062AC778D&lt;/uuid&gt;&lt;subtype&gt;-100&lt;/subtype&gt;&lt;publisher&gt;Springer Berlin Heidelberg&lt;/publisher&gt;&lt;type&gt;-100&lt;/type&gt;&lt;/publication&gt;&lt;/bundle&gt;&lt;authors&gt;&lt;author&gt;&lt;lastName&gt;Wu&lt;/lastName&gt;&lt;firstName&gt;Danchen&lt;/firstName&gt;&lt;/author&gt;&lt;author&gt;&lt;lastName&gt;Talbot&lt;/lastName&gt;&lt;firstName&gt;C&lt;/firstName&gt;&lt;middleNames&gt;Conover&lt;/middleNames&gt;&lt;suffix&gt;Jr&lt;/suffix&gt;&lt;/author&gt;&lt;author&gt;&lt;lastName&gt;Liu&lt;/lastName&gt;&lt;firstName&gt;Qun&lt;/firstName&gt;&lt;/author&gt;&lt;author&gt;&lt;lastName&gt;Jing&lt;/lastName&gt;&lt;firstName&gt;Zhi-Cheng&lt;/firstName&gt;&lt;/author&gt;&lt;author&gt;&lt;lastName&gt;Damico&lt;/lastName&gt;&lt;firstName&gt;Rachel&lt;/firstName&gt;&lt;middleNames&gt;L&lt;/middleNames&gt;&lt;/author&gt;&lt;author&gt;&lt;lastName&gt;Tuder&lt;/lastName&gt;&lt;firstName&gt;Rubin&lt;/firstName&gt;&lt;/author&gt;&lt;author&gt;&lt;lastName&gt;Barnes&lt;/lastName&gt;&lt;firstName&gt;Kathleen&lt;/firstName&gt;&lt;middleNames&gt;C&lt;/middleNames&gt;&lt;/author&gt;&lt;author&gt;&lt;lastName&gt;Hassoun&lt;/lastName&gt;&lt;firstName&gt;Paul&lt;/firstName&gt;&lt;middleNames&gt;M&lt;/middleNames&gt;&lt;/author&gt;&lt;author&gt;&lt;lastName&gt;Gao&lt;/lastName&gt;&lt;firstName&gt;Li&lt;/firstName&gt;&lt;/author&gt;&lt;/authors&gt;&lt;/publication&gt;&lt;/publications&gt;&lt;cites&gt;&lt;/cites&gt;&lt;/citation&gt;</w:instrText>
      </w:r>
      <w:r w:rsidR="00095567">
        <w:rPr>
          <w:rFonts w:eastAsiaTheme="minorEastAsia"/>
          <w:lang w:val="en-US"/>
        </w:rPr>
        <w:fldChar w:fldCharType="separate"/>
      </w:r>
      <w:r w:rsidR="00095567">
        <w:rPr>
          <w:rFonts w:eastAsiaTheme="minorEastAsia"/>
          <w:lang w:val="en-US"/>
        </w:rPr>
        <w:t>(Wu et al., 2016)</w:t>
      </w:r>
      <w:r w:rsidR="00095567">
        <w:rPr>
          <w:rFonts w:eastAsiaTheme="minorEastAsia"/>
          <w:lang w:val="en-US"/>
        </w:rPr>
        <w:fldChar w:fldCharType="end"/>
      </w:r>
      <w:r>
        <w:rPr>
          <w:rFonts w:eastAsiaTheme="minorEastAsia"/>
          <w:lang w:val="en-US"/>
        </w:rPr>
        <w:t>. 21 miRNAs w</w:t>
      </w:r>
      <w:r>
        <w:t xml:space="preserve">ere </w:t>
      </w:r>
      <w:r w:rsidR="006B0354">
        <w:t>differentially expressed, 11 targeted genes in the WTN/</w:t>
      </w:r>
      <w:r w:rsidR="006B0354" w:rsidRPr="001350DC">
        <w:rPr>
          <w:rFonts w:ascii="Calibri" w:hAnsi="Calibri" w:cs="Calibri"/>
        </w:rPr>
        <w:t>β</w:t>
      </w:r>
      <w:r w:rsidR="006B0354">
        <w:rPr>
          <w:rFonts w:ascii="Calibri" w:hAnsi="Calibri" w:cs="Calibri"/>
        </w:rPr>
        <w:t xml:space="preserve">-catenin pathway and were validated by qPCR in a larger cohort of 22 IPAH and 22 healthy volunteers. 6 miRNAs </w:t>
      </w:r>
      <w:r w:rsidR="000C2868">
        <w:rPr>
          <w:rFonts w:ascii="Calibri" w:hAnsi="Calibri" w:cs="Calibri"/>
        </w:rPr>
        <w:t xml:space="preserve">had significant group </w:t>
      </w:r>
      <w:proofErr w:type="gramStart"/>
      <w:r w:rsidR="000C2868">
        <w:rPr>
          <w:rFonts w:ascii="Calibri" w:hAnsi="Calibri" w:cs="Calibri"/>
        </w:rPr>
        <w:t>differences</w:t>
      </w:r>
      <w:proofErr w:type="gramEnd"/>
      <w:r w:rsidR="006B0354">
        <w:rPr>
          <w:rFonts w:ascii="Calibri" w:hAnsi="Calibri" w:cs="Calibri"/>
        </w:rPr>
        <w:t xml:space="preserve"> and all </w:t>
      </w:r>
      <w:r w:rsidR="001D162A">
        <w:rPr>
          <w:rFonts w:ascii="Calibri" w:hAnsi="Calibri" w:cs="Calibri"/>
        </w:rPr>
        <w:t>demonstrated</w:t>
      </w:r>
      <w:r w:rsidR="006B0354">
        <w:rPr>
          <w:rFonts w:ascii="Calibri" w:hAnsi="Calibri" w:cs="Calibri"/>
        </w:rPr>
        <w:t xml:space="preserve"> diagnosti</w:t>
      </w:r>
      <w:r w:rsidR="001D162A">
        <w:rPr>
          <w:rFonts w:ascii="Calibri" w:hAnsi="Calibri" w:cs="Calibri"/>
        </w:rPr>
        <w:t xml:space="preserve">c </w:t>
      </w:r>
      <w:r w:rsidR="006B0354">
        <w:rPr>
          <w:rFonts w:ascii="Calibri" w:hAnsi="Calibri" w:cs="Calibri"/>
        </w:rPr>
        <w:t>pot</w:t>
      </w:r>
      <w:r w:rsidR="001D162A">
        <w:rPr>
          <w:rFonts w:ascii="Calibri" w:hAnsi="Calibri" w:cs="Calibri"/>
        </w:rPr>
        <w:t>ent</w:t>
      </w:r>
      <w:r w:rsidR="006B0354">
        <w:rPr>
          <w:rFonts w:ascii="Calibri" w:hAnsi="Calibri" w:cs="Calibri"/>
        </w:rPr>
        <w:t xml:space="preserve">ial with the ROC AUC </w:t>
      </w:r>
      <w:r w:rsidR="001D162A">
        <w:rPr>
          <w:rFonts w:ascii="Calibri" w:hAnsi="Calibri" w:cs="Calibri"/>
        </w:rPr>
        <w:lastRenderedPageBreak/>
        <w:t xml:space="preserve">between </w:t>
      </w:r>
      <w:r w:rsidR="006B0354">
        <w:rPr>
          <w:rFonts w:ascii="Calibri" w:hAnsi="Calibri" w:cs="Calibri"/>
        </w:rPr>
        <w:t>0.7</w:t>
      </w:r>
      <w:r w:rsidR="001D162A">
        <w:rPr>
          <w:rFonts w:ascii="Calibri" w:hAnsi="Calibri" w:cs="Calibri"/>
        </w:rPr>
        <w:t>1 and 0.86.</w:t>
      </w:r>
      <w:r w:rsidR="000C2868">
        <w:rPr>
          <w:rFonts w:ascii="Calibri" w:hAnsi="Calibri" w:cs="Calibri"/>
        </w:rPr>
        <w:t xml:space="preserve"> However, only miR-26a was suggested as a potential biomarker due to its correlation with 6-minute walk distance.</w:t>
      </w:r>
    </w:p>
    <w:p w14:paraId="1DD38BAE" w14:textId="77777777" w:rsidR="005A338D" w:rsidRDefault="005A338D" w:rsidP="001244CE">
      <w:pPr>
        <w:pStyle w:val="Body"/>
      </w:pPr>
    </w:p>
    <w:p w14:paraId="6CDF8BD3" w14:textId="5DD69521" w:rsidR="00B8028E" w:rsidRDefault="001350DC" w:rsidP="00B8028E">
      <w:pPr>
        <w:pStyle w:val="Body"/>
      </w:pPr>
      <w:r>
        <w:t xml:space="preserve">As with </w:t>
      </w:r>
      <w:r w:rsidR="005A338D">
        <w:t xml:space="preserve">miRNA-23a in </w:t>
      </w:r>
      <w:proofErr w:type="spellStart"/>
      <w:r>
        <w:t>Sarrion</w:t>
      </w:r>
      <w:proofErr w:type="spellEnd"/>
      <w:r>
        <w:t xml:space="preserve"> et al., this study was undertaken in patients with established disease and the biomarker may not be effective in a treatment naïve diagnostic cohort.</w:t>
      </w:r>
      <w:r w:rsidR="00B8028E" w:rsidRPr="00B8028E">
        <w:t xml:space="preserve"> </w:t>
      </w:r>
    </w:p>
    <w:p w14:paraId="0C240BC7" w14:textId="77777777" w:rsidR="00E25F4D" w:rsidRDefault="00E25F4D" w:rsidP="00B8028E">
      <w:pPr>
        <w:pStyle w:val="Body"/>
      </w:pPr>
    </w:p>
    <w:p w14:paraId="57040C8C" w14:textId="7AAA5483" w:rsidR="00B8028E" w:rsidRDefault="00B8028E" w:rsidP="00B8028E">
      <w:pPr>
        <w:pStyle w:val="Heading2"/>
        <w:numPr>
          <w:ilvl w:val="3"/>
          <w:numId w:val="7"/>
        </w:numPr>
        <w:spacing w:before="120" w:after="120"/>
      </w:pPr>
      <w:bookmarkStart w:id="63" w:name="_Toc60773868"/>
      <w:r>
        <w:t>microRNA</w:t>
      </w:r>
      <w:r w:rsidR="004D5AC6">
        <w:t xml:space="preserve"> 140-5p</w:t>
      </w:r>
      <w:bookmarkEnd w:id="63"/>
    </w:p>
    <w:p w14:paraId="062B147C" w14:textId="5498030A" w:rsidR="00F6074B" w:rsidRDefault="004F06D4" w:rsidP="00D74125">
      <w:pPr>
        <w:pStyle w:val="Body"/>
      </w:pPr>
      <w:r>
        <w:t xml:space="preserve">Rothman et al., identified a reduction in miRNA 140-5p in whole blood </w:t>
      </w:r>
      <w:r w:rsidR="00284F6F">
        <w:t xml:space="preserve">RNA </w:t>
      </w:r>
      <w:r w:rsidR="00F047AA">
        <w:t xml:space="preserve">from </w:t>
      </w:r>
      <w:r>
        <w:t>patient</w:t>
      </w:r>
      <w:r w:rsidR="00F047AA">
        <w:t>s</w:t>
      </w:r>
      <w:r>
        <w:t xml:space="preserve"> with PAH </w:t>
      </w:r>
      <w:r w:rsidR="00F047AA">
        <w:t>when</w:t>
      </w:r>
      <w:r>
        <w:t xml:space="preserve"> compared to controls </w:t>
      </w:r>
      <w:r w:rsidR="00095567">
        <w:rPr>
          <w:rFonts w:eastAsiaTheme="minorEastAsia"/>
          <w:lang w:val="en-US"/>
        </w:rPr>
        <w:fldChar w:fldCharType="begin"/>
      </w:r>
      <w:r w:rsidR="004E19A5">
        <w:rPr>
          <w:rFonts w:eastAsiaTheme="minorEastAsia"/>
          <w:lang w:val="en-US"/>
        </w:rPr>
        <w:instrText xml:space="preserve"> ADDIN PAPERS2_CITATIONS &lt;citation&gt;&lt;priority&gt;62&lt;/priority&gt;&lt;uuid&gt;D62E4001-9571-47F1-93E7-5DF043C2183F&lt;/uuid&gt;&lt;publications&gt;&lt;publication&gt;&lt;subtype&gt;400&lt;/subtype&gt;&lt;publisher&gt;American Society for Clinical Investigation&lt;/publisher&gt;&lt;title&gt;MicroRNA-140-5p and SMURF1 regulate pulmonary arterial hypertension&lt;/title&gt;&lt;url&gt;https://www.jci.org/articles/view/83361&lt;/url&gt;&lt;volume&gt;126&lt;/volume&gt;&lt;publication_date&gt;99201607011200000000222000&lt;/publication_date&gt;&lt;uuid&gt;426077CF-FB48-4479-8631-7BC3F026AB0C&lt;/uuid&gt;&lt;type&gt;400&lt;/type&gt;&lt;number&gt;7&lt;/number&gt;&lt;doi&gt;10.1172/JCI83361&lt;/doi&gt;&lt;startpage&gt;2495&lt;/startpage&gt;&lt;endpage&gt;2508&lt;/endpage&gt;&lt;bundle&gt;&lt;publication&gt;&lt;title&gt;Journal of Clinical Investigation&lt;/title&gt;&lt;uuid&gt;06B3D008-AAB3-477A-B431-645A79F34B3D&lt;/uuid&gt;&lt;subtype&gt;-100&lt;/subtype&gt;&lt;publisher&gt;American Society for Clinical Investigation&lt;/publisher&gt;&lt;type&gt;-100&lt;/type&gt;&lt;/publication&gt;&lt;/bundle&gt;&lt;authors&gt;&lt;author&gt;&lt;lastName&gt;Rothman&lt;/lastName&gt;&lt;firstName&gt;Alexander&lt;/firstName&gt;&lt;middleNames&gt;M K&lt;/middleNames&gt;&lt;/author&gt;&lt;author&gt;&lt;lastName&gt;Arnold&lt;/lastName&gt;&lt;firstName&gt;Nadine&lt;/firstName&gt;&lt;middleNames&gt;D&lt;/middleNames&gt;&lt;/author&gt;&lt;author&gt;&lt;lastName&gt;Pickworth&lt;/lastName&gt;&lt;firstName&gt;Josephine&lt;/firstName&gt;&lt;middleNames&gt;A&lt;/middleNames&gt;&lt;/author&gt;&lt;author&gt;&lt;lastName&gt;Iremonger&lt;/lastName&gt;&lt;firstName&gt;James&lt;/firstName&gt;&lt;/author&gt;&lt;author&gt;&lt;lastName&gt;Ciuclan&lt;/lastName&gt;&lt;firstName&gt;Loredana&lt;/firstName&gt;&lt;/author&gt;&lt;author&gt;&lt;lastName&gt;Allen&lt;/lastName&gt;&lt;firstName&gt;Robert&lt;/firstName&gt;&lt;middleNames&gt;M H&lt;/middleNames&gt;&lt;/author&gt;&lt;author&gt;&lt;lastName&gt;Guth-Gundel&lt;/lastName&gt;&lt;firstName&gt;Sabine&lt;/firstName&gt;&lt;/author&gt;&lt;author&gt;&lt;lastName&gt;Southwood&lt;/lastName&gt;&lt;firstName&gt;Mark&lt;/firstName&gt;&lt;/author&gt;&lt;author&gt;&lt;lastName&gt;Morrell&lt;/lastName&gt;&lt;firstName&gt;Nicholas&lt;/firstName&gt;&lt;middleNames&gt;W&lt;/middleNames&gt;&lt;/author&gt;&lt;author&gt;&lt;lastName&gt;Thomas&lt;/lastName&gt;&lt;firstName&gt;Matthew&lt;/firstName&gt;&lt;/author&gt;&lt;author&gt;&lt;lastName&gt;Francis&lt;/lastName&gt;&lt;firstName&gt;Sheila&lt;/firstName&gt;&lt;middleNames&gt;E&lt;/middleNames&gt;&lt;/author&gt;&lt;author&gt;&lt;lastName&gt;Rowlands&lt;/lastName&gt;&lt;firstName&gt;David&lt;/firstName&gt;&lt;middleNames&gt;J&lt;/middleNames&gt;&lt;/author&gt;&lt;author&gt;&lt;lastName&gt;Lawrie&lt;/lastName&gt;&lt;firstName&gt;Allan&lt;/firstName&gt;&lt;/author&gt;&lt;/authors&gt;&lt;/publication&gt;&lt;/publications&gt;&lt;cites&gt;&lt;/cites&gt;&lt;/citation&gt;</w:instrText>
      </w:r>
      <w:r w:rsidR="00095567">
        <w:rPr>
          <w:rFonts w:eastAsiaTheme="minorEastAsia"/>
          <w:lang w:val="en-US"/>
        </w:rPr>
        <w:fldChar w:fldCharType="separate"/>
      </w:r>
      <w:r w:rsidR="00095567">
        <w:rPr>
          <w:rFonts w:eastAsiaTheme="minorEastAsia"/>
          <w:lang w:val="en-US"/>
        </w:rPr>
        <w:t>(Rothman et al., 2016)</w:t>
      </w:r>
      <w:r w:rsidR="00095567">
        <w:rPr>
          <w:rFonts w:eastAsiaTheme="minorEastAsia"/>
          <w:lang w:val="en-US"/>
        </w:rPr>
        <w:fldChar w:fldCharType="end"/>
      </w:r>
      <w:r>
        <w:rPr>
          <w:rFonts w:eastAsiaTheme="minorEastAsia"/>
          <w:lang w:val="en-US"/>
        </w:rPr>
        <w:t>.</w:t>
      </w:r>
      <w:r>
        <w:t xml:space="preserve"> </w:t>
      </w:r>
      <w:r w:rsidR="009E21BE">
        <w:t>The discovery screen for novel</w:t>
      </w:r>
      <w:r>
        <w:t xml:space="preserve"> miRNA</w:t>
      </w:r>
      <w:r w:rsidR="009E21BE">
        <w:t xml:space="preserve">’s was performed using a </w:t>
      </w:r>
      <w:proofErr w:type="spellStart"/>
      <w:r w:rsidR="002E0EA8">
        <w:t>Taqman</w:t>
      </w:r>
      <w:proofErr w:type="spellEnd"/>
      <w:r w:rsidR="002E0EA8">
        <w:t xml:space="preserve"> </w:t>
      </w:r>
      <w:r w:rsidR="0089068F">
        <w:t xml:space="preserve">Human microRNA V2.0 </w:t>
      </w:r>
      <w:r w:rsidR="002E0EA8">
        <w:t xml:space="preserve">TLDA array </w:t>
      </w:r>
      <w:r w:rsidR="009E21BE">
        <w:t>(</w:t>
      </w:r>
      <w:r w:rsidR="0089068F">
        <w:t>card A</w:t>
      </w:r>
      <w:r w:rsidR="009E21BE">
        <w:t>). This</w:t>
      </w:r>
      <w:r w:rsidR="0089068F">
        <w:t xml:space="preserve"> </w:t>
      </w:r>
      <w:r w:rsidR="009E21BE">
        <w:t>assayed the</w:t>
      </w:r>
      <w:r w:rsidR="0089068F">
        <w:t xml:space="preserve"> expression levels of 377 miRNAs </w:t>
      </w:r>
      <w:r w:rsidR="00CF49C8">
        <w:t xml:space="preserve">from IPAH, </w:t>
      </w:r>
      <w:proofErr w:type="spellStart"/>
      <w:r w:rsidR="00CF49C8">
        <w:t>SSc</w:t>
      </w:r>
      <w:proofErr w:type="spellEnd"/>
      <w:r w:rsidR="00CF49C8">
        <w:t xml:space="preserve">-PAH, CTEPH, HV and </w:t>
      </w:r>
      <w:proofErr w:type="spellStart"/>
      <w:r w:rsidR="00F5582F">
        <w:t>SSc</w:t>
      </w:r>
      <w:proofErr w:type="spellEnd"/>
      <w:r w:rsidR="00F5582F">
        <w:t xml:space="preserve"> without PAH (n = 4 each group)</w:t>
      </w:r>
      <w:r w:rsidR="00CF49C8">
        <w:t>.</w:t>
      </w:r>
      <w:r w:rsidR="004454B9">
        <w:t xml:space="preserve"> </w:t>
      </w:r>
      <w:r w:rsidR="00065A03">
        <w:t>Upon further characterisation</w:t>
      </w:r>
      <w:r w:rsidR="004454B9">
        <w:t>,</w:t>
      </w:r>
      <w:r w:rsidR="00CF49C8">
        <w:t xml:space="preserve"> </w:t>
      </w:r>
      <w:r w:rsidR="004454B9">
        <w:t>r</w:t>
      </w:r>
      <w:r w:rsidR="0028479A">
        <w:t xml:space="preserve">educed expression was also </w:t>
      </w:r>
      <w:r>
        <w:t>seen</w:t>
      </w:r>
      <w:r w:rsidR="0028479A">
        <w:t xml:space="preserve"> in both monocrotaline and </w:t>
      </w:r>
      <w:proofErr w:type="spellStart"/>
      <w:r w:rsidR="0028479A">
        <w:t>sugen</w:t>
      </w:r>
      <w:proofErr w:type="spellEnd"/>
      <w:r w:rsidR="0028479A">
        <w:t xml:space="preserve"> hypoxic </w:t>
      </w:r>
      <w:r w:rsidR="009F57FC">
        <w:t>animal</w:t>
      </w:r>
      <w:r w:rsidR="0028479A">
        <w:t xml:space="preserve"> model</w:t>
      </w:r>
      <w:r w:rsidR="004454B9">
        <w:t xml:space="preserve"> of PAH</w:t>
      </w:r>
      <w:r w:rsidR="0028479A">
        <w:t xml:space="preserve"> </w:t>
      </w:r>
      <w:r w:rsidR="009F57FC">
        <w:t xml:space="preserve">as well as in the lesions of IPAH </w:t>
      </w:r>
      <w:r>
        <w:t>patient’s lung tissue</w:t>
      </w:r>
      <w:r w:rsidR="009F57FC">
        <w:t xml:space="preserve">. </w:t>
      </w:r>
    </w:p>
    <w:p w14:paraId="6FFB9A8C" w14:textId="77777777" w:rsidR="00D74125" w:rsidRDefault="00D74125" w:rsidP="00D74125">
      <w:pPr>
        <w:pStyle w:val="Body"/>
      </w:pPr>
    </w:p>
    <w:p w14:paraId="297AA1AC" w14:textId="01480008" w:rsidR="006A27C7" w:rsidRDefault="00D74125" w:rsidP="003E256B">
      <w:pPr>
        <w:pStyle w:val="Body"/>
      </w:pPr>
      <w:r>
        <w:t>Th</w:t>
      </w:r>
      <w:r w:rsidR="00284F6F">
        <w:t>e study indicated the</w:t>
      </w:r>
      <w:r>
        <w:t xml:space="preserve"> diagnostic potential of miRNA-140-5p with ROC curve analysis. An AUC of 0.74 was </w:t>
      </w:r>
      <w:r w:rsidR="00284F6F">
        <w:t>calculated using</w:t>
      </w:r>
      <w:r>
        <w:t xml:space="preserve"> </w:t>
      </w:r>
      <w:r w:rsidR="00284F6F">
        <w:t xml:space="preserve">the </w:t>
      </w:r>
      <w:r>
        <w:t>qPCR</w:t>
      </w:r>
      <w:r w:rsidR="00284F6F">
        <w:t xml:space="preserve"> results taken from the</w:t>
      </w:r>
      <w:r>
        <w:t xml:space="preserve"> validation of cohort </w:t>
      </w:r>
      <w:r w:rsidR="004454B9">
        <w:t>of</w:t>
      </w:r>
      <w:r>
        <w:t xml:space="preserve"> 20</w:t>
      </w:r>
      <w:r w:rsidR="00C32381">
        <w:t xml:space="preserve"> IPAH </w:t>
      </w:r>
      <w:r>
        <w:t>and 16</w:t>
      </w:r>
      <w:r w:rsidR="00C32381">
        <w:t xml:space="preserve"> </w:t>
      </w:r>
      <w:r>
        <w:t>healthy volunteers.</w:t>
      </w:r>
      <w:r w:rsidR="003E256B">
        <w:t xml:space="preserve"> </w:t>
      </w:r>
      <w:r w:rsidR="004454B9">
        <w:t>This</w:t>
      </w:r>
      <w:r w:rsidR="00284F6F">
        <w:t xml:space="preserve"> is a small </w:t>
      </w:r>
      <w:proofErr w:type="gramStart"/>
      <w:r w:rsidR="00284F6F">
        <w:t>cohort</w:t>
      </w:r>
      <w:proofErr w:type="gramEnd"/>
      <w:r w:rsidR="00284F6F">
        <w:t xml:space="preserve"> </w:t>
      </w:r>
      <w:r w:rsidR="004454B9">
        <w:t xml:space="preserve">and </w:t>
      </w:r>
      <w:r w:rsidR="003E256B">
        <w:t xml:space="preserve">the diagnostic potential </w:t>
      </w:r>
      <w:r w:rsidR="00284F6F">
        <w:t>would</w:t>
      </w:r>
      <w:r w:rsidR="004454B9">
        <w:t xml:space="preserve"> ideally</w:t>
      </w:r>
      <w:r w:rsidR="00284F6F">
        <w:t xml:space="preserve"> need to be further investigated in </w:t>
      </w:r>
      <w:r w:rsidR="003E256B">
        <w:t xml:space="preserve">a larger international cohort. Additionally, as </w:t>
      </w:r>
      <w:r w:rsidR="004454B9">
        <w:t>miRNA 140-5p’s</w:t>
      </w:r>
      <w:r w:rsidR="003E256B">
        <w:t xml:space="preserve"> direct link to </w:t>
      </w:r>
      <w:r w:rsidR="006A27C7">
        <w:t xml:space="preserve">disease </w:t>
      </w:r>
      <w:r w:rsidR="003E256B">
        <w:t>has been shown</w:t>
      </w:r>
      <w:r w:rsidR="00284F6F">
        <w:t xml:space="preserve"> follow-up </w:t>
      </w:r>
      <w:r w:rsidR="006A27C7">
        <w:t>investigation</w:t>
      </w:r>
      <w:r w:rsidR="00284F6F">
        <w:t>s</w:t>
      </w:r>
      <w:r w:rsidR="006A27C7">
        <w:t xml:space="preserve"> </w:t>
      </w:r>
      <w:r w:rsidR="004454B9">
        <w:t>utilising</w:t>
      </w:r>
      <w:r w:rsidR="006A27C7">
        <w:t xml:space="preserve"> a longitudinal cohor</w:t>
      </w:r>
      <w:r w:rsidR="003E256B">
        <w:t>t</w:t>
      </w:r>
      <w:r w:rsidR="004454B9">
        <w:t xml:space="preserve"> would be worthwhile and </w:t>
      </w:r>
      <w:r w:rsidR="00284F6F">
        <w:t xml:space="preserve">may </w:t>
      </w:r>
      <w:r w:rsidR="004454B9">
        <w:t>identify</w:t>
      </w:r>
      <w:r w:rsidR="00284F6F">
        <w:t xml:space="preserve"> prognostic and/or diagnostic utility</w:t>
      </w:r>
      <w:r w:rsidR="006A27C7">
        <w:t>.</w:t>
      </w:r>
    </w:p>
    <w:p w14:paraId="2048F4F3" w14:textId="77777777" w:rsidR="005C36E0" w:rsidRPr="002E0EA8" w:rsidRDefault="005C36E0" w:rsidP="003E256B">
      <w:pPr>
        <w:pStyle w:val="Body"/>
      </w:pPr>
    </w:p>
    <w:p w14:paraId="1DAE501B" w14:textId="00CE3E41" w:rsidR="00FB326F" w:rsidRDefault="00DD35BE" w:rsidP="00FB326F">
      <w:pPr>
        <w:pStyle w:val="Heading2"/>
        <w:numPr>
          <w:ilvl w:val="1"/>
          <w:numId w:val="7"/>
        </w:numPr>
        <w:spacing w:before="120" w:after="120"/>
        <w:ind w:left="578" w:hanging="578"/>
      </w:pPr>
      <w:bookmarkStart w:id="64" w:name="_Toc60773869"/>
      <w:r>
        <w:t>Measurement</w:t>
      </w:r>
      <w:r w:rsidR="00213438">
        <w:t xml:space="preserve"> of </w:t>
      </w:r>
      <w:r w:rsidR="00560764">
        <w:t>miRNA</w:t>
      </w:r>
      <w:r w:rsidR="00531EEC">
        <w:t>s</w:t>
      </w:r>
      <w:bookmarkEnd w:id="64"/>
    </w:p>
    <w:p w14:paraId="75F73766" w14:textId="46FB6A42" w:rsidR="00BC41C2" w:rsidRDefault="001016AC" w:rsidP="00147750">
      <w:pPr>
        <w:pStyle w:val="Body"/>
      </w:pPr>
      <w:r>
        <w:t xml:space="preserve">MiRNAs </w:t>
      </w:r>
      <w:r w:rsidR="00BC41C2">
        <w:t>are</w:t>
      </w:r>
      <w:r>
        <w:t xml:space="preserve"> measured using</w:t>
      </w:r>
      <w:r w:rsidR="00BC2961">
        <w:t xml:space="preserve"> adaptations of techniques used</w:t>
      </w:r>
      <w:r>
        <w:t xml:space="preserve"> </w:t>
      </w:r>
      <w:r w:rsidR="00B776CF">
        <w:t>for measuring</w:t>
      </w:r>
      <w:r w:rsidR="00BB63FC">
        <w:t xml:space="preserve"> mRNA such as</w:t>
      </w:r>
      <w:r w:rsidR="00BC2961">
        <w:t xml:space="preserve"> real-time PCR, microarray and </w:t>
      </w:r>
      <w:r w:rsidR="00EF7E4A">
        <w:t xml:space="preserve">next generation </w:t>
      </w:r>
      <w:r w:rsidR="00BC2961">
        <w:t>sequencing</w:t>
      </w:r>
      <w:r w:rsidR="00EF7E4A">
        <w:t xml:space="preserve"> (NGS)</w:t>
      </w:r>
      <w:r w:rsidR="00BC2961">
        <w:t>.</w:t>
      </w:r>
      <w:r w:rsidR="004B7ECE">
        <w:t xml:space="preserve"> </w:t>
      </w:r>
      <w:r w:rsidR="00EF7E4A">
        <w:t xml:space="preserve">For utility </w:t>
      </w:r>
      <w:r w:rsidR="00B776CF">
        <w:t>in</w:t>
      </w:r>
      <w:r w:rsidR="00EF7E4A">
        <w:t xml:space="preserve"> biomarker discovery r</w:t>
      </w:r>
      <w:r w:rsidR="00BC41C2">
        <w:t xml:space="preserve">eal-time PCR </w:t>
      </w:r>
      <w:r w:rsidR="009F71E5">
        <w:t>can be</w:t>
      </w:r>
      <w:r w:rsidR="00BC41C2">
        <w:t xml:space="preserve"> multiplexed</w:t>
      </w:r>
      <w:r w:rsidR="009F71E5">
        <w:t>, typically testing &lt;1000 miRNAs across</w:t>
      </w:r>
      <w:r w:rsidR="00BB63FC">
        <w:t xml:space="preserve"> multiple assays on a single sample</w:t>
      </w:r>
      <w:r w:rsidR="00BF7B2D">
        <w:t>.</w:t>
      </w:r>
      <w:r w:rsidR="004B7ECE">
        <w:t xml:space="preserve"> </w:t>
      </w:r>
      <w:r w:rsidR="00BF7B2D">
        <w:t>W</w:t>
      </w:r>
      <w:r w:rsidR="004B7ECE">
        <w:t>hilst</w:t>
      </w:r>
      <w:r w:rsidR="00BC41C2">
        <w:t xml:space="preserve"> microarray and </w:t>
      </w:r>
      <w:r w:rsidR="00F46CB9">
        <w:t>NGS</w:t>
      </w:r>
      <w:r w:rsidR="00BC41C2">
        <w:t xml:space="preserve"> are </w:t>
      </w:r>
      <w:r w:rsidR="00EF7E4A">
        <w:t>massively multiplexed</w:t>
      </w:r>
      <w:r w:rsidR="002C15C0">
        <w:t xml:space="preserve"> and</w:t>
      </w:r>
      <w:r w:rsidR="00EF7E4A">
        <w:t xml:space="preserve"> </w:t>
      </w:r>
      <w:r w:rsidR="00F46CB9">
        <w:t>unbiased techniques</w:t>
      </w:r>
      <w:r w:rsidR="00BF7B2D">
        <w:t xml:space="preserve"> with the potential to detect all of the miRNAs present in a sample</w:t>
      </w:r>
      <w:r w:rsidR="00EF7E4A">
        <w:t>.</w:t>
      </w:r>
    </w:p>
    <w:p w14:paraId="0EF1CE54" w14:textId="77777777" w:rsidR="00F46CB9" w:rsidRDefault="00F46CB9" w:rsidP="00F46CB9">
      <w:pPr>
        <w:pStyle w:val="Body"/>
      </w:pPr>
    </w:p>
    <w:p w14:paraId="13DA4516" w14:textId="5DF0B716" w:rsidR="00F46CB9" w:rsidRDefault="001432ED" w:rsidP="00F46CB9">
      <w:pPr>
        <w:pStyle w:val="Body"/>
      </w:pPr>
      <w:r>
        <w:t>It is advantageous with r</w:t>
      </w:r>
      <w:r w:rsidR="00F46CB9">
        <w:t xml:space="preserve">eal-time PCR </w:t>
      </w:r>
      <w:r w:rsidR="00EF6923">
        <w:t>that</w:t>
      </w:r>
      <w:r w:rsidR="00F46CB9">
        <w:t xml:space="preserve"> the discovery is being performed in using the validation </w:t>
      </w:r>
      <w:r w:rsidR="004B7ECE">
        <w:t>technology</w:t>
      </w:r>
      <w:r w:rsidR="002C15C0">
        <w:t>, however, the number of miRNAs that can be tested is low</w:t>
      </w:r>
      <w:r w:rsidR="00F46CB9">
        <w:t xml:space="preserve">. </w:t>
      </w:r>
      <w:r w:rsidR="002C15C0">
        <w:t>U</w:t>
      </w:r>
      <w:r w:rsidR="00F46CB9">
        <w:t xml:space="preserve">nbiased approaches </w:t>
      </w:r>
      <w:r w:rsidR="002C15C0">
        <w:t xml:space="preserve">are </w:t>
      </w:r>
      <w:r w:rsidR="00F46CB9">
        <w:t>a</w:t>
      </w:r>
      <w:r w:rsidR="004B7ECE">
        <w:t xml:space="preserve"> broader</w:t>
      </w:r>
      <w:r w:rsidR="00F46CB9">
        <w:t xml:space="preserve"> platform </w:t>
      </w:r>
      <w:r w:rsidR="004B7ECE">
        <w:t>for biomarker</w:t>
      </w:r>
      <w:r w:rsidR="00F46CB9">
        <w:t xml:space="preserve"> discover</w:t>
      </w:r>
      <w:r w:rsidR="004B7ECE">
        <w:t>y</w:t>
      </w:r>
      <w:r w:rsidR="00EF6923">
        <w:t xml:space="preserve"> but require different technologies for validation</w:t>
      </w:r>
      <w:r w:rsidR="002C15C0">
        <w:t>.</w:t>
      </w:r>
    </w:p>
    <w:p w14:paraId="3DB7E207" w14:textId="77777777" w:rsidR="0066024C" w:rsidRDefault="0066024C" w:rsidP="00F46CB9">
      <w:pPr>
        <w:pStyle w:val="Body"/>
      </w:pPr>
    </w:p>
    <w:p w14:paraId="05CD8B7D" w14:textId="1A03BE8C" w:rsidR="00EF7E4A" w:rsidRDefault="00810FBD" w:rsidP="00EF7E4A">
      <w:pPr>
        <w:pStyle w:val="Heading2"/>
        <w:numPr>
          <w:ilvl w:val="2"/>
          <w:numId w:val="7"/>
        </w:numPr>
        <w:spacing w:before="120" w:after="120"/>
      </w:pPr>
      <w:bookmarkStart w:id="65" w:name="_Toc60773870"/>
      <w:r>
        <w:t>M</w:t>
      </w:r>
      <w:r w:rsidR="00EF7E4A">
        <w:t>easurement of miRNAs</w:t>
      </w:r>
      <w:r>
        <w:t xml:space="preserve"> by real-time PCR</w:t>
      </w:r>
      <w:bookmarkEnd w:id="65"/>
    </w:p>
    <w:p w14:paraId="182DC3AC" w14:textId="72130388" w:rsidR="00B04C58" w:rsidRDefault="008201CD" w:rsidP="00D4436E">
      <w:pPr>
        <w:pStyle w:val="Body"/>
      </w:pPr>
      <w:r>
        <w:t xml:space="preserve">At roughly the size of a single primer, miRNAs are too short to be amplified by PCR and </w:t>
      </w:r>
      <w:r w:rsidR="00714093">
        <w:t xml:space="preserve">must </w:t>
      </w:r>
      <w:r w:rsidR="00EF23E1">
        <w:t xml:space="preserve">first be extended in length. </w:t>
      </w:r>
      <w:r w:rsidR="002404C4">
        <w:t xml:space="preserve">The typical </w:t>
      </w:r>
      <w:r w:rsidR="002B233F">
        <w:t xml:space="preserve">strategy </w:t>
      </w:r>
      <w:r w:rsidR="002404C4">
        <w:t xml:space="preserve">used to </w:t>
      </w:r>
      <w:r w:rsidR="00843D76">
        <w:t>overcome</w:t>
      </w:r>
      <w:r w:rsidR="002404C4">
        <w:t xml:space="preserve"> this is </w:t>
      </w:r>
      <w:r w:rsidR="00EF23E1">
        <w:t>to</w:t>
      </w:r>
      <w:r w:rsidR="002404C4">
        <w:t xml:space="preserve"> extend the miRNA</w:t>
      </w:r>
      <w:r w:rsidR="007A616A">
        <w:t xml:space="preserve"> by </w:t>
      </w:r>
      <w:r w:rsidR="00EF23E1">
        <w:t>l</w:t>
      </w:r>
      <w:r w:rsidR="007A616A">
        <w:t>igating</w:t>
      </w:r>
      <w:r w:rsidR="00EF23E1">
        <w:t xml:space="preserve"> a poly</w:t>
      </w:r>
      <w:r w:rsidR="007A616A">
        <w:t>-</w:t>
      </w:r>
      <w:r w:rsidR="00EF23E1">
        <w:t xml:space="preserve">A </w:t>
      </w:r>
      <w:r w:rsidR="007A616A">
        <w:t>tail</w:t>
      </w:r>
      <w:r w:rsidR="002404C4">
        <w:t xml:space="preserve"> to the 5’ end</w:t>
      </w:r>
      <w:r w:rsidR="007A616A">
        <w:t>.</w:t>
      </w:r>
      <w:r w:rsidR="00B04C58">
        <w:t xml:space="preserve"> This enables a forward primer specific to the miRNA and a reverse primer to bind to the poly-A. </w:t>
      </w:r>
    </w:p>
    <w:p w14:paraId="7017FE43" w14:textId="77777777" w:rsidR="00B04C58" w:rsidRDefault="00B04C58" w:rsidP="00D4436E">
      <w:pPr>
        <w:pStyle w:val="Body"/>
      </w:pPr>
    </w:p>
    <w:p w14:paraId="20AC6A6F" w14:textId="4AA19BAC" w:rsidR="00394AE3" w:rsidRDefault="00EF6923" w:rsidP="00022480">
      <w:pPr>
        <w:pStyle w:val="Body"/>
      </w:pPr>
      <w:r>
        <w:t xml:space="preserve">The </w:t>
      </w:r>
      <w:proofErr w:type="spellStart"/>
      <w:r w:rsidR="00B04C58">
        <w:t>Exiqon</w:t>
      </w:r>
      <w:proofErr w:type="spellEnd"/>
      <w:r w:rsidR="00B04C58">
        <w:t xml:space="preserve"> real-time PCR system</w:t>
      </w:r>
      <w:r w:rsidR="00065A03">
        <w:t xml:space="preserve"> uses</w:t>
      </w:r>
      <w:r w:rsidR="00B04C58">
        <w:t xml:space="preserve"> </w:t>
      </w:r>
      <w:r w:rsidR="00231FEE">
        <w:t xml:space="preserve">locked nucleic acid (LNA) bases in the primers. </w:t>
      </w:r>
      <w:r w:rsidR="00940EAE">
        <w:t xml:space="preserve">LNAs are chemically modified nucleotides that </w:t>
      </w:r>
      <w:r w:rsidR="00231FEE">
        <w:t xml:space="preserve">offer significantly increased </w:t>
      </w:r>
      <w:r w:rsidR="00940EAE">
        <w:t xml:space="preserve">base pair </w:t>
      </w:r>
      <w:r w:rsidR="00231FEE">
        <w:t xml:space="preserve">affinity </w:t>
      </w:r>
      <w:r w:rsidR="00940EAE">
        <w:t>result</w:t>
      </w:r>
      <w:r w:rsidR="00065A03">
        <w:t>ing</w:t>
      </w:r>
      <w:r w:rsidR="00940EAE">
        <w:t xml:space="preserve"> in improved sensitivity/specificity and shorter primers</w:t>
      </w:r>
      <w:r w:rsidR="00A5222D">
        <w:t xml:space="preserve"> (Koshkin et al., </w:t>
      </w:r>
      <w:r w:rsidR="00A5222D">
        <w:lastRenderedPageBreak/>
        <w:t>2005)</w:t>
      </w:r>
      <w:r w:rsidR="00B04C58">
        <w:t>.</w:t>
      </w:r>
      <w:r w:rsidR="00231FEE">
        <w:t xml:space="preserve"> </w:t>
      </w:r>
      <w:r w:rsidR="00B04C58">
        <w:t>The LNA</w:t>
      </w:r>
      <w:r w:rsidR="00837128">
        <w:t xml:space="preserve"> primers are short enough that the forward</w:t>
      </w:r>
      <w:r w:rsidR="001F6340">
        <w:t xml:space="preserve"> primer</w:t>
      </w:r>
      <w:r w:rsidR="00837128">
        <w:t xml:space="preserve"> is fully miRNA specific</w:t>
      </w:r>
      <w:r w:rsidR="001F6340">
        <w:t xml:space="preserve">, however, there is only enough room on a miRNA for a </w:t>
      </w:r>
      <w:r w:rsidR="00B04C58">
        <w:t xml:space="preserve">semi-specific </w:t>
      </w:r>
      <w:r w:rsidR="00837128">
        <w:t>reverse</w:t>
      </w:r>
      <w:r w:rsidR="00B04C58">
        <w:t xml:space="preserve"> (</w:t>
      </w:r>
      <w:r>
        <w:t xml:space="preserve">3 </w:t>
      </w:r>
      <w:r w:rsidR="00B04C58">
        <w:t>bases)</w:t>
      </w:r>
      <w:r>
        <w:t xml:space="preserve"> </w:t>
      </w:r>
      <w:r w:rsidR="00A5222D">
        <w:t>(</w:t>
      </w:r>
      <w:proofErr w:type="spellStart"/>
      <w:r w:rsidR="00A5222D">
        <w:t>Kauppinen</w:t>
      </w:r>
      <w:proofErr w:type="spellEnd"/>
      <w:r w:rsidR="00A5222D">
        <w:t xml:space="preserve"> et al., 1998)</w:t>
      </w:r>
      <w:r w:rsidR="00837128">
        <w:t>.</w:t>
      </w:r>
      <w:r w:rsidR="00CF77CF">
        <w:t xml:space="preserve"> </w:t>
      </w:r>
      <w:r w:rsidR="00B04C58">
        <w:t>Real-time experiments are typically run in at least replicate therefore u</w:t>
      </w:r>
      <w:r w:rsidR="00CF77CF">
        <w:t>sing a 384-well plate layout</w:t>
      </w:r>
      <w:r w:rsidR="00A57BAB">
        <w:t xml:space="preserve"> it is possible to assay up to</w:t>
      </w:r>
      <w:r w:rsidR="00CF77CF">
        <w:t xml:space="preserve"> 192 miRNAs </w:t>
      </w:r>
      <w:r w:rsidR="00A57BAB">
        <w:t>at once</w:t>
      </w:r>
      <w:r w:rsidR="00065A03">
        <w:t xml:space="preserve">, with larger </w:t>
      </w:r>
      <w:r w:rsidR="00022480">
        <w:t xml:space="preserve">numbers of miRNAs </w:t>
      </w:r>
      <w:r w:rsidR="00065A03">
        <w:t>requiring</w:t>
      </w:r>
      <w:r w:rsidR="00022480">
        <w:t xml:space="preserve"> multiple plates. </w:t>
      </w:r>
      <w:r w:rsidR="00065A03">
        <w:t>E</w:t>
      </w:r>
      <w:r w:rsidR="00022480">
        <w:t>xploratory assays are</w:t>
      </w:r>
      <w:r w:rsidR="00065A03">
        <w:t xml:space="preserve"> typically</w:t>
      </w:r>
      <w:r w:rsidR="00022480">
        <w:t xml:space="preserve"> limited to &lt;1000 miRNAs therefore biasing experiments by the choices made when selecting miRNAs to assay. </w:t>
      </w:r>
      <w:r w:rsidR="00C05924">
        <w:t xml:space="preserve">A large quantity of RNA is required </w:t>
      </w:r>
      <w:r w:rsidR="00022480">
        <w:t>and</w:t>
      </w:r>
      <w:r w:rsidR="00C05924">
        <w:t xml:space="preserve"> </w:t>
      </w:r>
      <w:r w:rsidR="00022480">
        <w:t>low-yield sources of RNA such as plasma/serum may not be concentrated enough to use.</w:t>
      </w:r>
    </w:p>
    <w:p w14:paraId="727EDA70" w14:textId="77777777" w:rsidR="006F4EFE" w:rsidRDefault="006F4EFE" w:rsidP="00D4436E">
      <w:pPr>
        <w:pStyle w:val="Body"/>
      </w:pPr>
    </w:p>
    <w:p w14:paraId="0BE77069" w14:textId="091F72C0" w:rsidR="00837128" w:rsidRDefault="003041E3" w:rsidP="006F4EFE">
      <w:pPr>
        <w:pStyle w:val="Heading2"/>
        <w:numPr>
          <w:ilvl w:val="2"/>
          <w:numId w:val="7"/>
        </w:numPr>
        <w:spacing w:before="120" w:after="120"/>
      </w:pPr>
      <w:bookmarkStart w:id="66" w:name="_Toc60773871"/>
      <w:r>
        <w:t>M</w:t>
      </w:r>
      <w:r w:rsidR="006F4EFE">
        <w:t>easurement of miRNAs</w:t>
      </w:r>
      <w:r>
        <w:t xml:space="preserve"> by microarray</w:t>
      </w:r>
      <w:bookmarkEnd w:id="66"/>
    </w:p>
    <w:p w14:paraId="11C71703" w14:textId="1A783E1C" w:rsidR="00940EAE" w:rsidRDefault="00CD67FC" w:rsidP="00AC1484">
      <w:pPr>
        <w:pStyle w:val="Body"/>
      </w:pPr>
      <w:r>
        <w:t xml:space="preserve">Microarrays are capable of </w:t>
      </w:r>
      <w:r w:rsidR="00940EAE">
        <w:t>interrogating</w:t>
      </w:r>
      <w:r>
        <w:t xml:space="preserve"> thousands to millions of</w:t>
      </w:r>
      <w:r w:rsidR="00940EAE">
        <w:t xml:space="preserve"> genetic</w:t>
      </w:r>
      <w:r>
        <w:t xml:space="preserve"> </w:t>
      </w:r>
      <w:r w:rsidR="00940EAE">
        <w:t>targets</w:t>
      </w:r>
      <w:r>
        <w:t xml:space="preserve">. </w:t>
      </w:r>
      <w:r w:rsidR="00940EAE">
        <w:t>Sequences complementary</w:t>
      </w:r>
      <w:r w:rsidR="001424F7">
        <w:t xml:space="preserve"> to both known and predicted miRNA</w:t>
      </w:r>
      <w:r w:rsidR="00AC1484">
        <w:t>s</w:t>
      </w:r>
      <w:r w:rsidR="001424F7">
        <w:t xml:space="preserve"> </w:t>
      </w:r>
      <w:r w:rsidR="00940EAE">
        <w:t xml:space="preserve">are </w:t>
      </w:r>
      <w:r w:rsidR="00DD098C">
        <w:t>deposited</w:t>
      </w:r>
      <w:r w:rsidR="00940EAE">
        <w:t xml:space="preserve"> </w:t>
      </w:r>
      <w:r w:rsidR="001424F7">
        <w:t>on</w:t>
      </w:r>
      <w:r w:rsidR="00DD098C">
        <w:t>to</w:t>
      </w:r>
      <w:r w:rsidR="001424F7">
        <w:t xml:space="preserve"> the surface of</w:t>
      </w:r>
      <w:r w:rsidR="00940EAE">
        <w:t xml:space="preserve"> glass </w:t>
      </w:r>
      <w:r w:rsidR="001424F7">
        <w:t>slide</w:t>
      </w:r>
      <w:r w:rsidR="00DD098C">
        <w:t xml:space="preserve"> in a dense</w:t>
      </w:r>
      <w:r w:rsidR="00AC1484">
        <w:t xml:space="preserve"> </w:t>
      </w:r>
      <w:r w:rsidR="00DD098C">
        <w:t>grid pattern</w:t>
      </w:r>
      <w:r w:rsidR="001424F7">
        <w:t>.</w:t>
      </w:r>
      <w:r w:rsidR="00AC1484">
        <w:t xml:space="preserve"> Each grid reference corresponds to a specific miRNA.</w:t>
      </w:r>
      <w:r w:rsidR="001424F7">
        <w:t xml:space="preserve"> </w:t>
      </w:r>
      <w:r w:rsidR="00AC1484">
        <w:t>Fluorescently</w:t>
      </w:r>
      <w:r w:rsidR="00DD098C">
        <w:t xml:space="preserve"> labelled RNA is </w:t>
      </w:r>
      <w:r w:rsidR="00AC1484">
        <w:t>washed over the slide</w:t>
      </w:r>
      <w:r w:rsidR="00DD098C">
        <w:t xml:space="preserve"> in conditions </w:t>
      </w:r>
      <w:r w:rsidR="00AC1484">
        <w:t>favouring specific binding of RNA to their complementary strand on the microarray. The microarray is then scanned at high resolution (2-10µm per pixel) and miRNA expression levels are inferred from the relative spot intensities of each probe.</w:t>
      </w:r>
    </w:p>
    <w:p w14:paraId="1B7E6E82" w14:textId="77777777" w:rsidR="00AC1484" w:rsidRDefault="00AC1484" w:rsidP="00D4436E">
      <w:pPr>
        <w:pStyle w:val="Body"/>
      </w:pPr>
    </w:p>
    <w:p w14:paraId="5D737EE6" w14:textId="1A5D7703" w:rsidR="00926F7E" w:rsidRDefault="00DC25E8" w:rsidP="003041E3">
      <w:pPr>
        <w:pStyle w:val="Body"/>
      </w:pPr>
      <w:r>
        <w:t>To ensure specificity of the base pairing m</w:t>
      </w:r>
      <w:r w:rsidR="00D234DC">
        <w:t xml:space="preserve">icroarray </w:t>
      </w:r>
      <w:r w:rsidR="00CE1358">
        <w:t>probes</w:t>
      </w:r>
      <w:r w:rsidR="00D234DC">
        <w:t xml:space="preserve"> are</w:t>
      </w:r>
      <w:r>
        <w:t xml:space="preserve"> </w:t>
      </w:r>
      <w:r w:rsidR="00D234DC">
        <w:t xml:space="preserve">typically longer than 40 </w:t>
      </w:r>
      <w:r>
        <w:t>bases</w:t>
      </w:r>
      <w:r w:rsidR="00D234DC">
        <w:t>.</w:t>
      </w:r>
      <w:r w:rsidR="00AC1484">
        <w:t xml:space="preserve"> </w:t>
      </w:r>
      <w:r>
        <w:t>As with qPCR miRNAs are too short for this approach and</w:t>
      </w:r>
      <w:r w:rsidR="00E16E63">
        <w:t xml:space="preserve"> </w:t>
      </w:r>
      <w:proofErr w:type="spellStart"/>
      <w:r w:rsidR="00697DB0">
        <w:t>Exiqon</w:t>
      </w:r>
      <w:proofErr w:type="spellEnd"/>
      <w:r w:rsidR="0038315F">
        <w:t xml:space="preserve"> miRNA microarrays</w:t>
      </w:r>
      <w:r w:rsidR="00697DB0">
        <w:t xml:space="preserve"> have</w:t>
      </w:r>
      <w:r w:rsidR="0038315F">
        <w:t xml:space="preserve"> probe</w:t>
      </w:r>
      <w:r w:rsidR="003041E3">
        <w:t>s containing</w:t>
      </w:r>
      <w:r w:rsidR="001424F7">
        <w:t xml:space="preserve"> LNA </w:t>
      </w:r>
      <w:r w:rsidR="003041E3">
        <w:t>nucleotides</w:t>
      </w:r>
      <w:r w:rsidR="001424F7">
        <w:t xml:space="preserve"> </w:t>
      </w:r>
      <w:r w:rsidR="00697DB0">
        <w:t>whilst Agilent use</w:t>
      </w:r>
      <w:r w:rsidR="00E16E63">
        <w:t xml:space="preserve"> </w:t>
      </w:r>
      <w:r w:rsidR="003041E3">
        <w:t xml:space="preserve">probes with </w:t>
      </w:r>
      <w:r w:rsidR="00940EAE">
        <w:t>a hairpin design</w:t>
      </w:r>
      <w:r w:rsidR="0018214F">
        <w:t xml:space="preserve">. </w:t>
      </w:r>
      <w:r w:rsidR="00697DB0">
        <w:t>The</w:t>
      </w:r>
      <w:r w:rsidR="003041E3">
        <w:t xml:space="preserve"> hairpin </w:t>
      </w:r>
      <w:r w:rsidR="00697DB0">
        <w:t>limits the</w:t>
      </w:r>
      <w:r>
        <w:t xml:space="preserve"> physical</w:t>
      </w:r>
      <w:r w:rsidR="00697DB0">
        <w:t xml:space="preserve"> binding space to the size of the miRNA of interest </w:t>
      </w:r>
      <w:r w:rsidR="003041E3">
        <w:t>p</w:t>
      </w:r>
      <w:r w:rsidR="00697DB0">
        <w:t xml:space="preserve">rohibiting the binding </w:t>
      </w:r>
      <w:r w:rsidR="003041E3">
        <w:t xml:space="preserve">of longer </w:t>
      </w:r>
      <w:r w:rsidR="00697DB0">
        <w:t>sequences</w:t>
      </w:r>
      <w:r w:rsidR="0018214F">
        <w:t xml:space="preserve"> </w:t>
      </w:r>
      <w:r w:rsidR="0018214F">
        <w:fldChar w:fldCharType="begin"/>
      </w:r>
      <w:r w:rsidR="004E19A5">
        <w:instrText xml:space="preserve"> ADDIN PAPERS2_CITATIONS &lt;citation&gt;&lt;priority&gt;0&lt;/priority&gt;&lt;uuid&gt;D49CF2A4-13C2-4EFF-849D-3F372A6927D2&lt;/uuid&gt;&lt;publications&gt;&lt;publication&gt;&lt;subtype&gt;400&lt;/subtype&gt;&lt;title&gt;Direct and sensitive miRNA profiling from low-input total RNA&lt;/title&gt;&lt;url&gt;http://www.rnajournal.org/cgi/content/short/13/1/151&lt;/url&gt;&lt;volume&gt;13&lt;/volume&gt;&lt;publication_date&gt;99200701001200000000220000&lt;/publication_date&gt;&lt;uuid&gt;C94F7A29-C8DF-4BEE-BA45-563FB69DD3C4&lt;/uuid&gt;&lt;type&gt;400&lt;/type&gt;&lt;number&gt;1&lt;/number&gt;&lt;doi&gt;10.1261/rna.234507&lt;/doi&gt;&lt;institution&gt;Agilent Technologies, Inc., Agilent Laboratories, Santa Clara, California 95051, USA. hui_wang@agilent.com&lt;/institution&gt;&lt;startpage&gt;151&lt;/startpage&gt;&lt;endpage&gt;159&lt;/endpage&gt;&lt;bundle&gt;&lt;publication&gt;&lt;title&gt;Rna-a Publication of the Rna Society&lt;/title&gt;&lt;uuid&gt;F9584A59-5874-4A77-AD7D-C99CCCAF5FC7&lt;/uuid&gt;&lt;subtype&gt;-100&lt;/subtype&gt;&lt;type&gt;-100&lt;/type&gt;&lt;/publication&gt;&lt;/bundle&gt;&lt;authors&gt;&lt;author&gt;&lt;lastName&gt;Wang&lt;/lastName&gt;&lt;firstName&gt;Hui&lt;/firstName&gt;&lt;/author&gt;&lt;author&gt;&lt;lastName&gt;Ach&lt;/lastName&gt;&lt;firstName&gt;Robert&lt;/firstName&gt;&lt;middleNames&gt;A&lt;/middleNames&gt;&lt;/author&gt;&lt;author&gt;&lt;lastName&gt;Curry&lt;/lastName&gt;&lt;firstName&gt;Bo&lt;/firstName&gt;&lt;/author&gt;&lt;/authors&gt;&lt;/publication&gt;&lt;/publications&gt;&lt;cites&gt;&lt;/cites&gt;&lt;/citation&gt;</w:instrText>
      </w:r>
      <w:r w:rsidR="0018214F">
        <w:fldChar w:fldCharType="separate"/>
      </w:r>
      <w:r w:rsidR="004E19A5">
        <w:rPr>
          <w:rFonts w:eastAsiaTheme="minorEastAsia"/>
        </w:rPr>
        <w:t>(H. Wang, Ach, &amp; Curry, 2007)</w:t>
      </w:r>
      <w:r w:rsidR="0018214F">
        <w:fldChar w:fldCharType="end"/>
      </w:r>
      <w:r w:rsidR="00697DB0">
        <w:t>.</w:t>
      </w:r>
      <w:r w:rsidR="003041E3">
        <w:t xml:space="preserve"> </w:t>
      </w:r>
      <w:r w:rsidR="00FF67FA">
        <w:t>Specificity</w:t>
      </w:r>
      <w:r w:rsidR="00697DB0">
        <w:t xml:space="preserve"> is further </w:t>
      </w:r>
      <w:r w:rsidR="003041E3">
        <w:t>increase</w:t>
      </w:r>
      <w:r w:rsidR="00697DB0">
        <w:t>d</w:t>
      </w:r>
      <w:r w:rsidR="003041E3">
        <w:t xml:space="preserve"> by addition of a cyanine base </w:t>
      </w:r>
      <w:r w:rsidR="00697DB0">
        <w:t>at</w:t>
      </w:r>
      <w:r w:rsidR="003041E3">
        <w:t xml:space="preserve"> the </w:t>
      </w:r>
      <w:r w:rsidR="003041E3" w:rsidRPr="0018214F">
        <w:t>3’</w:t>
      </w:r>
      <w:r w:rsidR="001430E5">
        <w:t xml:space="preserve"> </w:t>
      </w:r>
      <w:r w:rsidR="003041E3">
        <w:t xml:space="preserve">end of the miRNA, </w:t>
      </w:r>
      <w:r w:rsidR="003041E3">
        <w:lastRenderedPageBreak/>
        <w:t xml:space="preserve">extending </w:t>
      </w:r>
      <w:r w:rsidR="00D66FA3">
        <w:t>their length by 1 base pair and</w:t>
      </w:r>
      <w:r w:rsidR="003041E3">
        <w:t xml:space="preserve"> </w:t>
      </w:r>
      <w:r w:rsidR="00D66FA3">
        <w:t>creating</w:t>
      </w:r>
      <w:r w:rsidR="003041E3">
        <w:t xml:space="preserve"> a GC clamp further</w:t>
      </w:r>
      <w:r w:rsidR="00D66FA3">
        <w:t xml:space="preserve"> increasing</w:t>
      </w:r>
      <w:r w:rsidR="000F2B8A">
        <w:t xml:space="preserve"> binding </w:t>
      </w:r>
      <w:r w:rsidR="00D66FA3">
        <w:t>stability</w:t>
      </w:r>
      <w:r w:rsidR="000F2B8A">
        <w:t>.</w:t>
      </w:r>
    </w:p>
    <w:p w14:paraId="510C0FEC" w14:textId="77777777" w:rsidR="00E74082" w:rsidRDefault="00E74082" w:rsidP="003041E3">
      <w:pPr>
        <w:pStyle w:val="Body"/>
      </w:pPr>
    </w:p>
    <w:p w14:paraId="19368BC5" w14:textId="0E9C362C" w:rsidR="00002F5F" w:rsidRDefault="008B03DE" w:rsidP="003041E3">
      <w:pPr>
        <w:pStyle w:val="Body"/>
      </w:pPr>
      <w:r>
        <w:t xml:space="preserve">Microarrays offer </w:t>
      </w:r>
      <w:r w:rsidR="00574D44">
        <w:t>a significant</w:t>
      </w:r>
      <w:r w:rsidR="00E74082">
        <w:t xml:space="preserve"> increase in </w:t>
      </w:r>
      <w:r w:rsidR="001430E5">
        <w:t xml:space="preserve">capacity </w:t>
      </w:r>
      <w:r>
        <w:t>from large scale</w:t>
      </w:r>
      <w:r w:rsidR="001430E5">
        <w:t xml:space="preserve"> real-time </w:t>
      </w:r>
      <w:r w:rsidR="00B9203B">
        <w:t>PCR providing</w:t>
      </w:r>
      <w:r>
        <w:t xml:space="preserve"> </w:t>
      </w:r>
      <w:r w:rsidR="001430E5">
        <w:t>unbiased miRNA profiling</w:t>
      </w:r>
      <w:r w:rsidR="002121AF">
        <w:t xml:space="preserve"> coving </w:t>
      </w:r>
      <w:r w:rsidR="00E355C5">
        <w:t xml:space="preserve">up to </w:t>
      </w:r>
      <w:r w:rsidR="002121AF">
        <w:t>100% of known and predicted miRNAs</w:t>
      </w:r>
      <w:r w:rsidR="00296FA8">
        <w:t xml:space="preserve"> </w:t>
      </w:r>
      <w:r w:rsidR="001430E5">
        <w:t xml:space="preserve">However, </w:t>
      </w:r>
      <w:r w:rsidR="00002F5F">
        <w:t>due to the nature of the technology dynamic range, sensitivity and specificity are sacrificed.</w:t>
      </w:r>
      <w:r w:rsidR="0076451A">
        <w:t xml:space="preserve"> Additionally</w:t>
      </w:r>
      <w:r w:rsidR="00296FA8">
        <w:t>,</w:t>
      </w:r>
      <w:r w:rsidR="0076451A">
        <w:t xml:space="preserve"> processing and analysis of microarray results requires specialist technical and bioinformatic skills.</w:t>
      </w:r>
    </w:p>
    <w:p w14:paraId="46C22247" w14:textId="4EF6C7EE" w:rsidR="008B03DE" w:rsidRDefault="00574D44" w:rsidP="00574D44">
      <w:pPr>
        <w:pStyle w:val="Body"/>
        <w:tabs>
          <w:tab w:val="left" w:pos="6400"/>
        </w:tabs>
      </w:pPr>
      <w:r>
        <w:tab/>
      </w:r>
    </w:p>
    <w:p w14:paraId="11C4375A" w14:textId="634040A4" w:rsidR="003041E3" w:rsidRDefault="003041E3" w:rsidP="003041E3">
      <w:pPr>
        <w:pStyle w:val="Heading2"/>
        <w:numPr>
          <w:ilvl w:val="2"/>
          <w:numId w:val="7"/>
        </w:numPr>
        <w:spacing w:before="120" w:after="120"/>
      </w:pPr>
      <w:bookmarkStart w:id="67" w:name="_Toc60773872"/>
      <w:r>
        <w:t>Measurement of miRNAs by Next Generation Sequencing</w:t>
      </w:r>
      <w:bookmarkEnd w:id="67"/>
      <w:r>
        <w:t xml:space="preserve"> </w:t>
      </w:r>
    </w:p>
    <w:p w14:paraId="2AB12E9D" w14:textId="7FA2E386" w:rsidR="00220990" w:rsidRDefault="006D47E6" w:rsidP="003C0B1C">
      <w:pPr>
        <w:pStyle w:val="Body"/>
      </w:pPr>
      <w:r>
        <w:t xml:space="preserve">NGS involves the </w:t>
      </w:r>
      <w:r w:rsidR="00004F09">
        <w:t xml:space="preserve">simultaneous </w:t>
      </w:r>
      <w:r>
        <w:t>sequencing of tens of millions of</w:t>
      </w:r>
      <w:r w:rsidR="006D02A0">
        <w:t xml:space="preserve"> </w:t>
      </w:r>
      <w:r>
        <w:t xml:space="preserve">target </w:t>
      </w:r>
      <w:r w:rsidR="003C0B1C">
        <w:t>miRNA</w:t>
      </w:r>
      <w:r w:rsidR="00245089">
        <w:t xml:space="preserve">s </w:t>
      </w:r>
      <w:r>
        <w:t xml:space="preserve">in </w:t>
      </w:r>
      <w:r w:rsidR="006D02A0">
        <w:t>a massively multiplexed</w:t>
      </w:r>
      <w:r w:rsidR="00004F09">
        <w:t xml:space="preserve"> reaction. </w:t>
      </w:r>
    </w:p>
    <w:p w14:paraId="26FF8EBB" w14:textId="77777777" w:rsidR="00086B8E" w:rsidRDefault="00086B8E" w:rsidP="003C0B1C">
      <w:pPr>
        <w:pStyle w:val="Body"/>
      </w:pPr>
    </w:p>
    <w:p w14:paraId="59350B4F" w14:textId="3BD492D6" w:rsidR="0008044E" w:rsidRDefault="00C32868" w:rsidP="003C0B1C">
      <w:pPr>
        <w:pStyle w:val="Body"/>
      </w:pPr>
      <w:r>
        <w:t xml:space="preserve">Whilst several </w:t>
      </w:r>
      <w:r w:rsidR="00245089">
        <w:t xml:space="preserve">competing NGS </w:t>
      </w:r>
      <w:r>
        <w:t>technologies have evolved the market leader is Illumina who</w:t>
      </w:r>
      <w:r w:rsidR="00245089">
        <w:t>’s</w:t>
      </w:r>
      <w:r>
        <w:t xml:space="preserve"> </w:t>
      </w:r>
      <w:r w:rsidR="00245089">
        <w:t>platform builds up</w:t>
      </w:r>
      <w:r>
        <w:t xml:space="preserve"> sequencing by synthesis</w:t>
      </w:r>
      <w:r w:rsidR="001D4ED0">
        <w:t xml:space="preserve"> </w:t>
      </w:r>
      <w:r w:rsidR="00095567">
        <w:rPr>
          <w:rFonts w:eastAsiaTheme="minorEastAsia"/>
          <w:lang w:val="en-US"/>
        </w:rPr>
        <w:fldChar w:fldCharType="begin"/>
      </w:r>
      <w:r w:rsidR="004E19A5">
        <w:rPr>
          <w:rFonts w:eastAsiaTheme="minorEastAsia"/>
          <w:lang w:val="en-US"/>
        </w:rPr>
        <w:instrText xml:space="preserve"> ADDIN PAPERS2_CITATIONS &lt;citation&gt;&lt;priority&gt;65&lt;/priority&gt;&lt;uuid&gt;5EF8C938-9E25-4F23-A857-3D4B578FB5FF&lt;/uuid&gt;&lt;publications&gt;&lt;publication&gt;&lt;subtype&gt;400&lt;/subtype&gt;&lt;title&gt;A tale of three next generation sequencing platforms: comparison of Ion Torrent, Pacific Biosciences and Illumina MiSeq sequencers.&lt;/title&gt;&lt;url&gt;http://eutils.ncbi.nlm.nih.gov/entrez/eutils/elink.fcgi?dbfrom=pubmed&amp;amp;id=22827831&amp;amp;retmode=ref&amp;amp;cmd=prlinks&lt;/url&gt;&lt;volume&gt;13&lt;/volume&gt;&lt;publication_date&gt;99201207241200000000222000&lt;/publication_date&gt;&lt;uuid&gt;D767398E-15C5-4628-A1FD-8602DBCEA8F2&lt;/uuid&gt;&lt;type&gt;400&lt;/type&gt;&lt;accepted_date&gt;99201207121200000000222000&lt;/accepted_date&gt;&lt;submission_date&gt;99201203161200000000222000&lt;/submission_date&gt;&lt;doi&gt;10.1186/1471-2164-13-341&lt;/doi&gt;&lt;institution&gt;Wellcome Trust Sanger Institute, Hinxton, UK. mq1@sanger.ac.uk&lt;/institution&gt;&lt;startpage&gt;341&lt;/startpage&gt;&lt;bundle&gt;&lt;publication&gt;&lt;title&gt;BMC Genomics&lt;/title&gt;&lt;uuid&gt;10151639-B2BE-4658-BDDA-91A2788EFFC5&lt;/uuid&gt;&lt;subtype&gt;-100&lt;/subtype&gt;&lt;publisher&gt;BioMed Central Ltd&lt;/publisher&gt;&lt;type&gt;-100&lt;/type&gt;&lt;/publication&gt;&lt;/bundle&gt;&lt;authors&gt;&lt;author&gt;&lt;lastName&gt;Quail&lt;/lastName&gt;&lt;firstName&gt;Michael&lt;/firstName&gt;&lt;middleNames&gt;A&lt;/middleNames&gt;&lt;/author&gt;&lt;author&gt;&lt;lastName&gt;Smith&lt;/lastName&gt;&lt;firstName&gt;Miriam&lt;/firstName&gt;&lt;/author&gt;&lt;author&gt;&lt;lastName&gt;Coupland&lt;/lastName&gt;&lt;firstName&gt;Paul&lt;/firstName&gt;&lt;/author&gt;&lt;author&gt;&lt;lastName&gt;Otto&lt;/lastName&gt;&lt;firstName&gt;Thomas&lt;/firstName&gt;&lt;middleNames&gt;D&lt;/middleNames&gt;&lt;/author&gt;&lt;author&gt;&lt;lastName&gt;Harris&lt;/lastName&gt;&lt;firstName&gt;Simon&lt;/firstName&gt;&lt;middleNames&gt;R&lt;/middleNames&gt;&lt;/author&gt;&lt;author&gt;&lt;lastName&gt;Connor&lt;/lastName&gt;&lt;firstName&gt;Thomas&lt;/firstName&gt;&lt;middleNames&gt;R&lt;/middleNames&gt;&lt;/author&gt;&lt;author&gt;&lt;lastName&gt;Bertoni&lt;/lastName&gt;&lt;firstName&gt;Anna&lt;/firstName&gt;&lt;/author&gt;&lt;author&gt;&lt;lastName&gt;Swerdlow&lt;/lastName&gt;&lt;firstName&gt;Harold&lt;/firstName&gt;&lt;middleNames&gt;P&lt;/middleNames&gt;&lt;/author&gt;&lt;author&gt;&lt;lastName&gt;Gu&lt;/lastName&gt;&lt;firstName&gt;Yong&lt;/firstName&gt;&lt;/author&gt;&lt;/authors&gt;&lt;/publication&gt;&lt;/publications&gt;&lt;cites&gt;&lt;/cites&gt;&lt;/citation&gt;</w:instrText>
      </w:r>
      <w:r w:rsidR="00095567">
        <w:rPr>
          <w:rFonts w:eastAsiaTheme="minorEastAsia"/>
          <w:lang w:val="en-US"/>
        </w:rPr>
        <w:fldChar w:fldCharType="separate"/>
      </w:r>
      <w:r w:rsidR="00095567">
        <w:rPr>
          <w:rFonts w:eastAsiaTheme="minorEastAsia"/>
          <w:lang w:val="en-US"/>
        </w:rPr>
        <w:t>(Quail et al., 2012)</w:t>
      </w:r>
      <w:r w:rsidR="00095567">
        <w:rPr>
          <w:rFonts w:eastAsiaTheme="minorEastAsia"/>
          <w:lang w:val="en-US"/>
        </w:rPr>
        <w:fldChar w:fldCharType="end"/>
      </w:r>
      <w:r>
        <w:t>.</w:t>
      </w:r>
      <w:r w:rsidR="00245089">
        <w:t xml:space="preserve"> </w:t>
      </w:r>
      <w:r w:rsidR="00E04AB7">
        <w:t xml:space="preserve">Sequencing is performed on a </w:t>
      </w:r>
      <w:proofErr w:type="spellStart"/>
      <w:r w:rsidR="00E04AB7">
        <w:t>flowcell</w:t>
      </w:r>
      <w:proofErr w:type="spellEnd"/>
      <w:r w:rsidR="00E04AB7">
        <w:t xml:space="preserve">, a glass slide with oligonucleotides complementary to terminal sequences upon the sequencing adapters. MiRNAs are ligated to forward and reverse </w:t>
      </w:r>
      <w:r w:rsidR="00FE6264">
        <w:t xml:space="preserve">specific </w:t>
      </w:r>
      <w:r w:rsidR="00E04AB7">
        <w:t>adaptors and hybridised to the flow cell. A single miRNA strand would not be detectable therefore clusters of clones are generated by bridge amplification.</w:t>
      </w:r>
      <w:r w:rsidR="00FE6264">
        <w:t xml:space="preserve"> The sequencing reaction then proceeds by 1 base at a time by incorporating a single reversible fluorescent</w:t>
      </w:r>
      <w:r w:rsidR="00245089">
        <w:t xml:space="preserve"> nucleotide </w:t>
      </w:r>
      <w:r w:rsidR="00FE6264">
        <w:t>terminator to the miRNA clusters. This is excited, read, then the terminator is chemically modified to allow further nucleotide addition and the fluorophore removed. The addition</w:t>
      </w:r>
      <w:r w:rsidR="00BA59BF">
        <w:t xml:space="preserve"> of one base</w:t>
      </w:r>
      <w:r w:rsidR="00FE6264">
        <w:t xml:space="preserve">, detection and resetting of a </w:t>
      </w:r>
      <w:r w:rsidR="00FE6264">
        <w:lastRenderedPageBreak/>
        <w:t>new terminator is then repeated until the whole strand has been read</w:t>
      </w:r>
      <w:r w:rsidR="00BA1D49">
        <w:t xml:space="preserve"> </w:t>
      </w:r>
      <w:r w:rsidR="00095567">
        <w:rPr>
          <w:rFonts w:eastAsiaTheme="minorEastAsia"/>
          <w:lang w:val="en-US"/>
        </w:rPr>
        <w:fldChar w:fldCharType="begin"/>
      </w:r>
      <w:r w:rsidR="004E19A5">
        <w:rPr>
          <w:rFonts w:eastAsiaTheme="minorEastAsia"/>
          <w:lang w:val="en-US"/>
        </w:rPr>
        <w:instrText xml:space="preserve"> ADDIN PAPERS2_CITATIONS &lt;citation&gt;&lt;priority&gt;66&lt;/priority&gt;&lt;uuid&gt;F51997D8-D278-4A0A-A03F-1E8EA06E56AE&lt;/uuid&gt;&lt;publications&gt;&lt;publication&gt;&lt;subtype&gt;400&lt;/subtype&gt;&lt;title&gt;Accurate whole human genome sequencing using reversible terminator chemistry.&lt;/title&gt;&lt;url&gt;http://eutils.ncbi.nlm.nih.gov/entrez/eutils/elink.fcgi?dbfrom=pubmed&amp;amp;id=18987734&amp;amp;retmode=ref&amp;amp;cmd=prlinks&lt;/url&gt;&lt;volume&gt;456&lt;/volume&gt;&lt;publication_date&gt;99200811061200000000222000&lt;/publication_date&gt;&lt;uuid&gt;E3ADB357-517A-4AB2-836A-20F23F108B86&lt;/uuid&gt;&lt;type&gt;400&lt;/type&gt;&lt;accepted_date&gt;99200810021200000000222000&lt;/accepted_date&gt;&lt;number&gt;7218&lt;/number&gt;&lt;submission_date&gt;99200806241200000000222000&lt;/submission_date&gt;&lt;doi&gt;10.1038/nature07517&lt;/doi&gt;&lt;institution&gt;Illumina Cambridge Ltd. (Formerly Solexa Ltd), Chesterford Research Park, Little Chesterford, Nr Saffron Walden, Essex CB10 1XL, UK. dbentley@illumina.com&lt;/institution&gt;&lt;startpage&gt;53&lt;/startpage&gt;&lt;endpage&gt;59&lt;/endpage&gt;&lt;bundle&gt;&lt;publication&gt;&lt;title&gt;Nature&lt;/title&gt;&lt;uuid&gt;946B31F2-0644-4F82-8B52-BDA284907F57&lt;/uuid&gt;&lt;subtype&gt;-100&lt;/subtype&gt;&lt;publisher&gt;NIH Public Access&lt;/publisher&gt;&lt;type&gt;-100&lt;/type&gt;&lt;/publication&gt;&lt;/bundle&gt;&lt;authors&gt;&lt;author&gt;&lt;lastName&gt;Bentley&lt;/lastName&gt;&lt;firstName&gt;David&lt;/firstName&gt;&lt;middleNames&gt;R&lt;/middleNames&gt;&lt;/author&gt;&lt;author&gt;&lt;lastName&gt;Balasubramanian&lt;/lastName&gt;&lt;firstName&gt;Shankar&lt;/firstName&gt;&lt;/author&gt;&lt;author&gt;&lt;lastName&gt;Swerdlow&lt;/lastName&gt;&lt;firstName&gt;Harold&lt;/firstName&gt;&lt;middleNames&gt;P&lt;/middleNames&gt;&lt;/author&gt;&lt;author&gt;&lt;lastName&gt;Smith&lt;/lastName&gt;&lt;firstName&gt;Geoffrey&lt;/firstName&gt;&lt;middleNames&gt;P&lt;/middleNames&gt;&lt;/author&gt;&lt;author&gt;&lt;lastName&gt;Milton&lt;/lastName&gt;&lt;firstName&gt;John&lt;/firstName&gt;&lt;/author&gt;&lt;author&gt;&lt;lastName&gt;Brown&lt;/lastName&gt;&lt;firstName&gt;Clive&lt;/firstName&gt;&lt;middleNames&gt;G&lt;/middleNames&gt;&lt;/author&gt;&lt;author&gt;&lt;lastName&gt;Hall&lt;/lastName&gt;&lt;firstName&gt;Kevin&lt;/firstName&gt;&lt;middleNames&gt;P&lt;/middleNames&gt;&lt;/author&gt;&lt;author&gt;&lt;lastName&gt;Evers&lt;/lastName&gt;&lt;firstName&gt;Dirk&lt;/firstName&gt;&lt;middleNames&gt;J&lt;/middleNames&gt;&lt;/author&gt;&lt;author&gt;&lt;lastName&gt;Barnes&lt;/lastName&gt;&lt;firstName&gt;Colin&lt;/firstName&gt;&lt;middleNames&gt;L&lt;/middleNames&gt;&lt;/author&gt;&lt;author&gt;&lt;lastName&gt;Bignell&lt;/lastName&gt;&lt;firstName&gt;Helen&lt;/firstName&gt;&lt;middleNames&gt;R&lt;/middleNames&gt;&lt;/author&gt;&lt;author&gt;&lt;lastName&gt;Boutell&lt;/lastName&gt;&lt;firstName&gt;Jonathan&lt;/firstName&gt;&lt;middleNames&gt;M&lt;/middleNames&gt;&lt;/author&gt;&lt;author&gt;&lt;lastName&gt;Bryant&lt;/lastName&gt;&lt;firstName&gt;Jason&lt;/firstName&gt;&lt;/author&gt;&lt;author&gt;&lt;lastName&gt;Carter&lt;/lastName&gt;&lt;firstName&gt;Richard&lt;/firstName&gt;&lt;middleNames&gt;J&lt;/middleNames&gt;&lt;/author&gt;&lt;author&gt;&lt;lastName&gt;Keira Cheetham&lt;/lastName&gt;&lt;firstName&gt;R&lt;/firstName&gt;&lt;/author&gt;&lt;author&gt;&lt;lastName&gt;Cox&lt;/lastName&gt;&lt;firstName&gt;Anthony&lt;/firstName&gt;&lt;middleNames&gt;J&lt;/middleNames&gt;&lt;/author&gt;&lt;author&gt;&lt;lastName&gt;Ellis&lt;/lastName&gt;&lt;firstName&gt;Darren&lt;/firstName&gt;&lt;middleNames&gt;J&lt;/middleNames&gt;&lt;/author&gt;&lt;author&gt;&lt;lastName&gt;Flatbush&lt;/lastName&gt;&lt;firstName&gt;Michael&lt;/firstName&gt;&lt;middleNames&gt;R&lt;/middleNames&gt;&lt;/author&gt;&lt;author&gt;&lt;lastName&gt;Gormley&lt;/lastName&gt;&lt;firstName&gt;Niall&lt;/firstName&gt;&lt;middleNames&gt;A&lt;/middleNames&gt;&lt;/author&gt;&lt;author&gt;&lt;lastName&gt;Humphray&lt;/lastName&gt;&lt;firstName&gt;Sean&lt;/firstName&gt;&lt;middleNames&gt;J&lt;/middleNames&gt;&lt;/author&gt;&lt;author&gt;&lt;lastName&gt;Irving&lt;/lastName&gt;&lt;firstName&gt;Leslie&lt;/firstName&gt;&lt;middleNames&gt;J&lt;/middleNames&gt;&lt;/author&gt;&lt;author&gt;&lt;lastName&gt;Karbelashvili&lt;/lastName&gt;&lt;firstName&gt;Mirian&lt;/firstName&gt;&lt;middleNames&gt;S&lt;/middleNames&gt;&lt;/author&gt;&lt;author&gt;&lt;lastName&gt;Kirk&lt;/lastName&gt;&lt;firstName&gt;Scott&lt;/firstName&gt;&lt;middleNames&gt;M&lt;/middleNames&gt;&lt;/author&gt;&lt;author&gt;&lt;lastName&gt;Li&lt;/lastName&gt;&lt;firstName&gt;Heng&lt;/firstName&gt;&lt;/author&gt;&lt;author&gt;&lt;lastName&gt;Liu&lt;/lastName&gt;&lt;firstName&gt;Xiaohai&lt;/firstName&gt;&lt;/author&gt;&lt;author&gt;&lt;lastName&gt;Maisinger&lt;/lastName&gt;&lt;firstName&gt;Klaus&lt;/firstName&gt;&lt;middleNames&gt;S&lt;/middleNames&gt;&lt;/author&gt;&lt;author&gt;&lt;lastName&gt;Murray&lt;/lastName&gt;&lt;firstName&gt;Lisa&lt;/firstName&gt;&lt;middleNames&gt;J&lt;/middleNames&gt;&lt;/author&gt;&lt;author&gt;&lt;lastName&gt;Obradovic&lt;/lastName&gt;&lt;firstName&gt;Bojan&lt;/firstName&gt;&lt;/author&gt;&lt;author&gt;&lt;lastName&gt;Ost&lt;/lastName&gt;&lt;firstName&gt;Tobias&lt;/firstName&gt;&lt;/author&gt;&lt;author&gt;&lt;lastName&gt;Parkinson&lt;/lastName&gt;&lt;firstName&gt;Michael&lt;/firstName&gt;&lt;middleNames&gt;L&lt;/middleNames&gt;&lt;/author&gt;&lt;author&gt;&lt;lastName&gt;Pratt&lt;/lastName&gt;&lt;firstName&gt;Mark&lt;/firstName&gt;&lt;middleNames&gt;R&lt;/middleNames&gt;&lt;/author&gt;&lt;author&gt;&lt;lastName&gt;Rasolonjatovo&lt;/lastName&gt;&lt;firstName&gt;Isabelle&lt;/firstName&gt;&lt;middleNames&gt;M J&lt;/middleNames&gt;&lt;/author&gt;&lt;author&gt;&lt;lastName&gt;Reed&lt;/lastName&gt;&lt;firstName&gt;Mark&lt;/firstName&gt;&lt;middleNames&gt;T&lt;/middleNames&gt;&lt;/author&gt;&lt;author&gt;&lt;lastName&gt;Rigatti&lt;/lastName&gt;&lt;firstName&gt;Roberto&lt;/firstName&gt;&lt;/author&gt;&lt;author&gt;&lt;lastName&gt;Rodighiero&lt;/lastName&gt;&lt;firstName&gt;Chiara&lt;/firstName&gt;&lt;/author&gt;&lt;author&gt;&lt;lastName&gt;Ross&lt;/lastName&gt;&lt;firstName&gt;Mark&lt;/firstName&gt;&lt;middleNames&gt;T&lt;/middleNames&gt;&lt;/author&gt;&lt;author&gt;&lt;lastName&gt;Sabot&lt;/lastName&gt;&lt;firstName&gt;Andrea&lt;/firstName&gt;&lt;/author&gt;&lt;author&gt;&lt;lastName&gt;Sankar&lt;/lastName&gt;&lt;firstName&gt;Subramanian&lt;/firstName&gt;&lt;middleNames&gt;V&lt;/middleNames&gt;&lt;/author&gt;&lt;author&gt;&lt;lastName&gt;Scally&lt;/lastName&gt;&lt;firstName&gt;Aylwyn&lt;/firstName&gt;&lt;/author&gt;&lt;author&gt;&lt;lastName&gt;Schroth&lt;/lastName&gt;&lt;firstName&gt;Gary&lt;/firstName&gt;&lt;middleNames&gt;P&lt;/middleNames&gt;&lt;/author&gt;&lt;author&gt;&lt;lastName&gt;Smith&lt;/lastName&gt;&lt;firstName&gt;Mark&lt;/firstName&gt;&lt;middleNames&gt;E&lt;/middleNames&gt;&lt;/author&gt;&lt;author&gt;&lt;lastName&gt;Smith&lt;/lastName&gt;&lt;firstName&gt;Vincent&lt;/firstName&gt;&lt;middleNames&gt;P&lt;/middleNames&gt;&lt;/author&gt;&lt;author&gt;&lt;lastName&gt;Spiridou&lt;/lastName&gt;&lt;firstName&gt;Anastassia&lt;/firstName&gt;&lt;/author&gt;&lt;author&gt;&lt;lastName&gt;Torrance&lt;/lastName&gt;&lt;firstName&gt;Peta&lt;/firstName&gt;&lt;middleNames&gt;E&lt;/middleNames&gt;&lt;/author&gt;&lt;author&gt;&lt;lastName&gt;Tzonev&lt;/lastName&gt;&lt;firstName&gt;Svilen&lt;/firstName&gt;&lt;middleNames&gt;S&lt;/middleNames&gt;&lt;/author&gt;&lt;author&gt;&lt;lastName&gt;Vermaas&lt;/lastName&gt;&lt;firstName&gt;Eric&lt;/firstName&gt;&lt;middleNames&gt;H&lt;/middleNames&gt;&lt;/author&gt;&lt;author&gt;&lt;lastName&gt;Walter&lt;/lastName&gt;&lt;firstName&gt;Klaudia&lt;/firstName&gt;&lt;/author&gt;&lt;author&gt;&lt;lastName&gt;Wu&lt;/lastName&gt;&lt;firstName&gt;Xiaolin&lt;/firstName&gt;&lt;/author&gt;&lt;author&gt;&lt;lastName&gt;Zhang&lt;/lastName&gt;&lt;firstName&gt;Lu&lt;/firstName&gt;&lt;/author&gt;&lt;author&gt;&lt;lastName&gt;Alam&lt;/lastName&gt;&lt;firstName&gt;Mohammed&lt;/firstName&gt;&lt;middleNames&gt;D&lt;/middleNames&gt;&lt;/author&gt;&lt;author&gt;&lt;lastName&gt;Anastasi&lt;/lastName&gt;&lt;firstName&gt;Carole&lt;/firstName&gt;&lt;/author&gt;&lt;author&gt;&lt;lastName&gt;Aniebo&lt;/lastName&gt;&lt;firstName&gt;Ify&lt;/firstName&gt;&lt;middleNames&gt;C&lt;/middleNames&gt;&lt;/author&gt;&lt;author&gt;&lt;lastName&gt;Bailey&lt;/lastName&gt;&lt;firstName&gt;David&lt;/firstName&gt;&lt;middleNames&gt;M D&lt;/middleNames&gt;&lt;/author&gt;&lt;author&gt;&lt;lastName&gt;Bancarz&lt;/lastName&gt;&lt;firstName&gt;Iain&lt;/firstName&gt;&lt;middleNames&gt;R&lt;/middleNames&gt;&lt;/author&gt;&lt;author&gt;&lt;lastName&gt;Banerjee&lt;/lastName&gt;&lt;firstName&gt;Saibal&lt;/firstName&gt;&lt;/author&gt;&lt;author&gt;&lt;lastName&gt;Barbour&lt;/lastName&gt;&lt;firstName&gt;Selena&lt;/firstName&gt;&lt;middleNames&gt;G&lt;/middleNames&gt;&lt;/author&gt;&lt;author&gt;&lt;lastName&gt;Baybayan&lt;/lastName&gt;&lt;firstName&gt;Primo&lt;/firstName&gt;&lt;middleNames&gt;A&lt;/middleNames&gt;&lt;/author&gt;&lt;author&gt;&lt;lastName&gt;Benoit&lt;/lastName&gt;&lt;firstName&gt;Vincent&lt;/firstName&gt;&lt;middleNames&gt;A&lt;/middleNames&gt;&lt;/author&gt;&lt;author&gt;&lt;lastName&gt;Benson&lt;/lastName&gt;&lt;firstName&gt;Kevin&lt;/firstName&gt;&lt;middleNames&gt;F&lt;/middleNames&gt;&lt;/author&gt;&lt;author&gt;&lt;lastName&gt;Bevis&lt;/lastName&gt;&lt;firstName&gt;Claire&lt;/firstName&gt;&lt;/author&gt;&lt;author&gt;&lt;lastName&gt;Black&lt;/lastName&gt;&lt;firstName&gt;Phillip&lt;/firstName&gt;&lt;middleNames&gt;J&lt;/middleNames&gt;&lt;/author&gt;&lt;author&gt;&lt;lastName&gt;Boodhun&lt;/lastName&gt;&lt;firstName&gt;Asha&lt;/firstName&gt;&lt;/author&gt;&lt;author&gt;&lt;lastName&gt;Brennan&lt;/lastName&gt;&lt;firstName&gt;Joe&lt;/firstName&gt;&lt;middleNames&gt;S&lt;/middleNames&gt;&lt;/author&gt;&lt;author&gt;&lt;lastName&gt;Bridgham&lt;/lastName&gt;&lt;firstName&gt;John&lt;/firstName&gt;&lt;middleNames&gt;A&lt;/middleNames&gt;&lt;/author&gt;&lt;author&gt;&lt;lastName&gt;Brown&lt;/lastName&gt;&lt;firstName&gt;Rob&lt;/firstName&gt;&lt;middleNames&gt;C&lt;/middleNames&gt;&lt;/author&gt;&lt;author&gt;&lt;lastName&gt;Brown&lt;/lastName&gt;&lt;firstName&gt;Andrew&lt;/firstName&gt;&lt;middleNames&gt;A&lt;/middleNames&gt;&lt;/author&gt;&lt;author&gt;&lt;lastName&gt;Buermann&lt;/lastName&gt;&lt;firstName&gt;Dale&lt;/firstName&gt;&lt;middleNames&gt;H&lt;/middleNames&gt;&lt;/author&gt;&lt;author&gt;&lt;lastName&gt;Bundu&lt;/lastName&gt;&lt;firstName&gt;Abass&lt;/firstName&gt;&lt;middleNames&gt;A&lt;/middleNames&gt;&lt;/author&gt;&lt;author&gt;&lt;lastName&gt;Burrows&lt;/lastName&gt;&lt;firstName&gt;James&lt;/firstName&gt;&lt;middleNames&gt;C&lt;/middleNames&gt;&lt;/author&gt;&lt;author&gt;&lt;lastName&gt;Carter&lt;/lastName&gt;&lt;firstName&gt;Nigel&lt;/firstName&gt;&lt;middleNames&gt;P&lt;/middleNames&gt;&lt;/author&gt;&lt;author&gt;&lt;lastName&gt;Castillo&lt;/lastName&gt;&lt;firstName&gt;Nestor&lt;/firstName&gt;&lt;/author&gt;&lt;author&gt;&lt;lastName&gt;Chiara E Catenazzi&lt;/lastName&gt;&lt;firstName&gt;Maria&lt;/firstName&gt;&lt;/author&gt;&lt;author&gt;&lt;lastName&gt;Chang&lt;/lastName&gt;&lt;firstName&gt;Simon&lt;/firstName&gt;&lt;/author&gt;&lt;author&gt;&lt;lastName&gt;Neil Cooley&lt;/lastName&gt;&lt;firstName&gt;R&lt;/firstName&gt;&lt;/author&gt;&lt;author&gt;&lt;lastName&gt;Crake&lt;/lastName&gt;&lt;firstName&gt;Natasha&lt;/firstName&gt;&lt;middleNames&gt;R&lt;/middleNames&gt;&lt;/author&gt;&lt;author&gt;&lt;lastName&gt;Dada&lt;/lastName&gt;&lt;firstName&gt;Olubunmi&lt;/firstName&gt;&lt;middleNames&gt;O&lt;/middleNames&gt;&lt;/author&gt;&lt;author&gt;&lt;lastName&gt;Diakoumakos&lt;/lastName&gt;&lt;firstName&gt;Konstantinos&lt;/firstName&gt;&lt;middleNames&gt;D&lt;/middleNames&gt;&lt;/author&gt;&lt;author&gt;&lt;lastName&gt;Dominguez-Fernandez&lt;/lastName&gt;&lt;firstName&gt;Belen&lt;/firstName&gt;&lt;/author&gt;&lt;author&gt;&lt;lastName&gt;Earnshaw&lt;/lastName&gt;&lt;firstName&gt;David&lt;/firstName&gt;&lt;middleNames&gt;J&lt;/middleNames&gt;&lt;/author&gt;&lt;author&gt;&lt;lastName&gt;Egbujor&lt;/lastName&gt;&lt;firstName&gt;Ugonna&lt;/firstName&gt;&lt;middleNames&gt;C&lt;/middleNames&gt;&lt;/author&gt;&lt;author&gt;&lt;lastName&gt;Elmore&lt;/lastName&gt;&lt;firstName&gt;David&lt;/firstName&gt;&lt;middleNames&gt;W&lt;/middleNames&gt;&lt;/author&gt;&lt;author&gt;&lt;lastName&gt;Etchin&lt;/lastName&gt;&lt;firstName&gt;Sergey&lt;/firstName&gt;&lt;middleNames&gt;S&lt;/middleNames&gt;&lt;/author&gt;&lt;author&gt;&lt;lastName&gt;Ewan&lt;/lastName&gt;&lt;firstName&gt;Mark&lt;/firstName&gt;&lt;middleNames&gt;R&lt;/middleNames&gt;&lt;/author&gt;&lt;author&gt;&lt;lastName&gt;Fedurco&lt;/lastName&gt;&lt;firstName&gt;Milan&lt;/firstName&gt;&lt;/author&gt;&lt;author&gt;&lt;lastName&gt;Fraser&lt;/lastName&gt;&lt;firstName&gt;Louise&lt;/firstName&gt;&lt;middleNames&gt;J&lt;/middleNames&gt;&lt;/author&gt;&lt;author&gt;&lt;lastName&gt;Fuentes Fajardo&lt;/lastName&gt;&lt;firstName&gt;Karin&lt;/firstName&gt;&lt;middleNames&gt;V&lt;/middleNames&gt;&lt;/author&gt;&lt;author&gt;&lt;lastName&gt;Scott Furey&lt;/lastName&gt;&lt;firstName&gt;W&lt;/firstName&gt;&lt;/author&gt;&lt;author&gt;&lt;lastName&gt;George&lt;/lastName&gt;&lt;firstName&gt;David&lt;/firstName&gt;&lt;/author&gt;&lt;author&gt;&lt;lastName&gt;Gietzen&lt;/lastName&gt;&lt;firstName&gt;Kimberley&lt;/firstName&gt;&lt;middleNames&gt;J&lt;/middleNames&gt;&lt;/author&gt;&lt;author&gt;&lt;lastName&gt;Goddard&lt;/lastName&gt;&lt;firstName&gt;Colin&lt;/firstName&gt;&lt;middleNames&gt;P&lt;/middleNames&gt;&lt;/author&gt;&lt;author&gt;&lt;lastName&gt;Golda&lt;/lastName&gt;&lt;firstName&gt;George&lt;/firstName&gt;&lt;middleNames&gt;S&lt;/middleNames&gt;&lt;/author&gt;&lt;author&gt;&lt;lastName&gt;Granieri&lt;/lastName&gt;&lt;firstName&gt;Philip&lt;/firstName&gt;&lt;middleNames&gt;A&lt;/middleNames&gt;&lt;/author&gt;&lt;author&gt;&lt;lastName&gt;Green&lt;/lastName&gt;&lt;firstName&gt;David&lt;/firstName&gt;&lt;middleNames&gt;E&lt;/middleNames&gt;&lt;/author&gt;&lt;author&gt;&lt;lastName&gt;Gustafson&lt;/lastName&gt;&lt;firstName&gt;David&lt;/firstName&gt;&lt;middleNames&gt;L&lt;/middleNames&gt;&lt;/author&gt;&lt;author&gt;&lt;lastName&gt;Hansen&lt;/lastName&gt;&lt;firstName&gt;Nancy&lt;/firstName&gt;&lt;middleNames&gt;F&lt;/middleNames&gt;&lt;/author&gt;&lt;author&gt;&lt;lastName&gt;Harnish&lt;/lastName&gt;&lt;firstName&gt;Kevin&lt;/firstName&gt;&lt;/author&gt;&lt;author&gt;&lt;lastName&gt;Haudenschild&lt;/lastName&gt;&lt;firstName&gt;Christian&lt;/firstName&gt;&lt;middleNames&gt;D&lt;/middleNames&gt;&lt;/author&gt;&lt;author&gt;&lt;lastName&gt;Heyer&lt;/lastName&gt;&lt;firstName&gt;Narinder&lt;/firstName&gt;&lt;middleNames&gt;I&lt;/middleNames&gt;&lt;/author&gt;&lt;author&gt;&lt;lastName&gt;Hims&lt;/lastName&gt;&lt;firstName&gt;Matthew&lt;/firstName&gt;&lt;middleNames&gt;M&lt;/middleNames&gt;&lt;/author&gt;&lt;author&gt;&lt;lastName&gt;Ho&lt;/lastName&gt;&lt;firstName&gt;Johnny&lt;/firstName&gt;&lt;middleNames&gt;T&lt;/middleNames&gt;&lt;/author&gt;&lt;author&gt;&lt;lastName&gt;Horgan&lt;/lastName&gt;&lt;firstName&gt;Adrian&lt;/firstName&gt;&lt;middleNames&gt;M&lt;/middleNames&gt;&lt;/author&gt;&lt;author&gt;&lt;lastName&gt;Hoschler&lt;/lastName&gt;&lt;firstName&gt;Katya&lt;/firstName&gt;&lt;/author&gt;&lt;author&gt;&lt;lastName&gt;Hurwitz&lt;/lastName&gt;&lt;firstName&gt;Steve&lt;/firstName&gt;&lt;/author&gt;&lt;author&gt;&lt;lastName&gt;Ivanov&lt;/lastName&gt;&lt;firstName&gt;Denis&lt;/firstName&gt;&lt;middleNames&gt;V&lt;/middleNames&gt;&lt;/author&gt;&lt;author&gt;&lt;lastName&gt;Johnson&lt;/lastName&gt;&lt;firstName&gt;Maria&lt;/firstName&gt;&lt;middleNames&gt;Q&lt;/middleNames&gt;&lt;/author&gt;&lt;author&gt;&lt;lastName&gt;James&lt;/lastName&gt;&lt;firstName&gt;Terena&lt;/firstName&gt;&lt;/author&gt;&lt;author&gt;&lt;lastName&gt;Huw Jones&lt;/lastName&gt;&lt;firstName&gt;T&lt;/firstName&gt;&lt;middleNames&gt;A&lt;/middleNames&gt;&lt;/author&gt;&lt;author&gt;&lt;lastName&gt;Kang&lt;/lastName&gt;&lt;firstName&gt;Gyoung-Dong&lt;/firstName&gt;&lt;/author&gt;&lt;author&gt;&lt;lastName&gt;Kerelska&lt;/lastName&gt;&lt;firstName&gt;Tzvetana&lt;/firstName&gt;&lt;middleNames&gt;H&lt;/middleNames&gt;&lt;/author&gt;&lt;author&gt;&lt;lastName&gt;Kersey&lt;/lastName&gt;&lt;firstName&gt;Alan&lt;/firstName&gt;&lt;middleNames&gt;D&lt;/middleNames&gt;&lt;/author&gt;&lt;author&gt;&lt;lastName&gt;Khrebtukova&lt;/lastName&gt;&lt;firstName&gt;Irina&lt;/firstName&gt;&lt;/author&gt;&lt;author&gt;&lt;lastName&gt;Kindwall&lt;/lastName&gt;&lt;firstName&gt;Alex&lt;/firstName&gt;&lt;middleNames&gt;P&lt;/middleNames&gt;&lt;/author&gt;&lt;author&gt;&lt;lastName&gt;Kingsbury&lt;/lastName&gt;&lt;firstName&gt;Zoya&lt;/firstName&gt;&lt;/author&gt;&lt;author&gt;&lt;lastName&gt;Kokko-Gonzales&lt;/lastName&gt;&lt;firstName&gt;Paula&lt;/firstName&gt;&lt;middleNames&gt;I&lt;/middleNames&gt;&lt;/author&gt;&lt;author&gt;&lt;lastName&gt;Kumar&lt;/lastName&gt;&lt;firstName&gt;Anil&lt;/firstName&gt;&lt;/author&gt;&lt;author&gt;&lt;lastName&gt;Laurent&lt;/lastName&gt;&lt;firstName&gt;Marc&lt;/firstName&gt;&lt;middleNames&gt;A&lt;/middleNames&gt;&lt;/author&gt;&lt;author&gt;&lt;lastName&gt;Lawley&lt;/lastName&gt;&lt;firstName&gt;Cynthia&lt;/firstName&gt;&lt;middleNames&gt;T&lt;/middleNames&gt;&lt;/author&gt;&lt;author&gt;&lt;lastName&gt;Lee&lt;/lastName&gt;&lt;firstName&gt;Sarah&lt;/firstName&gt;&lt;middleNames&gt;E&lt;/middleNames&gt;&lt;/author&gt;&lt;author&gt;&lt;lastName&gt;Lee&lt;/lastName&gt;&lt;firstName&gt;Xavier&lt;/firstName&gt;&lt;/author&gt;&lt;author&gt;&lt;lastName&gt;Liao&lt;/lastName&gt;&lt;firstName&gt;Arnold&lt;/firstName&gt;&lt;middleNames&gt;K&lt;/middleNames&gt;&lt;/author&gt;&lt;author&gt;&lt;lastName&gt;Loch&lt;/lastName&gt;&lt;firstName&gt;Jennifer&lt;/firstName&gt;&lt;middleNames&gt;A&lt;/middleNames&gt;&lt;/author&gt;&lt;author&gt;&lt;lastName&gt;Lok&lt;/lastName&gt;&lt;firstName&gt;Mitch&lt;/firstName&gt;&lt;/author&gt;&lt;author&gt;&lt;lastName&gt;Luo&lt;/lastName&gt;&lt;firstName&gt;Shujun&lt;/firstName&gt;&lt;/author&gt;&lt;author&gt;&lt;lastName&gt;Mammen&lt;/lastName&gt;&lt;firstName&gt;Radhika&lt;/firstName&gt;&lt;middleNames&gt;M&lt;/middleNames&gt;&lt;/author&gt;&lt;author&gt;&lt;lastName&gt;Martin&lt;/lastName&gt;&lt;firstName&gt;John&lt;/firstName&gt;&lt;middleNames&gt;W&lt;/middleNames&gt;&lt;/author&gt;&lt;author&gt;&lt;lastName&gt;McCauley&lt;/lastName&gt;&lt;firstName&gt;Patrick&lt;/firstName&gt;&lt;middleNames&gt;G&lt;/middleNames&gt;&lt;/author&gt;&lt;author&gt;&lt;lastName&gt;McNitt&lt;/lastName&gt;&lt;firstName&gt;Paul&lt;/firstName&gt;&lt;/author&gt;&lt;author&gt;&lt;lastName&gt;Mehta&lt;/lastName&gt;&lt;firstName&gt;Parul&lt;/firstName&gt;&lt;/author&gt;&lt;author&gt;&lt;lastName&gt;Moon&lt;/lastName&gt;&lt;firstName&gt;Keith&lt;/firstName&gt;&lt;middleNames&gt;W&lt;/middleNames&gt;&lt;/author&gt;&lt;author&gt;&lt;lastName&gt;Mullens&lt;/lastName&gt;&lt;firstName&gt;Joe&lt;/firstName&gt;&lt;middleNames&gt;W&lt;/middleNames&gt;&lt;/author&gt;&lt;author&gt;&lt;lastName&gt;Newington&lt;/lastName&gt;&lt;firstName&gt;Taksina&lt;/firstName&gt;&lt;/author&gt;&lt;author&gt;&lt;lastName&gt;Ning&lt;/lastName&gt;&lt;firstName&gt;Zemin&lt;/firstName&gt;&lt;/author&gt;&lt;author&gt;&lt;lastName&gt;Ling Ng&lt;/lastName&gt;&lt;firstName&gt;Bee&lt;/firstName&gt;&lt;/author&gt;&lt;author&gt;&lt;lastName&gt;Novo&lt;/lastName&gt;&lt;firstName&gt;Sonia&lt;/firstName&gt;&lt;middleNames&gt;M&lt;/middleNames&gt;&lt;/author&gt;&lt;author&gt;&lt;lastName&gt;O’Neill&lt;/lastName&gt;&lt;firstName&gt;Michael&lt;/firstName&gt;&lt;middleNames&gt;J&lt;/middleNames&gt;&lt;/author&gt;&lt;author&gt;&lt;lastName&gt;Osborne&lt;/lastName&gt;&lt;firstName&gt;Mark&lt;/firstName&gt;&lt;middleNames&gt;A&lt;/middleNames&gt;&lt;/author&gt;&lt;author&gt;&lt;lastName&gt;Osnowski&lt;/lastName&gt;&lt;firstName&gt;Andrew&lt;/firstName&gt;&lt;/author&gt;&lt;author&gt;&lt;lastName&gt;Ostadan&lt;/lastName&gt;&lt;firstName&gt;Omead&lt;/firstName&gt;&lt;/author&gt;&lt;author&gt;&lt;lastName&gt;Paraschos&lt;/lastName&gt;&lt;firstName&gt;Lambros&lt;/firstName&gt;&lt;middleNames&gt;L&lt;/middleNames&gt;&lt;/author&gt;&lt;author&gt;&lt;lastName&gt;Pickering&lt;/lastName&gt;&lt;firstName&gt;Lea&lt;/firstName&gt;&lt;/author&gt;&lt;author&gt;&lt;lastName&gt;Pike&lt;/lastName&gt;&lt;firstName&gt;Andrew&lt;/firstName&gt;&lt;middleNames&gt;C&lt;/middleNames&gt;&lt;/author&gt;&lt;author&gt;&lt;lastName&gt;Pike&lt;/lastName&gt;&lt;firstName&gt;Alger&lt;/firstName&gt;&lt;middleNames&gt;C&lt;/middleNames&gt;&lt;/author&gt;&lt;author&gt;&lt;lastName&gt;Chris Pinkard&lt;/lastName&gt;&lt;firstName&gt;D&lt;/firstName&gt;&lt;/author&gt;&lt;author&gt;&lt;lastName&gt;Pliskin&lt;/lastName&gt;&lt;firstName&gt;Daniel&lt;/firstName&gt;&lt;middleNames&gt;P&lt;/middleNames&gt;&lt;/author&gt;&lt;author&gt;&lt;lastName&gt;Podhasky&lt;/lastName&gt;&lt;firstName&gt;Joe&lt;/firstName&gt;&lt;/author&gt;&lt;author&gt;&lt;lastName&gt;Quijano&lt;/lastName&gt;&lt;firstName&gt;Victor&lt;/firstName&gt;&lt;middleNames&gt;J&lt;/middleNames&gt;&lt;/author&gt;&lt;author&gt;&lt;lastName&gt;Raczy&lt;/lastName&gt;&lt;firstName&gt;Come&lt;/firstName&gt;&lt;/author&gt;&lt;author&gt;&lt;lastName&gt;Rae&lt;/lastName&gt;&lt;firstName&gt;Vicki&lt;/firstName&gt;&lt;middleNames&gt;H&lt;/middleNames&gt;&lt;/author&gt;&lt;author&gt;&lt;lastName&gt;Rawlings&lt;/lastName&gt;&lt;firstName&gt;Stephen&lt;/firstName&gt;&lt;middleNames&gt;R&lt;/middleNames&gt;&lt;/author&gt;&lt;author&gt;&lt;lastName&gt;Chiva Rodriguez&lt;/lastName&gt;&lt;firstName&gt;Ana&lt;/firstName&gt;&lt;/author&gt;&lt;author&gt;&lt;lastName&gt;Roe&lt;/lastName&gt;&lt;firstName&gt;Phyllida&lt;/firstName&gt;&lt;middleNames&gt;M&lt;/middleNames&gt;&lt;/author&gt;&lt;author&gt;&lt;lastName&gt;Rogers&lt;/lastName&gt;&lt;firstName&gt;John&lt;/firstName&gt;&lt;/author&gt;&lt;author&gt;&lt;lastName&gt;Rogert Bacigalupo&lt;/lastName&gt;&lt;firstName&gt;Maria&lt;/firstName&gt;&lt;middleNames&gt;C&lt;/middleNames&gt;&lt;/author&gt;&lt;author&gt;&lt;lastName&gt;Romanov&lt;/lastName&gt;&lt;firstName&gt;Nikolai&lt;/firstName&gt;&lt;/author&gt;&lt;author&gt;&lt;lastName&gt;Romieu&lt;/lastName&gt;&lt;firstName&gt;Anthony&lt;/firstName&gt;&lt;/author&gt;&lt;author&gt;&lt;lastName&gt;Roth&lt;/lastName&gt;&lt;firstName&gt;Rithy&lt;/firstName&gt;&lt;middleNames&gt;K&lt;/middleNames&gt;&lt;/author&gt;&lt;author&gt;&lt;lastName&gt;Rourke&lt;/lastName&gt;&lt;firstName&gt;Natalie&lt;/firstName&gt;&lt;middleNames&gt;J&lt;/middleNames&gt;&lt;/author&gt;&lt;author&gt;&lt;lastName&gt;Ruediger&lt;/lastName&gt;&lt;firstName&gt;Silke&lt;/firstName&gt;&lt;middleNames&gt;T&lt;/middleNames&gt;&lt;/author&gt;&lt;author&gt;&lt;lastName&gt;Rusman&lt;/lastName&gt;&lt;firstName&gt;Eli&lt;/firstName&gt;&lt;/author&gt;&lt;author&gt;&lt;lastName&gt;Sanches-Kuiper&lt;/lastName&gt;&lt;firstName&gt;Raquel&lt;/firstName&gt;&lt;middleNames&gt;M&lt;/middleNames&gt;&lt;/author&gt;&lt;author&gt;&lt;lastName&gt;Schenker&lt;/lastName&gt;&lt;firstName&gt;Martin&lt;/firstName&gt;&lt;middleNames&gt;R&lt;/middleNames&gt;&lt;/author&gt;&lt;author&gt;&lt;lastName&gt;Seoane&lt;/lastName&gt;&lt;firstName&gt;Josefina&lt;/firstName&gt;&lt;middleNames&gt;M&lt;/middleNames&gt;&lt;/author&gt;&lt;author&gt;&lt;lastName&gt;Shaw&lt;/lastName&gt;&lt;firstName&gt;Richard&lt;/firstName&gt;&lt;middleNames&gt;J&lt;/middleNames&gt;&lt;/author&gt;&lt;author&gt;&lt;lastName&gt;Shiver&lt;/lastName&gt;&lt;firstName&gt;Mitch&lt;/firstName&gt;&lt;middleNames&gt;K&lt;/middleNames&gt;&lt;/author&gt;&lt;author&gt;&lt;lastName&gt;Short&lt;/lastName&gt;&lt;firstName&gt;Steven&lt;/firstName&gt;&lt;middleNames&gt;W&lt;/middleNames&gt;&lt;/author&gt;&lt;author&gt;&lt;lastName&gt;Sizto&lt;/lastName&gt;&lt;firstName&gt;Ning&lt;/firstName&gt;&lt;middleNames&gt;L&lt;/middleNames&gt;&lt;/author&gt;&lt;author&gt;&lt;lastName&gt;Sluis&lt;/lastName&gt;&lt;firstName&gt;Johannes&lt;/firstName&gt;&lt;middleNames&gt;P&lt;/middleNames&gt;&lt;/author&gt;&lt;author&gt;&lt;lastName&gt;Smith&lt;/lastName&gt;&lt;firstName&gt;Melanie&lt;/firstName&gt;&lt;middleNames&gt;A&lt;/middleNames&gt;&lt;/author&gt;&lt;author&gt;&lt;lastName&gt;Ernest Sohna Sohna&lt;/lastName&gt;&lt;firstName&gt;Jean&lt;/firstName&gt;&lt;/author&gt;&lt;author&gt;&lt;lastName&gt;Spence&lt;/lastName&gt;&lt;firstName&gt;Eric&lt;/firstName&gt;&lt;middleNames&gt;J&lt;/middleNames&gt;&lt;/author&gt;&lt;author&gt;&lt;lastName&gt;Stevens&lt;/lastName&gt;&lt;firstName&gt;Kim&lt;/firstName&gt;&lt;/author&gt;&lt;author&gt;&lt;lastName&gt;Sutton&lt;/lastName&gt;&lt;firstName&gt;Neil&lt;/firstName&gt;&lt;/author&gt;&lt;author&gt;&lt;lastName&gt;Szajkowski&lt;/lastName&gt;&lt;firstName&gt;Lukasz&lt;/firstName&gt;&lt;/author&gt;&lt;author&gt;&lt;lastName&gt;Tregidgo&lt;/lastName&gt;&lt;firstName&gt;Carolyn&lt;/firstName&gt;&lt;middleNames&gt;L&lt;/middleNames&gt;&lt;/author&gt;&lt;author&gt;&lt;lastName&gt;Turcatti&lt;/lastName&gt;&lt;firstName&gt;Gerardo&lt;/firstName&gt;&lt;/author&gt;&lt;author&gt;&lt;lastName&gt;vandeVondele&lt;/lastName&gt;&lt;firstName&gt;Stephanie&lt;/firstName&gt;&lt;/author&gt;&lt;author&gt;&lt;lastName&gt;Verhovsky&lt;/lastName&gt;&lt;firstName&gt;Yuli&lt;/firstName&gt;&lt;/author&gt;&lt;author&gt;&lt;lastName&gt;Virk&lt;/lastName&gt;&lt;firstName&gt;Selene&lt;/firstName&gt;&lt;middleNames&gt;M&lt;/middleNames&gt;&lt;/author&gt;&lt;author&gt;&lt;lastName&gt;Wakelin&lt;/lastName&gt;&lt;firstName&gt;Suzanne&lt;/firstName&gt;&lt;/author&gt;&lt;author&gt;&lt;lastName&gt;Walcott&lt;/lastName&gt;&lt;firstName&gt;Gregory&lt;/firstName&gt;&lt;middleNames&gt;C&lt;/middleNames&gt;&lt;/author&gt;&lt;author&gt;&lt;lastName&gt;Wang&lt;/lastName&gt;&lt;firstName&gt;Jingwen&lt;/firstName&gt;&lt;/author&gt;&lt;author&gt;&lt;lastName&gt;Worsley&lt;/lastName&gt;&lt;firstName&gt;Graham&lt;/firstName&gt;&lt;middleNames&gt;J&lt;/middleNames&gt;&lt;/author&gt;&lt;author&gt;&lt;lastName&gt;Yan&lt;/lastName&gt;&lt;firstName&gt;Juying&lt;/firstName&gt;&lt;/author&gt;&lt;author&gt;&lt;lastName&gt;Yau&lt;/lastName&gt;&lt;firstName&gt;Ling&lt;/firstName&gt;&lt;/author&gt;&lt;author&gt;&lt;lastName&gt;Zuerlein&lt;/lastName&gt;&lt;firstName&gt;Mike&lt;/firstName&gt;&lt;/author&gt;&lt;author&gt;&lt;lastName&gt;Rogers&lt;/lastName&gt;&lt;firstName&gt;Jane&lt;/firstName&gt;&lt;/author&gt;&lt;author&gt;&lt;lastName&gt;Mullikin&lt;/lastName&gt;&lt;firstName&gt;James&lt;/firstName&gt;&lt;middleNames&gt;C&lt;/middleNames&gt;&lt;/author&gt;&lt;author&gt;&lt;lastName&gt;Hurles&lt;/lastName&gt;&lt;firstName&gt;Matthew&lt;/firstName&gt;&lt;middleNames&gt;E&lt;/middleNames&gt;&lt;/author&gt;&lt;author&gt;&lt;lastName&gt;McCooke&lt;/lastName&gt;&lt;firstName&gt;Nick&lt;/firstName&gt;&lt;middleNames&gt;J&lt;/middleNames&gt;&lt;/author&gt;&lt;author&gt;&lt;lastName&gt;West&lt;/lastName&gt;&lt;firstName&gt;John&lt;/firstName&gt;&lt;middleNames&gt;S&lt;/middleNames&gt;&lt;/author&gt;&lt;author&gt;&lt;lastName&gt;Oaks&lt;/lastName&gt;&lt;firstName&gt;Frank&lt;/firstName&gt;&lt;middleNames&gt;L&lt;/middleNames&gt;&lt;/author&gt;&lt;author&gt;&lt;lastName&gt;Lundberg&lt;/lastName&gt;&lt;firstName&gt;Peter&lt;/firstName&gt;&lt;middleNames&gt;L&lt;/middleNames&gt;&lt;/author&gt;&lt;author&gt;&lt;lastName&gt;Klenerman&lt;/lastName&gt;&lt;firstName&gt;David&lt;/firstName&gt;&lt;/author&gt;&lt;author&gt;&lt;lastName&gt;Durbin&lt;/lastName&gt;&lt;firstName&gt;Richard&lt;/firstName&gt;&lt;/author&gt;&lt;author&gt;&lt;lastName&gt;Smith&lt;/lastName&gt;&lt;firstName&gt;Anthony&lt;/firstName&gt;&lt;middleNames&gt;J&lt;/middleNames&gt;&lt;/author&gt;&lt;/authors&gt;&lt;/publication&gt;&lt;/publications&gt;&lt;cites&gt;&lt;/cites&gt;&lt;/citation&gt;</w:instrText>
      </w:r>
      <w:r w:rsidR="00095567">
        <w:rPr>
          <w:rFonts w:eastAsiaTheme="minorEastAsia"/>
          <w:lang w:val="en-US"/>
        </w:rPr>
        <w:fldChar w:fldCharType="separate"/>
      </w:r>
      <w:r w:rsidR="00095567">
        <w:rPr>
          <w:rFonts w:eastAsiaTheme="minorEastAsia"/>
          <w:lang w:val="en-US"/>
        </w:rPr>
        <w:t>(Bentley et al., 2008)</w:t>
      </w:r>
      <w:r w:rsidR="00095567">
        <w:rPr>
          <w:rFonts w:eastAsiaTheme="minorEastAsia"/>
          <w:lang w:val="en-US"/>
        </w:rPr>
        <w:fldChar w:fldCharType="end"/>
      </w:r>
      <w:r w:rsidR="0008044E">
        <w:t>.</w:t>
      </w:r>
      <w:r w:rsidR="00BA1D49">
        <w:t xml:space="preserve"> </w:t>
      </w:r>
      <w:r w:rsidR="0008044E">
        <w:t>To determine expression levels the reads are aligned to a known reference sequence</w:t>
      </w:r>
      <w:r w:rsidR="007B4BEC">
        <w:t xml:space="preserve"> and </w:t>
      </w:r>
      <w:r w:rsidR="00884B4F">
        <w:t xml:space="preserve">the frequency of clones </w:t>
      </w:r>
      <w:r w:rsidR="00BA1D49">
        <w:t>is used to determine expression levels.</w:t>
      </w:r>
    </w:p>
    <w:p w14:paraId="00E9F201" w14:textId="77777777" w:rsidR="00BA1D49" w:rsidRDefault="00BA1D49" w:rsidP="003C0B1C">
      <w:pPr>
        <w:pStyle w:val="Body"/>
      </w:pPr>
    </w:p>
    <w:p w14:paraId="193CF722" w14:textId="3462CFCA" w:rsidR="00883132" w:rsidRDefault="00EE6952" w:rsidP="003C0B1C">
      <w:pPr>
        <w:pStyle w:val="Body"/>
      </w:pPr>
      <w:r>
        <w:t>B</w:t>
      </w:r>
      <w:r w:rsidR="006B041E">
        <w:t xml:space="preserve">y </w:t>
      </w:r>
      <w:r w:rsidR="00FA29F9">
        <w:t>quantifying</w:t>
      </w:r>
      <w:r w:rsidR="006B041E">
        <w:t xml:space="preserve"> the </w:t>
      </w:r>
      <w:r w:rsidR="00FA29F9">
        <w:t>expression in terms of</w:t>
      </w:r>
      <w:r w:rsidR="00F94DA2">
        <w:t xml:space="preserve"> </w:t>
      </w:r>
      <w:r w:rsidR="005F6D4B">
        <w:t>frequency</w:t>
      </w:r>
      <w:r w:rsidR="00F94DA2">
        <w:t xml:space="preserve"> of RNA</w:t>
      </w:r>
      <w:r w:rsidR="00FA29F9">
        <w:t xml:space="preserve"> sequence there is</w:t>
      </w:r>
      <w:r w:rsidR="00F94DA2">
        <w:t xml:space="preserve"> little, albeit quantifiable, ambiguity in the species of miRNA detected</w:t>
      </w:r>
      <w:r w:rsidR="003C0B1C">
        <w:t>.</w:t>
      </w:r>
      <w:r w:rsidR="00C03F46">
        <w:t xml:space="preserve"> </w:t>
      </w:r>
      <w:r w:rsidR="00A11ECE">
        <w:t>As</w:t>
      </w:r>
      <w:r w:rsidR="00D44B68">
        <w:t xml:space="preserve"> miRNA</w:t>
      </w:r>
      <w:r w:rsidR="00A11ECE">
        <w:t xml:space="preserve"> </w:t>
      </w:r>
      <w:r w:rsidR="00D44B68">
        <w:t xml:space="preserve">detection </w:t>
      </w:r>
      <w:r w:rsidR="00A11ECE">
        <w:t>is not based upon hybridisation</w:t>
      </w:r>
      <w:r w:rsidR="00C03F46">
        <w:t xml:space="preserve"> </w:t>
      </w:r>
      <w:r w:rsidR="006B041E">
        <w:t xml:space="preserve">of miRNAs to primers or probes </w:t>
      </w:r>
      <w:r w:rsidR="00260F97">
        <w:t>NGS</w:t>
      </w:r>
      <w:r w:rsidR="002909F1">
        <w:t xml:space="preserve"> avoids issues </w:t>
      </w:r>
      <w:r w:rsidR="00C03F46">
        <w:t>with non-specific hybridisation</w:t>
      </w:r>
      <w:r w:rsidR="008253FD">
        <w:t>.</w:t>
      </w:r>
      <w:r w:rsidR="00940EAF">
        <w:t xml:space="preserve"> NGS of miRNAs</w:t>
      </w:r>
      <w:r w:rsidR="00C531AA">
        <w:t xml:space="preserve"> (miRNA-</w:t>
      </w:r>
      <w:proofErr w:type="spellStart"/>
      <w:r w:rsidR="00C531AA">
        <w:t>seq</w:t>
      </w:r>
      <w:proofErr w:type="spellEnd"/>
      <w:r w:rsidR="00C531AA">
        <w:t>) has increased dynamic range over microarrays,</w:t>
      </w:r>
      <w:r w:rsidR="00940EAF">
        <w:t xml:space="preserve"> can detect novel </w:t>
      </w:r>
      <w:proofErr w:type="spellStart"/>
      <w:r w:rsidR="00940EAF">
        <w:t>miRs</w:t>
      </w:r>
      <w:proofErr w:type="spellEnd"/>
      <w:r w:rsidR="00C531AA">
        <w:t>,</w:t>
      </w:r>
      <w:r w:rsidR="008253FD">
        <w:t xml:space="preserve"> and greater specificity </w:t>
      </w:r>
      <w:r w:rsidR="00C531AA">
        <w:fldChar w:fldCharType="begin"/>
      </w:r>
      <w:r w:rsidR="004E19A5">
        <w:instrText xml:space="preserve"> ADDIN PAPERS2_CITATIONS &lt;citation&gt;&lt;priority&gt;0&lt;/priority&gt;&lt;uuid&gt;F6EF3FA0-F2BB-4F45-8C4E-F607B2461B24&lt;/uuid&gt;&lt;publications&gt;&lt;publication&gt;&lt;subtype&gt;400&lt;/subtype&gt;&lt;title&gt;Evaluation of quantitative miRNA expression platforms in the microRNA quality control (miRQC) study&lt;/title&gt;&lt;url&gt;http://www.nature.com/doifinder/10.1038/nmeth.3014&lt;/url&gt;&lt;volume&gt;11&lt;/volume&gt;&lt;publication_date&gt;99201406291200000000222000&lt;/publication_date&gt;&lt;uuid&gt;10E6AC2C-0F0D-4A3E-AC60-0C6D95D905E7&lt;/uuid&gt;&lt;type&gt;400&lt;/type&gt;&lt;number&gt;8&lt;/number&gt;&lt;doi&gt;10.1038/nmeth.3014&lt;/doi&gt;&lt;startpage&gt;809&lt;/startpage&gt;&lt;endpage&gt;815&lt;/endpage&gt;&lt;bundle&gt;&lt;publication&gt;&lt;title&gt;Nature Methods&lt;/title&gt;&lt;uuid&gt;AFAA1EC8-3FEA-49EC-B8CF-04F69F3BBEAB&lt;/uuid&gt;&lt;subtype&gt;-100&lt;/subtype&gt;&lt;publisher&gt;Nature Publishing Group&lt;/publisher&gt;&lt;type&gt;-100&lt;/type&gt;&lt;/publication&gt;&lt;/bundle&gt;&lt;authors&gt;&lt;author&gt;&lt;lastName&gt;Mestdagh&lt;/lastName&gt;&lt;firstName&gt;Pieter&lt;/firstName&gt;&lt;/author&gt;&lt;author&gt;&lt;lastName&gt;Hartmann&lt;/lastName&gt;&lt;firstName&gt;Nicole&lt;/firstName&gt;&lt;/author&gt;&lt;author&gt;&lt;lastName&gt;Baeriswyl&lt;/lastName&gt;&lt;firstName&gt;Lukas&lt;/firstName&gt;&lt;/author&gt;&lt;author&gt;&lt;lastName&gt;Andreasen&lt;/lastName&gt;&lt;firstName&gt;Ditte&lt;/firstName&gt;&lt;/author&gt;&lt;author&gt;&lt;lastName&gt;Bernard&lt;/lastName&gt;&lt;firstName&gt;Nathalie&lt;/firstName&gt;&lt;/author&gt;&lt;author&gt;&lt;lastName&gt;Chen&lt;/lastName&gt;&lt;firstName&gt;Caifu&lt;/firstName&gt;&lt;/author&gt;&lt;author&gt;&lt;lastName&gt;Cheo&lt;/lastName&gt;&lt;firstName&gt;David&lt;/firstName&gt;&lt;/author&gt;&lt;author&gt;&lt;lastName&gt;D'Andrade&lt;/lastName&gt;&lt;firstName&gt;Petula&lt;/firstName&gt;&lt;/author&gt;&lt;author&gt;&lt;lastName&gt;DeMayo&lt;/lastName&gt;&lt;firstName&gt;Mike&lt;/firstName&gt;&lt;/author&gt;&lt;author&gt;&lt;lastName&gt;Dennis&lt;/lastName&gt;&lt;firstName&gt;Lucas&lt;/firstName&gt;&lt;/author&gt;&lt;author&gt;&lt;lastName&gt;Derveaux&lt;/lastName&gt;&lt;firstName&gt;Stefaan&lt;/firstName&gt;&lt;/author&gt;&lt;author&gt;&lt;lastName&gt;Feng&lt;/lastName&gt;&lt;firstName&gt;Yun&lt;/firstName&gt;&lt;/author&gt;&lt;author&gt;&lt;lastName&gt;Fulmer-Smentek&lt;/lastName&gt;&lt;firstName&gt;Stephanie&lt;/firstName&gt;&lt;/author&gt;&lt;author&gt;&lt;lastName&gt;Gerstmayer&lt;/lastName&gt;&lt;firstName&gt;Bernhard&lt;/firstName&gt;&lt;/author&gt;&lt;author&gt;&lt;lastName&gt;Gouffon&lt;/lastName&gt;&lt;firstName&gt;Julia&lt;/firstName&gt;&lt;/author&gt;&lt;author&gt;&lt;lastName&gt;Grimley&lt;/lastName&gt;&lt;firstName&gt;Chris&lt;/firstName&gt;&lt;/author&gt;&lt;author&gt;&lt;lastName&gt;Lader&lt;/lastName&gt;&lt;firstName&gt;Eric&lt;/firstName&gt;&lt;/author&gt;&lt;author&gt;&lt;lastName&gt;Lee&lt;/lastName&gt;&lt;firstName&gt;Kathy&lt;/firstName&gt;&lt;middleNames&gt;Y&lt;/middleNames&gt;&lt;/author&gt;&lt;author&gt;&lt;lastName&gt;Luo&lt;/lastName&gt;&lt;firstName&gt;Shujun&lt;/firstName&gt;&lt;/author&gt;&lt;author&gt;&lt;lastName&gt;Mouritzen&lt;/lastName&gt;&lt;firstName&gt;Peter&lt;/firstName&gt;&lt;/author&gt;&lt;author&gt;&lt;lastName&gt;Narayanan&lt;/lastName&gt;&lt;firstName&gt;Aishwarya&lt;/firstName&gt;&lt;/author&gt;&lt;author&gt;&lt;lastName&gt;Patel&lt;/lastName&gt;&lt;firstName&gt;Sunali&lt;/firstName&gt;&lt;/author&gt;&lt;author&gt;&lt;lastName&gt;Peiffer&lt;/lastName&gt;&lt;firstName&gt;Sabine&lt;/firstName&gt;&lt;/author&gt;&lt;author&gt;&lt;lastName&gt;Rüberg&lt;/lastName&gt;&lt;firstName&gt;Silvia&lt;/firstName&gt;&lt;/author&gt;&lt;author&gt;&lt;lastName&gt;Schroth&lt;/lastName&gt;&lt;firstName&gt;Gary&lt;/firstName&gt;&lt;/author&gt;&lt;author&gt;&lt;lastName&gt;Schuster&lt;/lastName&gt;&lt;firstName&gt;Dave&lt;/firstName&gt;&lt;/author&gt;&lt;author&gt;&lt;lastName&gt;Shaffer&lt;/lastName&gt;&lt;firstName&gt;Jonathan&lt;/firstName&gt;&lt;middleNames&gt;M&lt;/middleNames&gt;&lt;/author&gt;&lt;author&gt;&lt;lastName&gt;Shelton&lt;/lastName&gt;&lt;firstName&gt;Elliot&lt;/firstName&gt;&lt;middleNames&gt;J&lt;/middleNames&gt;&lt;/author&gt;&lt;author&gt;&lt;lastName&gt;Silveria&lt;/lastName&gt;&lt;firstName&gt;Scott&lt;/firstName&gt;&lt;/author&gt;&lt;author&gt;&lt;lastName&gt;Ulmanella&lt;/lastName&gt;&lt;firstName&gt;Umberto&lt;/firstName&gt;&lt;/author&gt;&lt;author&gt;&lt;lastName&gt;Veeramachaneni&lt;/lastName&gt;&lt;firstName&gt;Vamsi&lt;/firstName&gt;&lt;/author&gt;&lt;author&gt;&lt;lastName&gt;Staedtler&lt;/lastName&gt;&lt;firstName&gt;Frank&lt;/firstName&gt;&lt;/author&gt;&lt;author&gt;&lt;lastName&gt;Peters&lt;/lastName&gt;&lt;firstName&gt;Thomas&lt;/firstName&gt;&lt;/author&gt;&lt;author&gt;&lt;lastName&gt;Guettouche&lt;/lastName&gt;&lt;firstName&gt;Toumy&lt;/firstName&gt;&lt;/author&gt;&lt;author&gt;&lt;lastName&gt;Wong&lt;/lastName&gt;&lt;firstName&gt;Linda&lt;/firstName&gt;&lt;/author&gt;&lt;author&gt;&lt;lastName&gt;Vandesompele&lt;/lastName&gt;&lt;firstName&gt;Jo&lt;/firstName&gt;&lt;/author&gt;&lt;/authors&gt;&lt;/publication&gt;&lt;/publications&gt;&lt;cites&gt;&lt;/cites&gt;&lt;/citation&gt;</w:instrText>
      </w:r>
      <w:r w:rsidR="00C531AA">
        <w:fldChar w:fldCharType="separate"/>
      </w:r>
      <w:r w:rsidR="00095567">
        <w:rPr>
          <w:rFonts w:eastAsiaTheme="minorEastAsia"/>
          <w:lang w:val="en-US"/>
        </w:rPr>
        <w:t>(</w:t>
      </w:r>
      <w:proofErr w:type="spellStart"/>
      <w:r w:rsidR="00095567">
        <w:rPr>
          <w:rFonts w:eastAsiaTheme="minorEastAsia"/>
          <w:lang w:val="en-US"/>
        </w:rPr>
        <w:t>Mestdagh</w:t>
      </w:r>
      <w:proofErr w:type="spellEnd"/>
      <w:r w:rsidR="00095567">
        <w:rPr>
          <w:rFonts w:eastAsiaTheme="minorEastAsia"/>
          <w:lang w:val="en-US"/>
        </w:rPr>
        <w:t xml:space="preserve"> et al., 2014)</w:t>
      </w:r>
      <w:r w:rsidR="00C531AA">
        <w:fldChar w:fldCharType="end"/>
      </w:r>
      <w:r w:rsidR="008253FD">
        <w:t>.</w:t>
      </w:r>
    </w:p>
    <w:p w14:paraId="7F6372F6" w14:textId="77777777" w:rsidR="00D44B68" w:rsidRDefault="00D44B68" w:rsidP="003C0B1C">
      <w:pPr>
        <w:pStyle w:val="Body"/>
      </w:pPr>
    </w:p>
    <w:p w14:paraId="74DADD0A" w14:textId="329D725F" w:rsidR="00004F09" w:rsidRDefault="00095DF7" w:rsidP="00E74082">
      <w:pPr>
        <w:pStyle w:val="Body"/>
      </w:pPr>
      <w:r>
        <w:t>Access to miRNA-</w:t>
      </w:r>
      <w:proofErr w:type="spellStart"/>
      <w:r>
        <w:t>seq</w:t>
      </w:r>
      <w:proofErr w:type="spellEnd"/>
      <w:r>
        <w:t xml:space="preserve"> is becoming more common with</w:t>
      </w:r>
      <w:r w:rsidR="00552F14">
        <w:t xml:space="preserve"> the cost</w:t>
      </w:r>
      <w:r w:rsidR="003A5016">
        <w:t xml:space="preserve"> of reagents and machines </w:t>
      </w:r>
      <w:r w:rsidR="005F6D4B">
        <w:t xml:space="preserve">reducing </w:t>
      </w:r>
      <w:r w:rsidR="00E07356">
        <w:t>annually</w:t>
      </w:r>
      <w:r w:rsidR="003A5016">
        <w:t>. However, there is a signifi</w:t>
      </w:r>
      <w:r>
        <w:t>c</w:t>
      </w:r>
      <w:r w:rsidR="003A5016">
        <w:t>an</w:t>
      </w:r>
      <w:r>
        <w:t xml:space="preserve">t jump in technical and bioinformatic support required. </w:t>
      </w:r>
      <w:r w:rsidR="003A5016">
        <w:t xml:space="preserve">It is rare </w:t>
      </w:r>
      <w:r w:rsidR="005F6D4B">
        <w:t xml:space="preserve">that samples </w:t>
      </w:r>
      <w:r w:rsidR="003A5016">
        <w:t xml:space="preserve">for NGS </w:t>
      </w:r>
      <w:r w:rsidR="005F6D4B">
        <w:t xml:space="preserve">to be processed </w:t>
      </w:r>
      <w:r w:rsidR="003A5016">
        <w:t xml:space="preserve">outside of a dedicated core-facility and analysis requires dedicated bioinformatic and </w:t>
      </w:r>
      <w:r w:rsidR="005F6D4B">
        <w:t>high-performance</w:t>
      </w:r>
      <w:r w:rsidR="003A5016">
        <w:t xml:space="preserve"> computing support.</w:t>
      </w:r>
      <w:r w:rsidR="005F6D4B">
        <w:t xml:space="preserve"> This keeps associated costs high and therefore large-scale studies are typically impractical.</w:t>
      </w:r>
    </w:p>
    <w:p w14:paraId="7CBCC1BC" w14:textId="77777777" w:rsidR="0076451A" w:rsidRPr="007E0D22" w:rsidRDefault="0076451A" w:rsidP="00E62CBF">
      <w:pPr>
        <w:pStyle w:val="Body"/>
        <w:ind w:left="720" w:hanging="720"/>
      </w:pPr>
    </w:p>
    <w:p w14:paraId="1B484FD0" w14:textId="00A17CD1" w:rsidR="00147750" w:rsidRDefault="002B1BDF" w:rsidP="00D4436E">
      <w:pPr>
        <w:pStyle w:val="Heading2"/>
        <w:numPr>
          <w:ilvl w:val="1"/>
          <w:numId w:val="7"/>
        </w:numPr>
        <w:spacing w:before="120" w:after="120"/>
        <w:ind w:left="578" w:hanging="578"/>
      </w:pPr>
      <w:bookmarkStart w:id="68" w:name="_Toc60773873"/>
      <w:r>
        <w:t xml:space="preserve">Software for the Analysis of High </w:t>
      </w:r>
      <w:r w:rsidR="00147750">
        <w:t>Throughput Data</w:t>
      </w:r>
      <w:bookmarkEnd w:id="68"/>
    </w:p>
    <w:p w14:paraId="6B137601" w14:textId="79F53133" w:rsidR="007E0D22" w:rsidRDefault="00BC4804" w:rsidP="00D4436E">
      <w:pPr>
        <w:pStyle w:val="Body"/>
      </w:pPr>
      <w:r>
        <w:t>High throughput data</w:t>
      </w:r>
      <w:r w:rsidR="00147750">
        <w:t xml:space="preserve"> </w:t>
      </w:r>
      <w:r w:rsidR="00384DF9">
        <w:t xml:space="preserve">poses unique </w:t>
      </w:r>
      <w:r w:rsidR="00147750">
        <w:t>analy</w:t>
      </w:r>
      <w:r w:rsidR="00384DF9">
        <w:t>t</w:t>
      </w:r>
      <w:r>
        <w:t xml:space="preserve">ical challenges, both </w:t>
      </w:r>
      <w:r w:rsidR="00147750">
        <w:t xml:space="preserve">practical </w:t>
      </w:r>
      <w:r w:rsidR="003037DC">
        <w:t xml:space="preserve">and statistical </w:t>
      </w:r>
      <w:r w:rsidR="00147750">
        <w:t xml:space="preserve">issues </w:t>
      </w:r>
      <w:proofErr w:type="gramStart"/>
      <w:r>
        <w:t>arises</w:t>
      </w:r>
      <w:proofErr w:type="gramEnd"/>
      <w:r w:rsidR="00147750">
        <w:t xml:space="preserve"> with handling extremely large data</w:t>
      </w:r>
      <w:r w:rsidR="003037DC">
        <w:t xml:space="preserve"> </w:t>
      </w:r>
      <w:r>
        <w:t>sets</w:t>
      </w:r>
      <w:r w:rsidR="00147750">
        <w:t xml:space="preserve">. </w:t>
      </w:r>
      <w:r>
        <w:t>Practically</w:t>
      </w:r>
      <w:r w:rsidR="00CA4A05">
        <w:t>,</w:t>
      </w:r>
      <w:r>
        <w:t xml:space="preserve"> d</w:t>
      </w:r>
      <w:r w:rsidR="000C05F0">
        <w:t>ata is typically too</w:t>
      </w:r>
      <w:r w:rsidR="00147750">
        <w:t xml:space="preserve"> large</w:t>
      </w:r>
      <w:r w:rsidR="00FD666C">
        <w:t xml:space="preserve"> </w:t>
      </w:r>
      <w:r w:rsidR="00147750">
        <w:t xml:space="preserve">to be </w:t>
      </w:r>
      <w:r w:rsidR="00FD666C">
        <w:t xml:space="preserve">analysed </w:t>
      </w:r>
      <w:r w:rsidR="00147750">
        <w:t xml:space="preserve">in </w:t>
      </w:r>
      <w:r w:rsidR="00FD666C">
        <w:t xml:space="preserve">spreadsheet style </w:t>
      </w:r>
      <w:r w:rsidR="0047314B">
        <w:t>software</w:t>
      </w:r>
      <w:r w:rsidR="00FD666C">
        <w:t>.</w:t>
      </w:r>
      <w:r w:rsidR="00147750">
        <w:t xml:space="preserve">  </w:t>
      </w:r>
      <w:r w:rsidR="00FD666C">
        <w:t>Specialist analytical programs are available that are designed for big data analysis</w:t>
      </w:r>
      <w:r w:rsidR="007E57B5">
        <w:t>,</w:t>
      </w:r>
      <w:r w:rsidR="00FD666C">
        <w:t xml:space="preserve"> the most </w:t>
      </w:r>
      <w:r w:rsidR="007E57B5">
        <w:t>prominent</w:t>
      </w:r>
      <w:r w:rsidR="00FD666C">
        <w:t xml:space="preserve"> are R</w:t>
      </w:r>
      <w:r w:rsidR="00FD666C" w:rsidRPr="00FD666C">
        <w:rPr>
          <w:vertAlign w:val="superscript"/>
        </w:rPr>
        <w:t>®</w:t>
      </w:r>
      <w:r w:rsidR="00FD666C">
        <w:t>, Python</w:t>
      </w:r>
      <w:r w:rsidR="00FD666C" w:rsidRPr="00FD666C">
        <w:rPr>
          <w:vertAlign w:val="superscript"/>
        </w:rPr>
        <w:t>®</w:t>
      </w:r>
      <w:r w:rsidR="00FD666C">
        <w:t>, SAS</w:t>
      </w:r>
      <w:r w:rsidR="00FD666C" w:rsidRPr="00FD666C">
        <w:rPr>
          <w:vertAlign w:val="superscript"/>
        </w:rPr>
        <w:t>®</w:t>
      </w:r>
      <w:r w:rsidR="00FD666C">
        <w:t>, SPSS</w:t>
      </w:r>
      <w:r w:rsidR="00FD666C" w:rsidRPr="00FD666C">
        <w:rPr>
          <w:vertAlign w:val="superscript"/>
        </w:rPr>
        <w:t>®</w:t>
      </w:r>
      <w:r w:rsidR="00FD666C">
        <w:t>, Table</w:t>
      </w:r>
      <w:r w:rsidR="003F7AA5">
        <w:t>a</w:t>
      </w:r>
      <w:r w:rsidR="00FD666C">
        <w:t>u</w:t>
      </w:r>
      <w:r w:rsidR="00FD666C" w:rsidRPr="00FD666C">
        <w:rPr>
          <w:vertAlign w:val="superscript"/>
        </w:rPr>
        <w:t>®</w:t>
      </w:r>
      <w:r w:rsidR="00FD666C">
        <w:t xml:space="preserve">. All of the aforementioned packages </w:t>
      </w:r>
      <w:r w:rsidR="008F339B">
        <w:t>are designed for</w:t>
      </w:r>
      <w:r w:rsidR="00FD666C">
        <w:t xml:space="preserve"> big data</w:t>
      </w:r>
      <w:r w:rsidR="008F339B">
        <w:t xml:space="preserve"> </w:t>
      </w:r>
      <w:r w:rsidR="008F339B">
        <w:lastRenderedPageBreak/>
        <w:t>analytics</w:t>
      </w:r>
      <w:r w:rsidR="00FD666C">
        <w:t xml:space="preserve">, </w:t>
      </w:r>
      <w:r w:rsidR="008F339B">
        <w:t>but</w:t>
      </w:r>
      <w:r w:rsidR="00FD666C">
        <w:t xml:space="preserve"> do so with varying degrees of versatility</w:t>
      </w:r>
      <w:r w:rsidR="001A7865">
        <w:t xml:space="preserve">, cost and </w:t>
      </w:r>
      <w:r w:rsidR="008F339B">
        <w:t>learning curve</w:t>
      </w:r>
      <w:r w:rsidR="00FD666C">
        <w:t>.</w:t>
      </w:r>
      <w:r w:rsidR="001A7865">
        <w:t xml:space="preserve"> </w:t>
      </w:r>
      <w:r w:rsidR="00FD666C">
        <w:t>Tableau</w:t>
      </w:r>
      <w:r w:rsidR="001A7865" w:rsidRPr="00FD666C">
        <w:rPr>
          <w:vertAlign w:val="superscript"/>
        </w:rPr>
        <w:t>®</w:t>
      </w:r>
      <w:r w:rsidR="001A7865">
        <w:t xml:space="preserve"> and SPSS</w:t>
      </w:r>
      <w:r w:rsidR="001A7865" w:rsidRPr="00FD666C">
        <w:rPr>
          <w:vertAlign w:val="superscript"/>
        </w:rPr>
        <w:t>®</w:t>
      </w:r>
      <w:r w:rsidR="001A7865">
        <w:t xml:space="preserve"> </w:t>
      </w:r>
      <w:r w:rsidR="00204924">
        <w:t>utilise</w:t>
      </w:r>
      <w:r w:rsidR="001A7865">
        <w:t xml:space="preserve"> graphical user interfaces </w:t>
      </w:r>
      <w:r w:rsidR="000C05F0">
        <w:t xml:space="preserve">that lend themselves to </w:t>
      </w:r>
      <w:r w:rsidR="001A7865">
        <w:t xml:space="preserve">a shallow learning curve, however, both </w:t>
      </w:r>
      <w:r w:rsidR="007E57B5">
        <w:t>are moderately expensive</w:t>
      </w:r>
      <w:r w:rsidR="001A7865">
        <w:t xml:space="preserve"> and do not </w:t>
      </w:r>
      <w:r w:rsidR="00204924">
        <w:t>implement</w:t>
      </w:r>
      <w:r w:rsidR="001A7865">
        <w:t xml:space="preserve"> </w:t>
      </w:r>
      <w:r w:rsidR="00204924">
        <w:t>advanced analytical tools. SAS</w:t>
      </w:r>
      <w:r w:rsidR="00204924" w:rsidRPr="00FD666C">
        <w:rPr>
          <w:vertAlign w:val="superscript"/>
        </w:rPr>
        <w:t>®</w:t>
      </w:r>
      <w:r w:rsidR="00204924">
        <w:rPr>
          <w:vertAlign w:val="superscript"/>
        </w:rPr>
        <w:t xml:space="preserve"> </w:t>
      </w:r>
      <w:r w:rsidR="008F339B">
        <w:t>uniquely offers both</w:t>
      </w:r>
      <w:r w:rsidR="00204924">
        <w:t xml:space="preserve"> a </w:t>
      </w:r>
      <w:r w:rsidR="00CA4A05">
        <w:t>relatively</w:t>
      </w:r>
      <w:r w:rsidR="00204924">
        <w:t xml:space="preserve"> shallow learning curve and advanced analytical tools, however</w:t>
      </w:r>
      <w:r w:rsidR="007E57B5">
        <w:t>,</w:t>
      </w:r>
      <w:r w:rsidR="00204924">
        <w:t xml:space="preserve"> the package is </w:t>
      </w:r>
      <w:r w:rsidR="0047314B">
        <w:t>designed</w:t>
      </w:r>
      <w:r w:rsidR="00204924">
        <w:t xml:space="preserve"> for </w:t>
      </w:r>
      <w:r w:rsidR="0047314B">
        <w:t xml:space="preserve">the </w:t>
      </w:r>
      <w:r w:rsidR="00204924">
        <w:t>business</w:t>
      </w:r>
      <w:r w:rsidR="0047314B">
        <w:t xml:space="preserve"> market</w:t>
      </w:r>
      <w:r w:rsidR="00204924">
        <w:t xml:space="preserve"> and </w:t>
      </w:r>
      <w:r w:rsidR="00204924" w:rsidRPr="00204924">
        <w:t>prohibitively</w:t>
      </w:r>
      <w:r w:rsidR="00204924">
        <w:t xml:space="preserve"> expensive </w:t>
      </w:r>
      <w:r w:rsidR="000C05F0">
        <w:t>to academic</w:t>
      </w:r>
      <w:r w:rsidR="00204924">
        <w:t xml:space="preserve"> research. R</w:t>
      </w:r>
      <w:r w:rsidR="00204924" w:rsidRPr="00FD666C">
        <w:rPr>
          <w:vertAlign w:val="superscript"/>
        </w:rPr>
        <w:t>®</w:t>
      </w:r>
      <w:r w:rsidR="00204924">
        <w:t xml:space="preserve"> and Python</w:t>
      </w:r>
      <w:r w:rsidR="00204924" w:rsidRPr="00FD666C">
        <w:rPr>
          <w:vertAlign w:val="superscript"/>
        </w:rPr>
        <w:t>®</w:t>
      </w:r>
      <w:r w:rsidR="00204924">
        <w:t xml:space="preserve"> are both programming languages that are interfaced with through</w:t>
      </w:r>
      <w:r w:rsidR="005B57F9">
        <w:t xml:space="preserve"> the command line and scripting, </w:t>
      </w:r>
      <w:r w:rsidR="00204924">
        <w:t>whilst this makes</w:t>
      </w:r>
      <w:r w:rsidR="008F339B">
        <w:t xml:space="preserve"> for a steep learning curve </w:t>
      </w:r>
      <w:r w:rsidR="00204924">
        <w:t xml:space="preserve">both </w:t>
      </w:r>
      <w:r w:rsidR="008F339B">
        <w:t xml:space="preserve">are </w:t>
      </w:r>
      <w:r w:rsidR="0047314B">
        <w:t xml:space="preserve">free </w:t>
      </w:r>
      <w:r w:rsidR="00204924">
        <w:t>open</w:t>
      </w:r>
      <w:r w:rsidR="0047314B">
        <w:t>-</w:t>
      </w:r>
      <w:r w:rsidR="00204924">
        <w:t>source</w:t>
      </w:r>
      <w:r w:rsidR="00ED1528">
        <w:t xml:space="preserve"> </w:t>
      </w:r>
      <w:r w:rsidR="005B57F9">
        <w:t xml:space="preserve">and </w:t>
      </w:r>
      <w:r w:rsidR="008F339B">
        <w:t>highly versatile</w:t>
      </w:r>
      <w:r w:rsidR="0047314B">
        <w:t>. Typically</w:t>
      </w:r>
      <w:r w:rsidR="008F339B">
        <w:t xml:space="preserve"> offering the latest </w:t>
      </w:r>
      <w:r w:rsidR="0047314B">
        <w:t xml:space="preserve">cutting-edge </w:t>
      </w:r>
      <w:r w:rsidR="008F339B">
        <w:t>analytical techniques</w:t>
      </w:r>
      <w:r w:rsidR="005B57F9">
        <w:t xml:space="preserve"> through </w:t>
      </w:r>
      <w:r w:rsidR="00ED1528">
        <w:t xml:space="preserve">add on </w:t>
      </w:r>
      <w:r w:rsidR="005B57F9">
        <w:t>packages</w:t>
      </w:r>
      <w:r w:rsidR="00204924">
        <w:t xml:space="preserve">. </w:t>
      </w:r>
      <w:r w:rsidR="008F339B">
        <w:t>R</w:t>
      </w:r>
      <w:r w:rsidR="007E57B5" w:rsidRPr="00FD666C">
        <w:rPr>
          <w:vertAlign w:val="superscript"/>
        </w:rPr>
        <w:t>®</w:t>
      </w:r>
      <w:r w:rsidR="008F339B">
        <w:t xml:space="preserve"> and Python</w:t>
      </w:r>
      <w:r w:rsidR="007E57B5" w:rsidRPr="00FD666C">
        <w:rPr>
          <w:vertAlign w:val="superscript"/>
        </w:rPr>
        <w:t>®</w:t>
      </w:r>
      <w:r w:rsidR="008F339B">
        <w:t xml:space="preserve"> are both perfectly suit</w:t>
      </w:r>
      <w:r w:rsidR="007E57B5">
        <w:t>able</w:t>
      </w:r>
      <w:r w:rsidR="008F339B">
        <w:t xml:space="preserve"> for biomarker discover, however, R</w:t>
      </w:r>
      <w:r w:rsidR="007E57B5" w:rsidRPr="00FD666C">
        <w:rPr>
          <w:vertAlign w:val="superscript"/>
        </w:rPr>
        <w:t>®</w:t>
      </w:r>
      <w:r w:rsidR="008F339B">
        <w:t xml:space="preserve"> </w:t>
      </w:r>
      <w:r w:rsidR="0047314B">
        <w:t>has a large bioinformatic community</w:t>
      </w:r>
      <w:r w:rsidR="00E9049F">
        <w:t xml:space="preserve"> and</w:t>
      </w:r>
      <w:r w:rsidR="0047314B">
        <w:t xml:space="preserve"> class leading</w:t>
      </w:r>
      <w:r w:rsidR="00E9049F">
        <w:t xml:space="preserve"> data manipulation </w:t>
      </w:r>
      <w:proofErr w:type="gramStart"/>
      <w:r w:rsidR="00E9049F">
        <w:t>tools</w:t>
      </w:r>
      <w:proofErr w:type="gramEnd"/>
      <w:r w:rsidR="007E57B5">
        <w:t>.</w:t>
      </w:r>
      <w:r w:rsidR="00065A03">
        <w:t xml:space="preserve"> Additionally</w:t>
      </w:r>
      <w:r w:rsidR="001D7273">
        <w:t>,</w:t>
      </w:r>
      <w:r w:rsidR="00065A03">
        <w:t xml:space="preserve"> R</w:t>
      </w:r>
      <w:r w:rsidR="00065A03" w:rsidRPr="00FD666C">
        <w:rPr>
          <w:vertAlign w:val="superscript"/>
        </w:rPr>
        <w:t>®</w:t>
      </w:r>
      <w:r w:rsidR="00065A03">
        <w:rPr>
          <w:vertAlign w:val="superscript"/>
        </w:rPr>
        <w:t xml:space="preserve"> </w:t>
      </w:r>
      <w:r w:rsidR="00065A03">
        <w:t xml:space="preserve">has </w:t>
      </w:r>
      <w:r w:rsidR="009328F4">
        <w:t>many packages specifically for the analysis of microarrays.</w:t>
      </w:r>
    </w:p>
    <w:p w14:paraId="35F2E1B1" w14:textId="77777777" w:rsidR="001A7865" w:rsidRDefault="001A7865" w:rsidP="00D4436E">
      <w:pPr>
        <w:pStyle w:val="Body"/>
      </w:pPr>
    </w:p>
    <w:p w14:paraId="29B049FF" w14:textId="026160CC" w:rsidR="007E0D22" w:rsidRDefault="002636B4" w:rsidP="00D4436E">
      <w:pPr>
        <w:pStyle w:val="Heading2"/>
        <w:numPr>
          <w:ilvl w:val="2"/>
          <w:numId w:val="7"/>
        </w:numPr>
        <w:spacing w:before="120" w:after="120"/>
      </w:pPr>
      <w:bookmarkStart w:id="69" w:name="_Ref370929645"/>
      <w:bookmarkStart w:id="70" w:name="_Toc60773874"/>
      <w:r>
        <w:t>Statistical Discovery of</w:t>
      </w:r>
      <w:r w:rsidR="0041391A">
        <w:t xml:space="preserve"> Biomarkers</w:t>
      </w:r>
      <w:bookmarkEnd w:id="69"/>
      <w:bookmarkEnd w:id="70"/>
    </w:p>
    <w:p w14:paraId="2E75FEF8" w14:textId="3FB7804F" w:rsidR="00C12C24" w:rsidRDefault="00284B09" w:rsidP="00D4436E">
      <w:pPr>
        <w:pStyle w:val="Body"/>
      </w:pPr>
      <w:r>
        <w:t xml:space="preserve">Data </w:t>
      </w:r>
      <w:r w:rsidR="0041391A">
        <w:t>contain</w:t>
      </w:r>
      <w:r>
        <w:t>ing</w:t>
      </w:r>
      <w:r w:rsidR="005B57F9">
        <w:t xml:space="preserve"> </w:t>
      </w:r>
      <w:r w:rsidR="004D379B">
        <w:t>hund</w:t>
      </w:r>
      <w:r w:rsidR="00351D57">
        <w:t xml:space="preserve">reds to thousands of variables </w:t>
      </w:r>
      <w:r w:rsidR="004D379B">
        <w:t>is</w:t>
      </w:r>
      <w:r>
        <w:t xml:space="preserve"> commonly termed</w:t>
      </w:r>
      <w:r w:rsidR="00FA2917">
        <w:t xml:space="preserve"> </w:t>
      </w:r>
      <w:r w:rsidR="004D379B">
        <w:t>high-dimensional data.</w:t>
      </w:r>
      <w:r w:rsidR="00351D57">
        <w:t xml:space="preserve"> </w:t>
      </w:r>
      <w:r w:rsidR="0041391A">
        <w:t xml:space="preserve">High-dimensional data has </w:t>
      </w:r>
      <w:r w:rsidR="00642A97">
        <w:t>unique</w:t>
      </w:r>
      <w:r w:rsidR="007B0FAF">
        <w:t xml:space="preserve"> properties </w:t>
      </w:r>
      <w:r w:rsidR="0041391A">
        <w:t xml:space="preserve">offering advantages and disadvantages in comparison to </w:t>
      </w:r>
      <w:proofErr w:type="gramStart"/>
      <w:r w:rsidR="0041391A">
        <w:t>small focused</w:t>
      </w:r>
      <w:proofErr w:type="gramEnd"/>
      <w:r w:rsidR="0041391A">
        <w:t xml:space="preserve"> data sets. </w:t>
      </w:r>
      <w:r w:rsidR="00C12C24">
        <w:t xml:space="preserve">Identifying </w:t>
      </w:r>
      <w:r w:rsidR="00790749">
        <w:t>biomarkers</w:t>
      </w:r>
      <w:r w:rsidR="00C12C24">
        <w:t xml:space="preserve"> that separate two groups </w:t>
      </w:r>
      <w:r w:rsidR="00C45223">
        <w:t xml:space="preserve">can be </w:t>
      </w:r>
      <w:r w:rsidR="00E53C16">
        <w:t>performed</w:t>
      </w:r>
      <w:r w:rsidR="00C12C24">
        <w:t xml:space="preserve"> in two ways;</w:t>
      </w:r>
      <w:r w:rsidR="00FA2917">
        <w:t xml:space="preserve"> </w:t>
      </w:r>
      <w:r w:rsidR="00C45223">
        <w:t>1) a classical statistical approach whereby each</w:t>
      </w:r>
      <w:r w:rsidR="00CF7D36">
        <w:t xml:space="preserve"> data measure, or</w:t>
      </w:r>
      <w:r w:rsidR="00C45223">
        <w:t xml:space="preserve"> </w:t>
      </w:r>
      <w:r w:rsidR="00C12C24">
        <w:t>feature</w:t>
      </w:r>
      <w:r w:rsidR="00CF7D36">
        <w:t>,</w:t>
      </w:r>
      <w:r w:rsidR="00C45223">
        <w:t xml:space="preserve"> is </w:t>
      </w:r>
      <w:r w:rsidR="007B0FAF">
        <w:t>analysed by multiple</w:t>
      </w:r>
      <w:r w:rsidR="00C45223">
        <w:t xml:space="preserve"> </w:t>
      </w:r>
      <w:proofErr w:type="spellStart"/>
      <w:r w:rsidR="00C45223">
        <w:t>monovariate</w:t>
      </w:r>
      <w:proofErr w:type="spellEnd"/>
      <w:r w:rsidR="00C45223">
        <w:t xml:space="preserve"> statistical tests</w:t>
      </w:r>
      <w:r w:rsidR="00C12C24">
        <w:t xml:space="preserve"> or 2) a</w:t>
      </w:r>
      <w:r w:rsidR="00E53C16">
        <w:t xml:space="preserve"> supervised statistical learning</w:t>
      </w:r>
      <w:r w:rsidR="00C12C24">
        <w:t xml:space="preserve"> approa</w:t>
      </w:r>
      <w:r w:rsidR="00E53C16">
        <w:t xml:space="preserve">ch using a </w:t>
      </w:r>
      <w:proofErr w:type="gramStart"/>
      <w:r w:rsidR="00E53C16">
        <w:t>subset</w:t>
      </w:r>
      <w:proofErr w:type="gramEnd"/>
      <w:r w:rsidR="00E53C16">
        <w:t xml:space="preserve"> or all features available</w:t>
      </w:r>
      <w:r w:rsidR="003949E3">
        <w:t xml:space="preserve"> in combination</w:t>
      </w:r>
      <w:r w:rsidR="00C45223">
        <w:t xml:space="preserve">. </w:t>
      </w:r>
    </w:p>
    <w:p w14:paraId="023764A8" w14:textId="77777777" w:rsidR="00C12C24" w:rsidRDefault="00C12C24" w:rsidP="00D4436E">
      <w:pPr>
        <w:pStyle w:val="Body"/>
      </w:pPr>
    </w:p>
    <w:p w14:paraId="59779864" w14:textId="5E675981" w:rsidR="00C66D4F" w:rsidRDefault="00E53C16" w:rsidP="00D4436E">
      <w:pPr>
        <w:pStyle w:val="Body"/>
      </w:pPr>
      <w:r>
        <w:t>In the classical approach</w:t>
      </w:r>
      <w:r w:rsidR="00A24DC4">
        <w:t>,</w:t>
      </w:r>
      <w:r>
        <w:t xml:space="preserve"> multiple t-tests </w:t>
      </w:r>
      <w:r w:rsidR="00C45223">
        <w:t>or Mann-Whitney U-test</w:t>
      </w:r>
      <w:r w:rsidR="00735BA4">
        <w:t>s</w:t>
      </w:r>
      <w:r w:rsidR="00C45223">
        <w:t xml:space="preserve"> for</w:t>
      </w:r>
      <w:r>
        <w:t xml:space="preserve"> parametric and</w:t>
      </w:r>
      <w:r w:rsidR="00C45223">
        <w:t xml:space="preserve"> non-parametric data</w:t>
      </w:r>
      <w:r>
        <w:t xml:space="preserve"> </w:t>
      </w:r>
      <w:r w:rsidR="00192682">
        <w:t>respectively</w:t>
      </w:r>
      <w:r>
        <w:t xml:space="preserve"> </w:t>
      </w:r>
      <w:r w:rsidR="009126EA">
        <w:t>would be performed</w:t>
      </w:r>
      <w:r w:rsidR="00C45223">
        <w:t>.</w:t>
      </w:r>
      <w:r w:rsidR="00C66D4F">
        <w:t xml:space="preserve"> </w:t>
      </w:r>
      <w:r w:rsidR="00D26C95">
        <w:t>As the</w:t>
      </w:r>
      <w:r w:rsidR="00C66D4F">
        <w:t xml:space="preserve"> probability of</w:t>
      </w:r>
      <w:r w:rsidR="00735BA4">
        <w:t xml:space="preserve"> a </w:t>
      </w:r>
      <w:r w:rsidR="00735BA4">
        <w:lastRenderedPageBreak/>
        <w:t>statistically</w:t>
      </w:r>
      <w:r w:rsidR="00C66D4F">
        <w:t xml:space="preserve"> significan</w:t>
      </w:r>
      <w:r w:rsidR="00735BA4">
        <w:t>t result</w:t>
      </w:r>
      <w:r w:rsidR="00C66D4F">
        <w:t xml:space="preserve"> occurring due to random chance increases with the number of </w:t>
      </w:r>
      <w:proofErr w:type="spellStart"/>
      <w:r w:rsidR="00C66D4F">
        <w:t>monovariate</w:t>
      </w:r>
      <w:proofErr w:type="spellEnd"/>
      <w:r w:rsidR="00C66D4F">
        <w:t xml:space="preserve"> tests performed</w:t>
      </w:r>
      <w:r w:rsidR="00735BA4">
        <w:t xml:space="preserve"> </w:t>
      </w:r>
      <w:r w:rsidR="00D26C95">
        <w:t>a</w:t>
      </w:r>
      <w:r w:rsidR="00735BA4">
        <w:t xml:space="preserve"> post-hoc </w:t>
      </w:r>
      <w:r w:rsidR="00D26C95">
        <w:t>adjustment to the p-value must applied to</w:t>
      </w:r>
      <w:r w:rsidR="00735BA4">
        <w:t xml:space="preserve"> control for false positives</w:t>
      </w:r>
      <w:r w:rsidR="0013576C">
        <w:t>. The</w:t>
      </w:r>
      <w:r w:rsidR="002B65A9">
        <w:t xml:space="preserve"> </w:t>
      </w:r>
      <w:proofErr w:type="spellStart"/>
      <w:r w:rsidR="002B65A9">
        <w:t>Benjamini</w:t>
      </w:r>
      <w:proofErr w:type="spellEnd"/>
      <w:r w:rsidR="002B65A9">
        <w:t>-Hochberg procedure</w:t>
      </w:r>
      <w:r w:rsidR="0013576C">
        <w:t xml:space="preserve"> </w:t>
      </w:r>
      <w:r w:rsidR="009126EA">
        <w:t xml:space="preserve">is </w:t>
      </w:r>
      <w:r w:rsidR="002B1BDF">
        <w:t>commonly</w:t>
      </w:r>
      <w:r w:rsidR="0013576C">
        <w:t xml:space="preserve"> </w:t>
      </w:r>
      <w:r w:rsidR="002B1BDF">
        <w:t>used, t</w:t>
      </w:r>
      <w:r w:rsidR="002F61C6">
        <w:t>his</w:t>
      </w:r>
      <w:r>
        <w:t xml:space="preserve"> controls the Type I</w:t>
      </w:r>
      <w:r w:rsidR="002B65A9">
        <w:t xml:space="preserve"> error </w:t>
      </w:r>
      <w:r>
        <w:t>rate, reducing Type II errors</w:t>
      </w:r>
      <w:r w:rsidR="002B65A9">
        <w:t xml:space="preserve">. </w:t>
      </w:r>
      <w:r w:rsidR="0013576C">
        <w:t>For example</w:t>
      </w:r>
      <w:r w:rsidR="002B65A9">
        <w:t xml:space="preserve"> </w:t>
      </w:r>
      <w:r w:rsidR="002B1BDF">
        <w:t xml:space="preserve">for </w:t>
      </w:r>
      <w:r w:rsidR="002B65A9">
        <w:t xml:space="preserve">a 10% </w:t>
      </w:r>
      <w:r w:rsidR="002B1BDF">
        <w:t>Type I rate means</w:t>
      </w:r>
      <w:r w:rsidR="002B65A9">
        <w:t xml:space="preserve"> that in 100 significant features </w:t>
      </w:r>
      <w:r>
        <w:t xml:space="preserve">there is a high probability that </w:t>
      </w:r>
      <w:r w:rsidR="002B65A9">
        <w:t>10 will be due to random chance</w:t>
      </w:r>
      <w:r w:rsidR="0032024B">
        <w:t xml:space="preserve">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&lt;citation&gt;&lt;priority&gt;68&lt;/priority&gt;&lt;uuid&gt;C63FFA80-AA3F-49BD-B542-127FF8D190D9&lt;/uuid&gt;&lt;publications&gt;&lt;publication&gt;&lt;subtype&gt;400&lt;/subtype&gt;&lt;title&gt;Controlling the False Discovery Rate: A Practical and Powerful Approach to Multiple Testing &lt;/title&gt;&lt;publication_date&gt;99201005171200000000222000&lt;/publication_date&gt;&lt;uuid&gt;F020ED85-85CB-4548-BA35-60F17ADF7853&lt;/uuid&gt;&lt;type&gt;400&lt;/type&gt;&lt;startpage&gt;1&lt;/startpage&gt;&lt;endpage&gt;13&lt;/endpage&gt;&lt;bundle&gt;&lt;publication&gt;&lt;title&gt;Journal of the Royal Statistical Society Series B ( …&lt;/title&gt;&lt;uuid&gt;918D0738-71BD-4FB8-B799-14BCE84F83D4&lt;/uuid&gt;&lt;subtype&gt;-100&lt;/subtype&gt;&lt;type&gt;-100&lt;/type&gt;&lt;/publication&gt;&lt;/bundle&gt;&lt;authors&gt;&lt;author&gt;&lt;lastName&gt;Benjamini&lt;/lastName&gt;&lt;firstName&gt;Yoav&lt;/firstName&gt;&lt;/author&gt;&lt;author&gt;&lt;lastName&gt;Hochberg&lt;/lastName&gt;&lt;firstName&gt;Yosef&lt;/firstName&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w:t>
      </w:r>
      <w:proofErr w:type="spellStart"/>
      <w:r w:rsidR="00095567">
        <w:rPr>
          <w:rFonts w:eastAsiaTheme="minorEastAsia"/>
          <w:lang w:val="en-US"/>
        </w:rPr>
        <w:t>Benjamini</w:t>
      </w:r>
      <w:proofErr w:type="spellEnd"/>
      <w:r w:rsidR="00095567">
        <w:rPr>
          <w:rFonts w:eastAsiaTheme="minorEastAsia"/>
          <w:lang w:val="en-US"/>
        </w:rPr>
        <w:t xml:space="preserve"> &amp; Hochberg, 2010)</w:t>
      </w:r>
      <w:r w:rsidR="00095567">
        <w:rPr>
          <w:rFonts w:eastAsiaTheme="minorEastAsia"/>
          <w:color w:val="auto"/>
          <w:bdr w:val="none" w:sz="0" w:space="0" w:color="auto"/>
          <w:lang w:val="en-US"/>
        </w:rPr>
        <w:fldChar w:fldCharType="end"/>
      </w:r>
      <w:r w:rsidR="002B65A9">
        <w:t>.</w:t>
      </w:r>
      <w:r w:rsidR="00192682">
        <w:t xml:space="preserve"> </w:t>
      </w:r>
      <w:r w:rsidR="002B1BDF">
        <w:t>In spite of multiple correction</w:t>
      </w:r>
      <w:r w:rsidR="00642A97">
        <w:t xml:space="preserve"> approaches</w:t>
      </w:r>
      <w:r w:rsidR="002B1BDF">
        <w:t xml:space="preserve"> these strategies</w:t>
      </w:r>
      <w:r w:rsidR="00642A97">
        <w:t xml:space="preserve"> do not scale well and do not take advantage of </w:t>
      </w:r>
      <w:r w:rsidR="006D6A63">
        <w:t xml:space="preserve">any complex </w:t>
      </w:r>
      <w:r w:rsidR="00642A97">
        <w:t xml:space="preserve">relationships </w:t>
      </w:r>
      <w:r w:rsidR="002B1BDF">
        <w:t xml:space="preserve">that may be present </w:t>
      </w:r>
      <w:r w:rsidR="006D6A63">
        <w:t>within the data.</w:t>
      </w:r>
    </w:p>
    <w:p w14:paraId="0CD8EDF9" w14:textId="77777777" w:rsidR="00E53C16" w:rsidRDefault="00E53C16" w:rsidP="005B57F9">
      <w:pPr>
        <w:pStyle w:val="Body"/>
      </w:pPr>
    </w:p>
    <w:p w14:paraId="2E31BED0" w14:textId="007D2815" w:rsidR="00337C70" w:rsidRDefault="009102BC" w:rsidP="00A4250C">
      <w:pPr>
        <w:pStyle w:val="Body"/>
      </w:pPr>
      <w:r>
        <w:t xml:space="preserve">Supervised </w:t>
      </w:r>
      <w:r w:rsidR="00DD3888">
        <w:t xml:space="preserve">statistical learning </w:t>
      </w:r>
      <w:r w:rsidR="0062173E">
        <w:t>methods</w:t>
      </w:r>
      <w:r>
        <w:t xml:space="preserve"> are </w:t>
      </w:r>
      <w:r w:rsidR="00192682">
        <w:t>approaches</w:t>
      </w:r>
      <w:r w:rsidR="00DD3888">
        <w:t xml:space="preserve"> that </w:t>
      </w:r>
      <w:r w:rsidR="0070405A">
        <w:t xml:space="preserve">gain additional power by </w:t>
      </w:r>
      <w:r w:rsidR="0062173E">
        <w:t>consider</w:t>
      </w:r>
      <w:r w:rsidR="0070405A">
        <w:t xml:space="preserve">ing </w:t>
      </w:r>
      <w:r w:rsidR="004B2AD3">
        <w:t>the</w:t>
      </w:r>
      <w:r w:rsidR="0062173E">
        <w:t xml:space="preserve"> relationships between </w:t>
      </w:r>
      <w:r w:rsidR="0070405A">
        <w:t xml:space="preserve">multiple </w:t>
      </w:r>
      <w:r w:rsidR="0062173E">
        <w:t>features</w:t>
      </w:r>
      <w:r w:rsidR="002F61C6">
        <w:t xml:space="preserve"> and the </w:t>
      </w:r>
      <w:r w:rsidR="0070405A">
        <w:t>classification groups</w:t>
      </w:r>
      <w:r w:rsidR="00DD3888">
        <w:t xml:space="preserve">. </w:t>
      </w:r>
      <w:r w:rsidR="008B53FC">
        <w:t xml:space="preserve">The </w:t>
      </w:r>
      <w:r w:rsidR="006D6A63">
        <w:t xml:space="preserve">statistical </w:t>
      </w:r>
      <w:r w:rsidR="008B53FC">
        <w:t>learning algorithms l</w:t>
      </w:r>
      <w:r w:rsidR="00DD3888">
        <w:t xml:space="preserve">ogistic regression, decision trees and </w:t>
      </w:r>
      <w:r w:rsidR="002F61C6">
        <w:t>random forests are well suited</w:t>
      </w:r>
      <w:r w:rsidR="00D052FD">
        <w:t xml:space="preserve"> to biomarker discovery</w:t>
      </w:r>
      <w:r w:rsidR="00342C29">
        <w:t xml:space="preserve">, however, the data and </w:t>
      </w:r>
      <w:r w:rsidR="006D6A63">
        <w:t>the projects</w:t>
      </w:r>
      <w:r w:rsidR="00342C29">
        <w:t xml:space="preserve"> </w:t>
      </w:r>
      <w:r w:rsidR="006D6A63">
        <w:t>aims</w:t>
      </w:r>
      <w:r w:rsidR="00342C29">
        <w:t xml:space="preserve"> dictate </w:t>
      </w:r>
      <w:r w:rsidR="006D6A63">
        <w:t>will guide the</w:t>
      </w:r>
      <w:r w:rsidR="00342C29">
        <w:t xml:space="preserve"> </w:t>
      </w:r>
      <w:r w:rsidR="006D6A63">
        <w:t xml:space="preserve">choice of </w:t>
      </w:r>
      <w:r w:rsidR="00342C29">
        <w:t>algorithm</w:t>
      </w:r>
      <w:r w:rsidR="002F61C6">
        <w:t xml:space="preserve">. </w:t>
      </w:r>
      <w:r w:rsidR="00337C70">
        <w:t>What follows</w:t>
      </w:r>
      <w:r w:rsidR="00121F63">
        <w:t xml:space="preserve"> is not an exhaustive list of classification</w:t>
      </w:r>
      <w:r w:rsidR="006D6A63">
        <w:t xml:space="preserve"> </w:t>
      </w:r>
      <w:r w:rsidR="00121F63">
        <w:t>algorithms</w:t>
      </w:r>
      <w:r w:rsidR="00337C70">
        <w:t xml:space="preserve">, it is a </w:t>
      </w:r>
      <w:r w:rsidR="000946FD">
        <w:t>highlight</w:t>
      </w:r>
      <w:r w:rsidR="00337C70">
        <w:t xml:space="preserve"> of </w:t>
      </w:r>
      <w:r w:rsidR="000946FD">
        <w:t>models appropriate for biomarker discovery.</w:t>
      </w:r>
    </w:p>
    <w:p w14:paraId="210A9B2E" w14:textId="77777777" w:rsidR="000946FD" w:rsidRDefault="000946FD" w:rsidP="00A4250C">
      <w:pPr>
        <w:pStyle w:val="Body"/>
      </w:pPr>
    </w:p>
    <w:p w14:paraId="7FB76842" w14:textId="16175F72" w:rsidR="000946FD" w:rsidRDefault="00922B62" w:rsidP="00A4250C">
      <w:pPr>
        <w:pStyle w:val="Body"/>
      </w:pPr>
      <w:r>
        <w:t>Not included</w:t>
      </w:r>
      <w:r w:rsidR="000946FD">
        <w:t xml:space="preserve"> are complex models such as gradient boosted machines or neural networks. These models are generally more flexible meaning that they can identify more subtle patterns and relationships which </w:t>
      </w:r>
      <w:r w:rsidR="003843BA">
        <w:t>can</w:t>
      </w:r>
      <w:r w:rsidR="000946FD">
        <w:t xml:space="preserve"> lead to </w:t>
      </w:r>
      <w:r w:rsidR="003843BA">
        <w:t>better</w:t>
      </w:r>
      <w:r w:rsidR="000946FD">
        <w:t xml:space="preserve"> predictive accuracy. However, they</w:t>
      </w:r>
      <w:r w:rsidR="009328F4">
        <w:t xml:space="preserve"> typically</w:t>
      </w:r>
      <w:r w:rsidR="000946FD">
        <w:t xml:space="preserve"> need impractically large</w:t>
      </w:r>
      <w:r w:rsidR="009B621C">
        <w:t xml:space="preserve"> sources of</w:t>
      </w:r>
      <w:r w:rsidR="000946FD">
        <w:t xml:space="preserve"> data otherwise overfitting is likely. Overfitting is where</w:t>
      </w:r>
      <w:r w:rsidR="009B621C">
        <w:t xml:space="preserve"> a model has learned patterns that are too specific, effectively describing the training data and not identify</w:t>
      </w:r>
      <w:r w:rsidR="009328F4">
        <w:t>ing</w:t>
      </w:r>
      <w:r w:rsidR="009B621C">
        <w:t xml:space="preserve"> the underlying patterns </w:t>
      </w:r>
      <w:r w:rsidR="009B621C">
        <w:lastRenderedPageBreak/>
        <w:t>present. An overfitted model will have very high accuracy in the data</w:t>
      </w:r>
      <w:r w:rsidR="00890908">
        <w:t>set it has been trained upon</w:t>
      </w:r>
      <w:r w:rsidR="009B621C">
        <w:t xml:space="preserve"> but is not generalised</w:t>
      </w:r>
      <w:r w:rsidR="00890908">
        <w:t xml:space="preserve"> and will have very poor performance in future data</w:t>
      </w:r>
      <w:r w:rsidR="009B621C">
        <w:t>. A well generalised model has determined the</w:t>
      </w:r>
      <w:r>
        <w:t xml:space="preserve"> overall</w:t>
      </w:r>
      <w:r w:rsidR="009B621C">
        <w:t xml:space="preserve"> patterns in the sample</w:t>
      </w:r>
      <w:r>
        <w:t>,</w:t>
      </w:r>
      <w:r w:rsidR="009B621C">
        <w:t xml:space="preserve"> </w:t>
      </w:r>
      <w:r>
        <w:t xml:space="preserve">these are applicable to new data and accuracy in the new data </w:t>
      </w:r>
      <w:r w:rsidR="009328F4">
        <w:t>can</w:t>
      </w:r>
      <w:r>
        <w:t xml:space="preserve"> only marginally reduced. </w:t>
      </w:r>
      <w:r w:rsidR="000946FD">
        <w:t>Conversely, underfitting</w:t>
      </w:r>
      <w:r>
        <w:t xml:space="preserve"> is where a model is not flexible enough to fit the patterns present and the model has both poor accuracy in the sample trained upon and any future data</w:t>
      </w:r>
      <w:r w:rsidR="000946FD">
        <w:t>.</w:t>
      </w:r>
    </w:p>
    <w:p w14:paraId="76995723" w14:textId="77777777" w:rsidR="00922B62" w:rsidRDefault="00922B62" w:rsidP="00A4250C">
      <w:pPr>
        <w:pStyle w:val="Body"/>
      </w:pPr>
    </w:p>
    <w:p w14:paraId="7277A40D" w14:textId="205689BE" w:rsidR="00347976" w:rsidRDefault="00337C70" w:rsidP="00A4250C">
      <w:pPr>
        <w:pStyle w:val="Body"/>
      </w:pPr>
      <w:r>
        <w:t>Mo</w:t>
      </w:r>
      <w:r w:rsidR="00121F63">
        <w:t xml:space="preserve">re </w:t>
      </w:r>
      <w:r w:rsidR="00287D1A">
        <w:t>complex</w:t>
      </w:r>
      <w:r w:rsidR="00D052FD">
        <w:t xml:space="preserve"> </w:t>
      </w:r>
      <w:r>
        <w:t>models have not been shown despite the fact that they</w:t>
      </w:r>
      <w:r w:rsidR="002F61C6">
        <w:t xml:space="preserve"> </w:t>
      </w:r>
      <w:r w:rsidR="00121F63">
        <w:t xml:space="preserve">can offer substantial improvements </w:t>
      </w:r>
      <w:r w:rsidR="0070405A">
        <w:t>in</w:t>
      </w:r>
      <w:r w:rsidR="00121F63">
        <w:t xml:space="preserve"> accuracy are inherently</w:t>
      </w:r>
      <w:r w:rsidR="002F61C6">
        <w:t xml:space="preserve"> unsuitable</w:t>
      </w:r>
      <w:r w:rsidR="00121F63">
        <w:t xml:space="preserve"> for biomarker discovery</w:t>
      </w:r>
      <w:r w:rsidR="008B5A83">
        <w:t>. T</w:t>
      </w:r>
      <w:r w:rsidR="0070405A">
        <w:t>hese models require prohibitively large data sets and work like a “black box” where data is input, processed and a resulting classification is given</w:t>
      </w:r>
      <w:r w:rsidR="00A4250C">
        <w:t>.</w:t>
      </w:r>
      <w:r w:rsidR="000946FD">
        <w:t xml:space="preserve"> </w:t>
      </w:r>
    </w:p>
    <w:p w14:paraId="696FE1BA" w14:textId="77777777" w:rsidR="00A60A37" w:rsidRDefault="00A60A37" w:rsidP="00A4250C">
      <w:pPr>
        <w:pStyle w:val="Body"/>
      </w:pPr>
    </w:p>
    <w:p w14:paraId="74384FA3" w14:textId="497E6A70" w:rsidR="000946FD" w:rsidRDefault="000946FD" w:rsidP="006C7ED4">
      <w:pPr>
        <w:pStyle w:val="Body"/>
      </w:pPr>
      <w:r>
        <w:t xml:space="preserve">Finally, </w:t>
      </w:r>
      <w:r w:rsidR="006C7ED4">
        <w:t xml:space="preserve">complex models are avoided because </w:t>
      </w:r>
      <w:r w:rsidR="00A60A37">
        <w:t>as complex</w:t>
      </w:r>
      <w:r w:rsidR="006C7ED4">
        <w:t>ity increases</w:t>
      </w:r>
      <w:r w:rsidR="00A60A37">
        <w:t xml:space="preserve"> interpretability </w:t>
      </w:r>
      <w:r w:rsidR="009328F4">
        <w:t>decreases</w:t>
      </w:r>
      <w:r w:rsidR="00A60A37">
        <w:t xml:space="preserve"> meaning the reason behind a given classification cannot easily be understood</w:t>
      </w:r>
      <w:r w:rsidR="0043562F">
        <w:t xml:space="preserve">. </w:t>
      </w:r>
      <w:r w:rsidR="006C7ED4">
        <w:t>This has arisen to many machine learning algorithms being dubbed “black boxes”. In the context of disease classification this is not an ideal and confidence in a black box algorithm can only be built through extensive validation.</w:t>
      </w:r>
    </w:p>
    <w:p w14:paraId="395ED60B" w14:textId="77777777" w:rsidR="00BE4EA9" w:rsidRDefault="00BE4EA9" w:rsidP="005B57F9">
      <w:pPr>
        <w:pStyle w:val="Body"/>
      </w:pPr>
    </w:p>
    <w:p w14:paraId="68290EB9" w14:textId="2D69A72E" w:rsidR="00114009" w:rsidRDefault="0041391A" w:rsidP="005B57F9">
      <w:pPr>
        <w:pStyle w:val="Heading2"/>
        <w:numPr>
          <w:ilvl w:val="3"/>
          <w:numId w:val="7"/>
        </w:numPr>
        <w:spacing w:before="120" w:after="120"/>
      </w:pPr>
      <w:bookmarkStart w:id="71" w:name="_Toc60773875"/>
      <w:r>
        <w:t>Logistic Regression</w:t>
      </w:r>
      <w:bookmarkEnd w:id="71"/>
      <w:r w:rsidR="000D4293">
        <w:t xml:space="preserve"> </w:t>
      </w:r>
    </w:p>
    <w:p w14:paraId="142E1B5B" w14:textId="6B06F854" w:rsidR="00357493" w:rsidRDefault="000B33A2" w:rsidP="002B78E9">
      <w:pPr>
        <w:pStyle w:val="Body"/>
      </w:pPr>
      <w:r>
        <w:t>In medical research logistic regression is commonly used to model risk factors associated with patients</w:t>
      </w:r>
      <w:r w:rsidR="00213D21">
        <w:t xml:space="preserve"> </w:t>
      </w:r>
      <w:r w:rsidR="00095567">
        <w:rPr>
          <w:rFonts w:eastAsiaTheme="minorEastAsia"/>
          <w:lang w:val="en-US"/>
        </w:rPr>
        <w:fldChar w:fldCharType="begin"/>
      </w:r>
      <w:r w:rsidR="004E19A5">
        <w:rPr>
          <w:rFonts w:eastAsiaTheme="minorEastAsia"/>
          <w:lang w:val="en-US"/>
        </w:rPr>
        <w:instrText xml:space="preserve"> ADDIN PAPERS2_CITATIONS &lt;citation&gt;&lt;priority&gt;69&lt;/priority&gt;&lt;uuid&gt;497322B8-BE76-4F7E-9BE3-E5A7838B7DD9&lt;/uuid&gt;&lt;publications&gt;&lt;publication&gt;&lt;subtype&gt;400&lt;/subtype&gt;&lt;title&gt;Involvement of pulmonary arteriopathy in the development and severity of reperfusion pulmonary edema after pulmonary endarterectomy.&lt;/title&gt;&lt;url&gt;http://journals.sagepub.com/doi/10.1177/2045894019846439&lt;/url&gt;&lt;volume&gt;9&lt;/volume&gt;&lt;publication_date&gt;99201904001200000000220000&lt;/publication_date&gt;&lt;uuid&gt;2749E7A0-61B4-4D11-A329-85697EC3E102&lt;/uuid&gt;&lt;type&gt;400&lt;/type&gt;&lt;number&gt;2&lt;/number&gt;&lt;doi&gt;10.1177/2045894019846439&lt;/doi&gt;&lt;institution&gt;1 Department of Respirology (B2), Graduate School of Medicine, Chiba University, Chiba, Japan.&lt;/institution&gt;&lt;startpage&gt;2045894019846439&lt;/startpage&gt;&lt;bundle&gt;&lt;publication&gt;&lt;title&gt;Pulmonary Circulation&lt;/title&gt;&lt;uuid&gt;BD4DDD77-E75D-4D0E-B940-4D3670519F34&lt;/uuid&gt;&lt;subtype&gt;-100&lt;/subtype&gt;&lt;publisher&gt;The University of Chicago Press&lt;/publisher&gt;&lt;type&gt;-100&lt;/type&gt;&lt;/publication&gt;&lt;/bundle&gt;&lt;authors&gt;&lt;author&gt;&lt;lastName&gt;Sanada&lt;/lastName&gt;&lt;firstName&gt;Takayuki&lt;/firstName&gt;&lt;middleNames&gt;Jujo&lt;/middleNames&gt;&lt;/author&gt;&lt;author&gt;&lt;lastName&gt;Tanabe&lt;/lastName&gt;&lt;firstName&gt;Nobuhiro&lt;/firstName&gt;&lt;/author&gt;&lt;author&gt;&lt;lastName&gt;Ishibashi-Ueda&lt;/lastName&gt;&lt;firstName&gt;Hatsue&lt;/firstName&gt;&lt;/author&gt;&lt;author&gt;&lt;lastName&gt;Ishida&lt;/lastName&gt;&lt;firstName&gt;Keiichi&lt;/firstName&gt;&lt;/author&gt;&lt;author&gt;&lt;lastName&gt;Naito&lt;/lastName&gt;&lt;firstName&gt;Akira&lt;/firstName&gt;&lt;/author&gt;&lt;author&gt;&lt;lastName&gt;Sakao&lt;/lastName&gt;&lt;firstName&gt;Seiichiro&lt;/firstName&gt;&lt;/author&gt;&lt;author&gt;&lt;lastName&gt;Suda&lt;/lastName&gt;&lt;firstName&gt;Rika&lt;/firstName&gt;&lt;/author&gt;&lt;author&gt;&lt;lastName&gt;Kasai&lt;/lastName&gt;&lt;firstName&gt;Hajime&lt;/firstName&gt;&lt;/author&gt;&lt;author&gt;&lt;lastName&gt;Nishimura&lt;/lastName&gt;&lt;firstName&gt;Rintaro&lt;/firstName&gt;&lt;/author&gt;&lt;author&gt;&lt;lastName&gt;Sugiura&lt;/lastName&gt;&lt;firstName&gt;Toshihiko&lt;/firstName&gt;&lt;/author&gt;&lt;author&gt;&lt;lastName&gt;Shigeta&lt;/lastName&gt;&lt;firstName&gt;Ayako&lt;/firstName&gt;&lt;/author&gt;&lt;author&gt;&lt;lastName&gt;Taniguchi&lt;/lastName&gt;&lt;firstName&gt;Yu&lt;/firstName&gt;&lt;/author&gt;&lt;author&gt;&lt;lastName&gt;Masuda&lt;/lastName&gt;&lt;firstName&gt;Masahisa&lt;/firstName&gt;&lt;/author&gt;&lt;author&gt;&lt;lastName&gt;Tatsumi&lt;/lastName&gt;&lt;firstName&gt;Koichiro&lt;/firstName&gt;&lt;/author&gt;&lt;/authors&gt;&lt;/publication&gt;&lt;/publications&gt;&lt;cites&gt;&lt;/cites&gt;&lt;/citation&gt;</w:instrText>
      </w:r>
      <w:r w:rsidR="00095567">
        <w:rPr>
          <w:rFonts w:eastAsiaTheme="minorEastAsia"/>
          <w:lang w:val="en-US"/>
        </w:rPr>
        <w:fldChar w:fldCharType="separate"/>
      </w:r>
      <w:r w:rsidR="004E19A5">
        <w:rPr>
          <w:rFonts w:eastAsiaTheme="minorEastAsia"/>
        </w:rPr>
        <w:t>(</w:t>
      </w:r>
      <w:proofErr w:type="spellStart"/>
      <w:r w:rsidR="004E19A5">
        <w:rPr>
          <w:rFonts w:eastAsiaTheme="minorEastAsia"/>
        </w:rPr>
        <w:t>Sanada</w:t>
      </w:r>
      <w:proofErr w:type="spellEnd"/>
      <w:r w:rsidR="004E19A5">
        <w:rPr>
          <w:rFonts w:eastAsiaTheme="minorEastAsia"/>
        </w:rPr>
        <w:t xml:space="preserve"> et al., 2019)</w:t>
      </w:r>
      <w:r w:rsidR="00095567">
        <w:rPr>
          <w:rFonts w:eastAsiaTheme="minorEastAsia"/>
          <w:lang w:val="en-US"/>
        </w:rPr>
        <w:fldChar w:fldCharType="end"/>
      </w:r>
      <w:r w:rsidR="00213D21">
        <w:rPr>
          <w:rFonts w:eastAsiaTheme="minorEastAsia"/>
          <w:lang w:val="en-US"/>
        </w:rPr>
        <w:t xml:space="preserve">, </w:t>
      </w:r>
      <w:r w:rsidR="00095567">
        <w:rPr>
          <w:rFonts w:eastAsiaTheme="minorEastAsia"/>
          <w:lang w:val="en-US"/>
        </w:rPr>
        <w:fldChar w:fldCharType="begin"/>
      </w:r>
      <w:r w:rsidR="004E19A5">
        <w:rPr>
          <w:rFonts w:eastAsiaTheme="minorEastAsia"/>
          <w:lang w:val="en-US"/>
        </w:rPr>
        <w:instrText xml:space="preserve"> ADDIN PAPERS2_CITATIONS &lt;citation&gt;&lt;priority&gt;70&lt;/priority&gt;&lt;uuid&gt;67B2AE75-3E86-4C13-A07C-8C66A5AF60DB&lt;/uuid&gt;&lt;publications&gt;&lt;publication&gt;&lt;subtype&gt;400&lt;/subtype&gt;&lt;title&gt;Analysis of pulmonary hypertension patient survival after treatment in referral center (data of first Ukrainian register)&lt;/title&gt;&lt;url&gt;http://journals.sagepub.com/doi/10.1177/2045894019845604&lt;/url&gt;&lt;volume&gt;9&lt;/volume&gt;&lt;publication_date&gt;99201905171200000000222000&lt;/publication_date&gt;&lt;uuid&gt;75A44DFA-55FA-4E3F-A5E6-0EC9F001A11D&lt;/uuid&gt;&lt;type&gt;400&lt;/type&gt;&lt;number&gt;2&lt;/number&gt;&lt;doi&gt;10.1177/2045894019845604&lt;/doi&gt;&lt;startpage&gt;204589401984560&lt;/startpage&gt;&lt;bundle&gt;&lt;publication&gt;&lt;title&gt;Pulmonary Circulation&lt;/title&gt;&lt;uuid&gt;BD4DDD77-E75D-4D0E-B940-4D3670519F34&lt;/uuid&gt;&lt;subtype&gt;-100&lt;/subtype&gt;&lt;publisher&gt;The University of Chicago Press&lt;/publisher&gt;&lt;type&gt;-100&lt;/type&gt;&lt;/publication&gt;&lt;/bundle&gt;&lt;authors&gt;&lt;author&gt;&lt;lastName&gt;Radchenko&lt;/lastName&gt;&lt;firstName&gt;Ganna&lt;/firstName&gt;&lt;middleNames&gt;D&lt;/middleNames&gt;&lt;/author&gt;&lt;author&gt;&lt;lastName&gt;Zhyvylo&lt;/lastName&gt;&lt;firstName&gt;Iryna&lt;/firstName&gt;&lt;middleNames&gt;O&lt;/middleNames&gt;&lt;/author&gt;&lt;author&gt;&lt;lastName&gt;Sirenko&lt;/lastName&gt;&lt;firstName&gt;Yuriy&lt;/firstName&gt;&lt;middleNames&gt;M&lt;/middleNames&gt;&lt;/author&gt;&lt;/authors&gt;&lt;/publication&gt;&lt;/publications&gt;&lt;cites&gt;&lt;/cites&gt;&lt;/citation&gt;</w:instrText>
      </w:r>
      <w:r w:rsidR="00095567">
        <w:rPr>
          <w:rFonts w:eastAsiaTheme="minorEastAsia"/>
          <w:lang w:val="en-US"/>
        </w:rPr>
        <w:fldChar w:fldCharType="separate"/>
      </w:r>
      <w:r w:rsidR="00095567">
        <w:rPr>
          <w:rFonts w:eastAsiaTheme="minorEastAsia"/>
          <w:lang w:val="en-US"/>
        </w:rPr>
        <w:t>(</w:t>
      </w:r>
      <w:proofErr w:type="spellStart"/>
      <w:r w:rsidR="00095567">
        <w:rPr>
          <w:rFonts w:eastAsiaTheme="minorEastAsia"/>
          <w:lang w:val="en-US"/>
        </w:rPr>
        <w:t>Radchenko</w:t>
      </w:r>
      <w:proofErr w:type="spellEnd"/>
      <w:r w:rsidR="00095567">
        <w:rPr>
          <w:rFonts w:eastAsiaTheme="minorEastAsia"/>
          <w:lang w:val="en-US"/>
        </w:rPr>
        <w:t xml:space="preserve">, </w:t>
      </w:r>
      <w:proofErr w:type="spellStart"/>
      <w:r w:rsidR="00095567">
        <w:rPr>
          <w:rFonts w:eastAsiaTheme="minorEastAsia"/>
          <w:lang w:val="en-US"/>
        </w:rPr>
        <w:t>Zhyvylo</w:t>
      </w:r>
      <w:proofErr w:type="spellEnd"/>
      <w:r w:rsidR="00095567">
        <w:rPr>
          <w:rFonts w:eastAsiaTheme="minorEastAsia"/>
          <w:lang w:val="en-US"/>
        </w:rPr>
        <w:t xml:space="preserve">, &amp; </w:t>
      </w:r>
      <w:proofErr w:type="spellStart"/>
      <w:r w:rsidR="00095567">
        <w:rPr>
          <w:rFonts w:eastAsiaTheme="minorEastAsia"/>
          <w:lang w:val="en-US"/>
        </w:rPr>
        <w:t>Sirenko</w:t>
      </w:r>
      <w:proofErr w:type="spellEnd"/>
      <w:r w:rsidR="00095567">
        <w:rPr>
          <w:rFonts w:eastAsiaTheme="minorEastAsia"/>
          <w:lang w:val="en-US"/>
        </w:rPr>
        <w:t>, 2019)</w:t>
      </w:r>
      <w:r w:rsidR="00095567">
        <w:rPr>
          <w:rFonts w:eastAsiaTheme="minorEastAsia"/>
          <w:lang w:val="en-US"/>
        </w:rPr>
        <w:fldChar w:fldCharType="end"/>
      </w:r>
      <w:r>
        <w:t xml:space="preserve">. However, </w:t>
      </w:r>
      <w:r w:rsidR="00D40770">
        <w:t>logistic regression</w:t>
      </w:r>
      <w:r>
        <w:t xml:space="preserve"> can also be used for the classification of </w:t>
      </w:r>
      <w:r w:rsidR="00131A7A">
        <w:t xml:space="preserve">a dichotomous </w:t>
      </w:r>
      <w:r w:rsidR="00131A7A">
        <w:lastRenderedPageBreak/>
        <w:t xml:space="preserve">dependant variable </w:t>
      </w:r>
      <w:r w:rsidR="00B176A8">
        <w:t>with</w:t>
      </w:r>
      <w:r w:rsidR="00131A7A">
        <w:t xml:space="preserve"> one or more independent variables</w:t>
      </w:r>
      <w:r>
        <w:t xml:space="preserve">. </w:t>
      </w:r>
      <w:r w:rsidR="002B78E9">
        <w:t>It</w:t>
      </w:r>
      <w:r w:rsidR="00131A7A">
        <w:t xml:space="preserve"> is popular due to the simplicity and robustness of the statistical formula and the ease of interpretation of the output.</w:t>
      </w:r>
      <w:r w:rsidR="002B78E9">
        <w:t xml:space="preserve"> Interactions between features can be included modelling non-linear effects,</w:t>
      </w:r>
      <w:r w:rsidR="00BC0935">
        <w:t xml:space="preserve"> however,</w:t>
      </w:r>
      <w:r w:rsidR="002B78E9">
        <w:t xml:space="preserve"> they must be known a priori or empirically</w:t>
      </w:r>
      <w:r w:rsidR="00BC0935" w:rsidRPr="00BC0935">
        <w:t xml:space="preserve"> </w:t>
      </w:r>
      <w:r w:rsidR="00BC0935">
        <w:t>discovered</w:t>
      </w:r>
      <w:r w:rsidR="002B78E9">
        <w:t>.</w:t>
      </w:r>
      <w:r w:rsidR="00A73FB6">
        <w:t xml:space="preserve"> </w:t>
      </w:r>
    </w:p>
    <w:p w14:paraId="3E6265C5" w14:textId="5FE71BA5" w:rsidR="00357493" w:rsidRDefault="00357493" w:rsidP="0003324D">
      <w:pPr>
        <w:pStyle w:val="Body"/>
      </w:pPr>
    </w:p>
    <w:p w14:paraId="759690F4" w14:textId="1B6BA041" w:rsidR="005D707B" w:rsidRDefault="00357493" w:rsidP="0003324D">
      <w:pPr>
        <w:pStyle w:val="Body"/>
      </w:pPr>
      <w:r>
        <w:t>Due to the simplicity of logistic regression, underfit</w:t>
      </w:r>
      <w:r w:rsidR="00C21906">
        <w:t>ting is a concern</w:t>
      </w:r>
      <w:r>
        <w:t xml:space="preserve"> as the model </w:t>
      </w:r>
      <w:r w:rsidR="00C21906">
        <w:t>may be unable</w:t>
      </w:r>
      <w:r>
        <w:t xml:space="preserve"> capture </w:t>
      </w:r>
      <w:r w:rsidR="00213D21">
        <w:t xml:space="preserve">the patterns within </w:t>
      </w:r>
      <w:r>
        <w:t>the data it is trying to classify. Conversely with h</w:t>
      </w:r>
      <w:r w:rsidR="0010367C">
        <w:t>igh dimensional data there</w:t>
      </w:r>
      <w:r w:rsidR="00D364CF">
        <w:t xml:space="preserve"> </w:t>
      </w:r>
      <w:r>
        <w:t>maybe too many features lead</w:t>
      </w:r>
      <w:r w:rsidR="002D6EB5">
        <w:t xml:space="preserve">ing </w:t>
      </w:r>
      <w:r>
        <w:t xml:space="preserve">to overfitting. </w:t>
      </w:r>
    </w:p>
    <w:p w14:paraId="3E333684" w14:textId="77777777" w:rsidR="00CA1C48" w:rsidRDefault="00CA1C48" w:rsidP="00A05AEC">
      <w:pPr>
        <w:pStyle w:val="Body"/>
      </w:pPr>
    </w:p>
    <w:p w14:paraId="48B9D9EF" w14:textId="46E498D3" w:rsidR="0041001D" w:rsidRDefault="00354946" w:rsidP="00A05AEC">
      <w:pPr>
        <w:pStyle w:val="Body"/>
      </w:pPr>
      <w:r>
        <w:t>Logistic regression was used to classify and identify diagnostic biomarkers in the peripheral</w:t>
      </w:r>
      <w:r w:rsidR="00C01FAF">
        <w:t xml:space="preserve"> blood mononuclear cells</w:t>
      </w:r>
      <w:r w:rsidR="00856DC6">
        <w:t xml:space="preserve"> </w:t>
      </w:r>
      <w:r w:rsidR="00C01FAF">
        <w:t>of</w:t>
      </w:r>
      <w:r w:rsidR="00F83ED8">
        <w:t xml:space="preserve"> 39 </w:t>
      </w:r>
      <w:proofErr w:type="spellStart"/>
      <w:r w:rsidR="00F83ED8">
        <w:t>SSc-NoPH</w:t>
      </w:r>
      <w:proofErr w:type="spellEnd"/>
      <w:r w:rsidR="00F83ED8">
        <w:t xml:space="preserve"> </w:t>
      </w:r>
      <w:r w:rsidR="00C01FAF">
        <w:t xml:space="preserve">and 25 </w:t>
      </w:r>
      <w:proofErr w:type="spellStart"/>
      <w:r w:rsidR="00C01FAF">
        <w:t>SSc</w:t>
      </w:r>
      <w:proofErr w:type="spellEnd"/>
      <w:r w:rsidR="00C01FAF">
        <w:t>-PAH</w:t>
      </w:r>
      <w:r w:rsidR="00A05AEC">
        <w:t xml:space="preserve"> </w:t>
      </w:r>
      <w:r w:rsidR="00095567">
        <w:rPr>
          <w:rFonts w:eastAsiaTheme="minorEastAsia"/>
          <w:lang w:val="en-US"/>
        </w:rPr>
        <w:fldChar w:fldCharType="begin"/>
      </w:r>
      <w:r w:rsidR="004E19A5">
        <w:rPr>
          <w:rFonts w:eastAsiaTheme="minorEastAsia"/>
          <w:lang w:val="en-US"/>
        </w:rPr>
        <w:instrText xml:space="preserve"> ADDIN PAPERS2_CITATIONS &lt;citation&gt;&lt;priority&gt;71&lt;/priority&gt;&lt;uuid&gt;92E1DE2C-235D-449B-BA28-37E03968EEDE&lt;/uuid&gt;&lt;publications&gt;&lt;publication&gt;&lt;subtype&gt;400&lt;/subtype&gt;&lt;title&gt;Patients with systemic sclerosis-associated pulmonary arterial hypertension express a genomic signature distinct from patients with interstitial lung disease.&lt;/title&gt;&lt;url&gt;http://eutils.ncbi.nlm.nih.gov/entrez/eutils/elink.fcgi?dbfrom=pubmed&amp;amp;id=30498788&amp;amp;retmode=ref&amp;amp;cmd=prlinks&lt;/url&gt;&lt;volume&gt;3&lt;/volume&gt;&lt;publication_date&gt;99201810001200000000220000&lt;/publication_date&gt;&lt;uuid&gt;3FC52ACA-BBBD-4481-8545-9BC1881B105C&lt;/uuid&gt;&lt;type&gt;400&lt;/type&gt;&lt;number&gt;3&lt;/number&gt;&lt;doi&gt;10.1177/2397198318764780&lt;/doi&gt;&lt;institution&gt;Pulmonary and Critical Care Division, Brigham and Women's Hospital, Boston, MA 02115, USA.&lt;/institution&gt;&lt;startpage&gt;242&lt;/startpage&gt;&lt;endpage&gt;248&lt;/endpage&gt;&lt;bundle&gt;&lt;publication&gt;&lt;title&gt;Journal of scleroderma and related disorders&lt;/title&gt;&lt;uuid&gt;E4DFED58-82C4-4236-A5EC-83DD4A2EFCDA&lt;/uuid&gt;&lt;subtype&gt;-100&lt;/subtype&gt;&lt;type&gt;-100&lt;/type&gt;&lt;/publication&gt;&lt;/bundle&gt;&lt;authors&gt;&lt;author&gt;&lt;lastName&gt;Moll&lt;/lastName&gt;&lt;firstName&gt;Matthew&lt;/firstName&gt;&lt;/author&gt;&lt;author&gt;&lt;lastName&gt;Christmann&lt;/lastName&gt;&lt;firstName&gt;Romy&lt;/firstName&gt;&lt;middleNames&gt;B&lt;/middleNames&gt;&lt;/author&gt;&lt;author&gt;&lt;lastName&gt;Zhang&lt;/lastName&gt;&lt;firstName&gt;Yuqing&lt;/firstName&gt;&lt;/author&gt;&lt;author&gt;&lt;lastName&gt;Whitfield&lt;/lastName&gt;&lt;firstName&gt;Michael&lt;/firstName&gt;&lt;middleNames&gt;L&lt;/middleNames&gt;&lt;/author&gt;&lt;author&gt;&lt;lastName&gt;Wang&lt;/lastName&gt;&lt;firstName&gt;Yu&lt;/firstName&gt;&lt;middleNames&gt;Mei&lt;/middleNames&gt;&lt;/author&gt;&lt;author&gt;&lt;lastName&gt;Rice&lt;/lastName&gt;&lt;firstName&gt;Lisa&lt;/firstName&gt;&lt;/author&gt;&lt;author&gt;&lt;lastName&gt;Stratton&lt;/lastName&gt;&lt;firstName&gt;Eric&lt;/firstName&gt;&lt;/author&gt;&lt;author&gt;&lt;lastName&gt;Lafyatis&lt;/lastName&gt;&lt;firstName&gt;Robert&lt;/firstName&gt;&lt;/author&gt;&lt;author&gt;&lt;lastName&gt;Farber&lt;/lastName&gt;&lt;firstName&gt;Harrison&lt;/firstName&gt;&lt;middleNames&gt;W&lt;/middleNames&gt;&lt;/author&gt;&lt;/authors&gt;&lt;/publication&gt;&lt;/publications&gt;&lt;cites&gt;&lt;/cites&gt;&lt;/citation&gt;</w:instrText>
      </w:r>
      <w:r w:rsidR="00095567">
        <w:rPr>
          <w:rFonts w:eastAsiaTheme="minorEastAsia"/>
          <w:lang w:val="en-US"/>
        </w:rPr>
        <w:fldChar w:fldCharType="separate"/>
      </w:r>
      <w:r w:rsidR="00095567">
        <w:rPr>
          <w:rFonts w:eastAsiaTheme="minorEastAsia"/>
          <w:lang w:val="en-US"/>
        </w:rPr>
        <w:t>(Moll et al., 2018)</w:t>
      </w:r>
      <w:r w:rsidR="00095567">
        <w:rPr>
          <w:rFonts w:eastAsiaTheme="minorEastAsia"/>
          <w:lang w:val="en-US"/>
        </w:rPr>
        <w:fldChar w:fldCharType="end"/>
      </w:r>
      <w:r w:rsidR="00A05AEC">
        <w:rPr>
          <w:rFonts w:eastAsiaTheme="minorEastAsia"/>
          <w:lang w:val="en-US"/>
        </w:rPr>
        <w:t xml:space="preserve">. </w:t>
      </w:r>
      <w:r>
        <w:rPr>
          <w:rFonts w:eastAsiaTheme="minorEastAsia"/>
          <w:lang w:val="en-US"/>
        </w:rPr>
        <w:t>Microarr</w:t>
      </w:r>
      <w:r w:rsidR="00713BF4">
        <w:rPr>
          <w:rFonts w:eastAsiaTheme="minorEastAsia"/>
          <w:lang w:val="en-US"/>
        </w:rPr>
        <w:t>a</w:t>
      </w:r>
      <w:r>
        <w:rPr>
          <w:rFonts w:eastAsiaTheme="minorEastAsia"/>
          <w:lang w:val="en-US"/>
        </w:rPr>
        <w:t>y gene expression was initially filtered by identifying g</w:t>
      </w:r>
      <w:r w:rsidR="00856DC6">
        <w:rPr>
          <w:rFonts w:eastAsiaTheme="minorEastAsia"/>
          <w:lang w:val="en-US"/>
        </w:rPr>
        <w:t xml:space="preserve">enes correlated with the presence of PAH </w:t>
      </w:r>
      <w:r>
        <w:rPr>
          <w:rFonts w:eastAsiaTheme="minorEastAsia"/>
          <w:lang w:val="en-US"/>
        </w:rPr>
        <w:t xml:space="preserve">to </w:t>
      </w:r>
      <w:r w:rsidR="00713BF4">
        <w:rPr>
          <w:rFonts w:eastAsiaTheme="minorEastAsia"/>
          <w:lang w:val="en-US"/>
        </w:rPr>
        <w:t>find</w:t>
      </w:r>
      <w:r w:rsidR="00856DC6">
        <w:rPr>
          <w:rFonts w:eastAsiaTheme="minorEastAsia"/>
          <w:lang w:val="en-US"/>
        </w:rPr>
        <w:t xml:space="preserve"> sets</w:t>
      </w:r>
      <w:r>
        <w:rPr>
          <w:rFonts w:eastAsiaTheme="minorEastAsia"/>
          <w:lang w:val="en-US"/>
        </w:rPr>
        <w:t xml:space="preserve"> of</w:t>
      </w:r>
      <w:r w:rsidR="00856DC6">
        <w:rPr>
          <w:rFonts w:eastAsiaTheme="minorEastAsia"/>
          <w:lang w:val="en-US"/>
        </w:rPr>
        <w:t xml:space="preserve"> intra-correlated</w:t>
      </w:r>
      <w:r>
        <w:rPr>
          <w:rFonts w:eastAsiaTheme="minorEastAsia"/>
          <w:lang w:val="en-US"/>
        </w:rPr>
        <w:t xml:space="preserve"> genes</w:t>
      </w:r>
      <w:r w:rsidR="00856DC6">
        <w:rPr>
          <w:rFonts w:eastAsiaTheme="minorEastAsia"/>
          <w:lang w:val="en-US"/>
        </w:rPr>
        <w:t>. From each</w:t>
      </w:r>
      <w:r w:rsidR="00713BF4">
        <w:rPr>
          <w:rFonts w:eastAsiaTheme="minorEastAsia"/>
          <w:lang w:val="en-US"/>
        </w:rPr>
        <w:t xml:space="preserve"> gene</w:t>
      </w:r>
      <w:r w:rsidR="00856DC6">
        <w:rPr>
          <w:rFonts w:eastAsiaTheme="minorEastAsia"/>
          <w:lang w:val="en-US"/>
        </w:rPr>
        <w:t xml:space="preserve"> set 1 or 2 genes were selected to represent </w:t>
      </w:r>
      <w:r w:rsidR="00713BF4">
        <w:rPr>
          <w:rFonts w:eastAsiaTheme="minorEastAsia"/>
          <w:lang w:val="en-US"/>
        </w:rPr>
        <w:t>the</w:t>
      </w:r>
      <w:r w:rsidR="00856DC6">
        <w:rPr>
          <w:rFonts w:eastAsiaTheme="minorEastAsia"/>
          <w:lang w:val="en-US"/>
        </w:rPr>
        <w:t xml:space="preserve"> set</w:t>
      </w:r>
      <w:r w:rsidR="001716C7">
        <w:rPr>
          <w:rFonts w:eastAsiaTheme="minorEastAsia"/>
          <w:lang w:val="en-US"/>
        </w:rPr>
        <w:t>s</w:t>
      </w:r>
      <w:r w:rsidR="00856DC6">
        <w:rPr>
          <w:rFonts w:eastAsiaTheme="minorEastAsia"/>
          <w:lang w:val="en-US"/>
        </w:rPr>
        <w:t xml:space="preserve"> based upon a combination of c-statistic, largest fold</w:t>
      </w:r>
      <w:r w:rsidR="00713BF4">
        <w:rPr>
          <w:rFonts w:eastAsiaTheme="minorEastAsia"/>
          <w:lang w:val="en-US"/>
        </w:rPr>
        <w:t>-</w:t>
      </w:r>
      <w:r w:rsidR="00856DC6">
        <w:rPr>
          <w:rFonts w:eastAsiaTheme="minorEastAsia"/>
          <w:lang w:val="en-US"/>
        </w:rPr>
        <w:t>change, and biological plausibility.</w:t>
      </w:r>
      <w:r w:rsidR="00C01FAF">
        <w:t xml:space="preserve"> </w:t>
      </w:r>
      <w:r w:rsidR="00856DC6">
        <w:t>The cohort</w:t>
      </w:r>
      <w:r w:rsidR="0041001D">
        <w:t xml:space="preserve"> of </w:t>
      </w:r>
      <w:proofErr w:type="spellStart"/>
      <w:r w:rsidR="0041001D">
        <w:t>SSc</w:t>
      </w:r>
      <w:proofErr w:type="spellEnd"/>
      <w:r w:rsidR="0041001D">
        <w:t xml:space="preserve"> patients</w:t>
      </w:r>
      <w:r w:rsidR="00856DC6">
        <w:t xml:space="preserve"> was split into </w:t>
      </w:r>
      <w:r w:rsidR="0041001D">
        <w:t>those</w:t>
      </w:r>
      <w:r w:rsidR="00856DC6">
        <w:t xml:space="preserve"> with </w:t>
      </w:r>
      <w:r w:rsidR="0041001D">
        <w:t xml:space="preserve">interstitial lung disease (ILD) </w:t>
      </w:r>
      <w:r w:rsidR="00856DC6">
        <w:t xml:space="preserve">and </w:t>
      </w:r>
      <w:r w:rsidR="0041001D">
        <w:t>those</w:t>
      </w:r>
      <w:r w:rsidR="00856DC6">
        <w:t xml:space="preserve"> without</w:t>
      </w:r>
      <w:r w:rsidR="0041001D">
        <w:t xml:space="preserve">, </w:t>
      </w:r>
      <w:r w:rsidR="00856DC6">
        <w:t>the filtering</w:t>
      </w:r>
      <w:r w:rsidR="0041001D">
        <w:t xml:space="preserve"> was performed separately</w:t>
      </w:r>
      <w:r w:rsidR="00856DC6">
        <w:t xml:space="preserve"> to each subset. This identified 5 genes in </w:t>
      </w:r>
      <w:proofErr w:type="spellStart"/>
      <w:r w:rsidR="0041001D">
        <w:t>SSc</w:t>
      </w:r>
      <w:proofErr w:type="spellEnd"/>
      <w:r w:rsidR="0041001D">
        <w:t xml:space="preserve"> with ILD</w:t>
      </w:r>
      <w:r w:rsidR="00856DC6">
        <w:t xml:space="preserve"> </w:t>
      </w:r>
      <w:r w:rsidR="0041001D">
        <w:t xml:space="preserve">and 4 genes in </w:t>
      </w:r>
      <w:proofErr w:type="spellStart"/>
      <w:r w:rsidR="0041001D">
        <w:t>SSc</w:t>
      </w:r>
      <w:proofErr w:type="spellEnd"/>
      <w:r w:rsidR="0041001D">
        <w:t xml:space="preserve"> without ILD. Logistic regression with stepwise forward selection resulted in a best fit model of 4 genes AUC = 0.83 and 3 genes AUC = 0.80 for </w:t>
      </w:r>
      <w:proofErr w:type="spellStart"/>
      <w:r w:rsidR="0041001D">
        <w:t>SSc</w:t>
      </w:r>
      <w:proofErr w:type="spellEnd"/>
      <w:r w:rsidR="0041001D">
        <w:t xml:space="preserve"> ILD and </w:t>
      </w:r>
      <w:proofErr w:type="spellStart"/>
      <w:r w:rsidR="0041001D">
        <w:t>SSc</w:t>
      </w:r>
      <w:proofErr w:type="spellEnd"/>
      <w:r w:rsidR="0041001D">
        <w:t xml:space="preserve"> respectively. </w:t>
      </w:r>
    </w:p>
    <w:p w14:paraId="6ABA93BB" w14:textId="12C255D6" w:rsidR="0041001D" w:rsidRDefault="0041001D" w:rsidP="00A05AEC">
      <w:pPr>
        <w:pStyle w:val="Body"/>
      </w:pPr>
    </w:p>
    <w:p w14:paraId="0510591E" w14:textId="2244BC25" w:rsidR="00A05AEC" w:rsidRDefault="0041001D" w:rsidP="0003324D">
      <w:pPr>
        <w:pStyle w:val="Body"/>
      </w:pPr>
      <w:r>
        <w:t xml:space="preserve">Whilst the AUC values </w:t>
      </w:r>
      <w:r w:rsidR="00086F64">
        <w:t>were very good</w:t>
      </w:r>
      <w:r>
        <w:t xml:space="preserve"> for the tests the publication </w:t>
      </w:r>
      <w:r w:rsidR="0098136E">
        <w:t>did not</w:t>
      </w:r>
      <w:r>
        <w:t xml:space="preserve"> validate its findings by qPCR</w:t>
      </w:r>
      <w:r w:rsidR="0098136E">
        <w:t xml:space="preserve"> making it </w:t>
      </w:r>
      <w:r w:rsidR="00086F64">
        <w:t>impossible</w:t>
      </w:r>
      <w:r w:rsidR="0098136E">
        <w:t xml:space="preserve"> to determine if the biomarkers identified offer a legitimate diagnostic panel.</w:t>
      </w:r>
      <w:r>
        <w:t xml:space="preserve"> Instead</w:t>
      </w:r>
      <w:r w:rsidR="00086F64">
        <w:t>,</w:t>
      </w:r>
      <w:r>
        <w:t xml:space="preserve"> the publication concluded that as the panels </w:t>
      </w:r>
      <w:r w:rsidR="0098136E">
        <w:lastRenderedPageBreak/>
        <w:t xml:space="preserve">consisted of different genes </w:t>
      </w:r>
      <w:r>
        <w:t xml:space="preserve">then </w:t>
      </w:r>
      <w:proofErr w:type="spellStart"/>
      <w:r>
        <w:t>SSc</w:t>
      </w:r>
      <w:proofErr w:type="spellEnd"/>
      <w:r>
        <w:t xml:space="preserve"> with ILD expressed a genomic signature </w:t>
      </w:r>
      <w:r w:rsidR="0098136E">
        <w:t xml:space="preserve">different </w:t>
      </w:r>
      <w:r>
        <w:t xml:space="preserve">to </w:t>
      </w:r>
      <w:proofErr w:type="spellStart"/>
      <w:r>
        <w:t>SSc</w:t>
      </w:r>
      <w:proofErr w:type="spellEnd"/>
      <w:r>
        <w:t xml:space="preserve">. </w:t>
      </w:r>
      <w:r w:rsidR="0098136E">
        <w:t>However, t</w:t>
      </w:r>
      <w:r>
        <w:t xml:space="preserve">his could have been explicitly tested by using both sets of input genes as the input to a model </w:t>
      </w:r>
      <w:r w:rsidR="0098136E">
        <w:t>with the presence of</w:t>
      </w:r>
      <w:r>
        <w:t xml:space="preserve"> ILD as the regressor.</w:t>
      </w:r>
    </w:p>
    <w:p w14:paraId="5795472C" w14:textId="77777777" w:rsidR="0041391A" w:rsidRDefault="0041391A" w:rsidP="0041391A">
      <w:pPr>
        <w:pStyle w:val="Body"/>
      </w:pPr>
    </w:p>
    <w:p w14:paraId="46F2600E" w14:textId="428619C6" w:rsidR="0041391A" w:rsidRPr="0041391A" w:rsidRDefault="0041391A" w:rsidP="0041391A">
      <w:pPr>
        <w:pStyle w:val="Heading2"/>
        <w:numPr>
          <w:ilvl w:val="3"/>
          <w:numId w:val="7"/>
        </w:numPr>
        <w:spacing w:before="120" w:after="120"/>
      </w:pPr>
      <w:bookmarkStart w:id="72" w:name="_Toc60773876"/>
      <w:r>
        <w:t>Decision Trees</w:t>
      </w:r>
      <w:bookmarkEnd w:id="72"/>
    </w:p>
    <w:p w14:paraId="19686183" w14:textId="31A0B9E1" w:rsidR="005D49FF" w:rsidRDefault="005D49FF" w:rsidP="00A308B8">
      <w:pPr>
        <w:pStyle w:val="Body"/>
      </w:pPr>
      <w:r>
        <w:t>Decision trees are a non-parametric</w:t>
      </w:r>
      <w:r w:rsidR="00B75B80">
        <w:t xml:space="preserve"> statistical</w:t>
      </w:r>
      <w:r>
        <w:t xml:space="preserve"> learning </w:t>
      </w:r>
      <w:r w:rsidR="007806AE">
        <w:t xml:space="preserve">algorithm </w:t>
      </w:r>
      <w:r w:rsidR="004D3C11">
        <w:t xml:space="preserve">which </w:t>
      </w:r>
      <w:r w:rsidR="00471AFA">
        <w:t>require minimal tuning</w:t>
      </w:r>
      <w:r w:rsidR="00536253">
        <w:t xml:space="preserve"> </w:t>
      </w:r>
      <w:r w:rsidR="00D966DF">
        <w:t>and have the ability to discover patterns that present in complex interactions hidden within the data.</w:t>
      </w:r>
      <w:r w:rsidR="00C93101">
        <w:t xml:space="preserve"> </w:t>
      </w:r>
      <w:r w:rsidR="00D966DF">
        <w:t>Additionally, t</w:t>
      </w:r>
      <w:r w:rsidR="00C93101">
        <w:t>he</w:t>
      </w:r>
      <w:r w:rsidR="009B1157">
        <w:t xml:space="preserve"> resulting</w:t>
      </w:r>
      <w:r w:rsidR="00C93101">
        <w:t xml:space="preserve"> mode</w:t>
      </w:r>
      <w:r w:rsidR="001172E8">
        <w:t>l</w:t>
      </w:r>
      <w:r w:rsidR="00C93101">
        <w:t xml:space="preserve"> can be</w:t>
      </w:r>
      <w:r w:rsidR="00471AFA">
        <w:t xml:space="preserve"> </w:t>
      </w:r>
      <w:r w:rsidR="00685219">
        <w:t>displayed as</w:t>
      </w:r>
      <w:r w:rsidR="009B1157">
        <w:t xml:space="preserve"> </w:t>
      </w:r>
      <w:r w:rsidR="001A73E1">
        <w:t>an</w:t>
      </w:r>
      <w:r w:rsidR="00C93101">
        <w:t xml:space="preserve"> easily interpretable </w:t>
      </w:r>
      <w:r w:rsidR="00685219">
        <w:t>graph</w:t>
      </w:r>
      <w:r w:rsidR="00A96F22">
        <w:t>.</w:t>
      </w:r>
      <w:r w:rsidR="0053267A">
        <w:t xml:space="preserve"> </w:t>
      </w:r>
    </w:p>
    <w:p w14:paraId="06E850B4" w14:textId="77777777" w:rsidR="0041391A" w:rsidRDefault="0041391A" w:rsidP="0041391A">
      <w:pPr>
        <w:pStyle w:val="Body"/>
      </w:pPr>
    </w:p>
    <w:p w14:paraId="46D50FD6" w14:textId="3C6DEDD7" w:rsidR="00D205DD" w:rsidRDefault="000A09A9" w:rsidP="0041391A">
      <w:pPr>
        <w:pStyle w:val="Body"/>
      </w:pPr>
      <w:r>
        <w:t xml:space="preserve">Decision trees are </w:t>
      </w:r>
      <w:r w:rsidR="00D205DD">
        <w:t xml:space="preserve">built from the top down, first the feature that best divides the data into the purest possible child nodes is identified. If the child nodes contain significant misclassifications (impurities) the child node(s) are split again using the best feature that divides the child nodes into the purest possible additional child nodes. This process is repeated until the misclassification </w:t>
      </w:r>
      <w:r w:rsidR="007B66D6">
        <w:t>of</w:t>
      </w:r>
      <w:r w:rsidR="00D205DD">
        <w:t xml:space="preserve"> the terminal child node reaches </w:t>
      </w:r>
      <w:r>
        <w:t>a</w:t>
      </w:r>
      <w:r w:rsidR="00D205DD">
        <w:t xml:space="preserve"> selected minimum</w:t>
      </w:r>
      <w:r w:rsidR="00EA7D07">
        <w:t xml:space="preserve"> </w:t>
      </w:r>
      <w:r w:rsidR="00095567">
        <w:rPr>
          <w:rFonts w:eastAsiaTheme="minorEastAsia"/>
          <w:lang w:val="en-US"/>
        </w:rPr>
        <w:fldChar w:fldCharType="begin"/>
      </w:r>
      <w:r w:rsidR="004E19A5">
        <w:rPr>
          <w:rFonts w:eastAsiaTheme="minorEastAsia"/>
          <w:lang w:val="en-US"/>
        </w:rPr>
        <w:instrText xml:space="preserve"> ADDIN PAPERS2_CITATIONS &lt;citation&gt;&lt;priority&gt;72&lt;/priority&gt;&lt;uuid&gt;F3F35CA2-2E48-4D26-9398-5457AB61C927&lt;/uuid&gt;&lt;publications&gt;&lt;publication&gt;&lt;subtype&gt;400&lt;/subtype&gt;&lt;title&gt;Classification and Regression Trees, Belmont, California: Wadsworth&lt;/title&gt;&lt;url&gt;http://scholar.google.comjavascript:void(0)&lt;/url&gt;&lt;publication_date&gt;99198400001200000000200000&lt;/publication_date&gt;&lt;uuid&gt;AF55DD70-C269-4AF9-AF7A-C8A2B9E0C2B7&lt;/uuid&gt;&lt;type&gt;400&lt;/type&gt;&lt;citekey&gt;Breiman:r1XdcMJp&lt;/citekey&gt;&lt;bundle&gt;&lt;publication&gt;&lt;title&gt;Biometrics&lt;/title&gt;&lt;uuid&gt;44D92FEC-F434-49A8-B6F4-7E71E30B6309&lt;/uuid&gt;&lt;subtype&gt;-100&lt;/subtype&gt;&lt;type&gt;-100&lt;/type&gt;&lt;/publication&gt;&lt;/bundle&gt;&lt;authors&gt;&lt;author&gt;&lt;lastName&gt;Breiman&lt;/lastName&gt;&lt;firstName&gt;L&lt;/firstName&gt;&lt;/author&gt;&lt;author&gt;&lt;lastName&gt;Friedman&lt;/lastName&gt;&lt;firstName&gt;J&lt;/firstName&gt;&lt;middleNames&gt;H&lt;/middleNames&gt;&lt;/author&gt;&lt;author&gt;&lt;lastName&gt;Olshen&lt;/lastName&gt;&lt;firstName&gt;R&lt;/firstName&gt;&lt;middleNames&gt;A&lt;/middleNames&gt;&lt;/author&gt;&lt;author&gt;&lt;lastName&gt;Stone&lt;/lastName&gt;&lt;firstName&gt;C&lt;/firstName&gt;&lt;middleNames&gt;J&lt;/middleNames&gt;&lt;/author&gt;&lt;/authors&gt;&lt;/publication&gt;&lt;/publications&gt;&lt;cites&gt;&lt;/cites&gt;&lt;/citation&gt;</w:instrText>
      </w:r>
      <w:r w:rsidR="00095567">
        <w:rPr>
          <w:rFonts w:eastAsiaTheme="minorEastAsia"/>
          <w:lang w:val="en-US"/>
        </w:rPr>
        <w:fldChar w:fldCharType="separate"/>
      </w:r>
      <w:r w:rsidR="00095567">
        <w:rPr>
          <w:rFonts w:eastAsiaTheme="minorEastAsia"/>
          <w:lang w:val="en-US"/>
        </w:rPr>
        <w:t>(</w:t>
      </w:r>
      <w:proofErr w:type="spellStart"/>
      <w:r w:rsidR="00095567">
        <w:rPr>
          <w:rFonts w:eastAsiaTheme="minorEastAsia"/>
          <w:lang w:val="en-US"/>
        </w:rPr>
        <w:t>Breiman</w:t>
      </w:r>
      <w:proofErr w:type="spellEnd"/>
      <w:r w:rsidR="00095567">
        <w:rPr>
          <w:rFonts w:eastAsiaTheme="minorEastAsia"/>
          <w:lang w:val="en-US"/>
        </w:rPr>
        <w:t xml:space="preserve">, Friedman, </w:t>
      </w:r>
      <w:proofErr w:type="spellStart"/>
      <w:r w:rsidR="00095567">
        <w:rPr>
          <w:rFonts w:eastAsiaTheme="minorEastAsia"/>
          <w:lang w:val="en-US"/>
        </w:rPr>
        <w:t>Olshen</w:t>
      </w:r>
      <w:proofErr w:type="spellEnd"/>
      <w:r w:rsidR="00095567">
        <w:rPr>
          <w:rFonts w:eastAsiaTheme="minorEastAsia"/>
          <w:lang w:val="en-US"/>
        </w:rPr>
        <w:t>, &amp; Stone, 1984)</w:t>
      </w:r>
      <w:r w:rsidR="00095567">
        <w:rPr>
          <w:rFonts w:eastAsiaTheme="minorEastAsia"/>
          <w:lang w:val="en-US"/>
        </w:rPr>
        <w:fldChar w:fldCharType="end"/>
      </w:r>
      <w:r w:rsidR="00D205DD">
        <w:t>.</w:t>
      </w:r>
    </w:p>
    <w:p w14:paraId="12A0319F" w14:textId="061A9B64" w:rsidR="00A308B8" w:rsidRDefault="00A308B8" w:rsidP="0041391A">
      <w:pPr>
        <w:pStyle w:val="Body"/>
      </w:pPr>
    </w:p>
    <w:p w14:paraId="01342BEA" w14:textId="32E1072C" w:rsidR="00A308B8" w:rsidRDefault="00A308B8" w:rsidP="00EA7D07">
      <w:pPr>
        <w:pStyle w:val="Body"/>
      </w:pPr>
      <w:r>
        <w:t xml:space="preserve">Decision trees are a simple statistical learning </w:t>
      </w:r>
      <w:proofErr w:type="gramStart"/>
      <w:r>
        <w:t>model</w:t>
      </w:r>
      <w:proofErr w:type="gramEnd"/>
      <w:r>
        <w:t xml:space="preserve"> </w:t>
      </w:r>
      <w:r w:rsidR="00EA7D07">
        <w:t>and their accuracy is</w:t>
      </w:r>
      <w:r>
        <w:t xml:space="preserve"> usually bettered by</w:t>
      </w:r>
      <w:r w:rsidR="00C35EB7">
        <w:t xml:space="preserve"> more modern algorithms</w:t>
      </w:r>
      <w:r>
        <w:t xml:space="preserve">. </w:t>
      </w:r>
      <w:r w:rsidR="00EA7D07">
        <w:t>However,</w:t>
      </w:r>
      <w:r w:rsidR="00C35EB7">
        <w:t xml:space="preserve"> these are less interpretable </w:t>
      </w:r>
      <w:r>
        <w:t xml:space="preserve">their ease of interpretation </w:t>
      </w:r>
      <w:r w:rsidR="00F55167">
        <w:t xml:space="preserve">can </w:t>
      </w:r>
      <w:r w:rsidR="00404687">
        <w:t>outweigh their performance</w:t>
      </w:r>
      <w:r>
        <w:t>.</w:t>
      </w:r>
    </w:p>
    <w:p w14:paraId="71D9EAA3" w14:textId="42857A12" w:rsidR="00FE1D40" w:rsidRDefault="00FE1D40" w:rsidP="0041391A">
      <w:pPr>
        <w:pStyle w:val="Body"/>
      </w:pPr>
    </w:p>
    <w:p w14:paraId="0B4B0416" w14:textId="5A40274B" w:rsidR="00900E1A" w:rsidRDefault="00BE0AAD" w:rsidP="00EF5593">
      <w:pPr>
        <w:pStyle w:val="Body"/>
      </w:pPr>
      <w:r>
        <w:t>To</w:t>
      </w:r>
      <w:r w:rsidR="0035211F">
        <w:t xml:space="preserve"> identifying a peripheral blood signature for vasodilator-responsive PAH patients </w:t>
      </w:r>
      <w:proofErr w:type="spellStart"/>
      <w:r w:rsidR="0035211F">
        <w:t>Hemnes</w:t>
      </w:r>
      <w:proofErr w:type="spellEnd"/>
      <w:r w:rsidR="0035211F">
        <w:t xml:space="preserve"> et al.,  used a decision tree model with </w:t>
      </w:r>
      <w:r w:rsidR="00767AE5">
        <w:t>expression</w:t>
      </w:r>
      <w:r>
        <w:t xml:space="preserve"> levels measured by qPCR</w:t>
      </w:r>
      <w:r w:rsidR="00767AE5">
        <w:t xml:space="preserve"> </w:t>
      </w:r>
      <w:r w:rsidR="00767AE5">
        <w:lastRenderedPageBreak/>
        <w:t xml:space="preserve">from </w:t>
      </w:r>
      <w:r w:rsidR="007C1C78">
        <w:t>whole blood RNA</w:t>
      </w:r>
      <w:r w:rsidR="00767AE5">
        <w:t xml:space="preserve"> </w:t>
      </w:r>
      <w:r w:rsidR="00095567">
        <w:rPr>
          <w:rFonts w:eastAsiaTheme="minorEastAsia"/>
          <w:lang w:val="en-US"/>
        </w:rPr>
        <w:fldChar w:fldCharType="begin"/>
      </w:r>
      <w:r w:rsidR="004E19A5">
        <w:rPr>
          <w:rFonts w:eastAsiaTheme="minorEastAsia"/>
          <w:lang w:val="en-US"/>
        </w:rPr>
        <w:instrText xml:space="preserve"> ADDIN PAPERS2_CITATIONS &lt;citation&gt;&lt;priority&gt;73&lt;/priority&gt;&lt;uuid&gt;AC3C4959-EE76-4DA3-A4DC-088F49771411&lt;/uuid&gt;&lt;publications&gt;&lt;publication&gt;&lt;subtype&gt;400&lt;/subtype&gt;&lt;publisher&gt;Lippincott Williams &amp;amp; Wilkins&lt;/publisher&gt;&lt;title&gt;Peripheral blood signature of vasodilator-responsive pulmonary arterial hypertension.&lt;/title&gt;&lt;url&gt;http://circ.ahajournals.org/content/131/4/401.full&lt;/url&gt;&lt;volume&gt;131&lt;/volume&gt;&lt;publication_date&gt;99201501271200000000222000&lt;/publication_date&gt;&lt;uuid&gt;B12BE25E-5EA3-4D51-B060-152AF9BD88FA&lt;/uuid&gt;&lt;type&gt;400&lt;/type&gt;&lt;number&gt;4&lt;/number&gt;&lt;doi&gt;10.1161/CIRCULATIONAHA.114.013317&lt;/doi&gt;&lt;institution&gt;From the Division of Allergy, Pulmonary, and Critical Care Medicine (A.R.H., A.W.T., N.P., M.F., L.W., I.M.R., J.H.N., J.W.) and Department of Biostatistics (C.Y., H.N.), Vanderbilt University School of Medicine, Nashville, TN; Department of Medicine, Queen's University, Kingston, Ontario, Canada (S.L.A.); Division of Cardiology, University of Chicago, Chicago, IL (S.R.); and Division of Allergy, Immunology, and Pulmonary Medicine, Department of Pediatrics, Vanderbilt University Medical Center, Nashville, TN (E.D.A.). anna.r.hemnes@vanderbilt.edu.&lt;/institution&gt;&lt;startpage&gt;401&lt;/startpage&gt;&lt;endpage&gt;9- discussion 409&lt;/endpage&gt;&lt;bundle&gt;&lt;publication&gt;&lt;title&gt;Circulation&lt;/title&gt;&lt;uuid&gt;84ABD4FC-80F5-4F0D-870C-F717BDBAAE9D&lt;/uuid&gt;&lt;subtype&gt;-100&lt;/subtype&gt;&lt;publisher&gt;NIH Public Access&lt;/publisher&gt;&lt;type&gt;-100&lt;/type&gt;&lt;/publication&gt;&lt;/bundle&gt;&lt;authors&gt;&lt;author&gt;&lt;lastName&gt;Hemnes&lt;/lastName&gt;&lt;firstName&gt;Anna&lt;/firstName&gt;&lt;middleNames&gt;R&lt;/middleNames&gt;&lt;/author&gt;&lt;author&gt;&lt;lastName&gt;Trammell&lt;/lastName&gt;&lt;firstName&gt;Aaron&lt;/firstName&gt;&lt;middleNames&gt;W&lt;/middleNames&gt;&lt;/author&gt;&lt;author&gt;&lt;lastName&gt;Archer&lt;/lastName&gt;&lt;firstName&gt;Stephen&lt;/firstName&gt;&lt;middleNames&gt;L&lt;/middleNames&gt;&lt;/author&gt;&lt;author&gt;&lt;lastName&gt;Rich&lt;/lastName&gt;&lt;firstName&gt;Stuart&lt;/firstName&gt;&lt;/author&gt;&lt;author&gt;&lt;lastName&gt;Yu&lt;/lastName&gt;&lt;firstName&gt;Chang&lt;/firstName&gt;&lt;/author&gt;&lt;author&gt;&lt;lastName&gt;Nian&lt;/lastName&gt;&lt;firstName&gt;Hui&lt;/firstName&gt;&lt;/author&gt;&lt;author&gt;&lt;lastName&gt;Penner&lt;/lastName&gt;&lt;firstName&gt;Niki&lt;/firstName&gt;&lt;/author&gt;&lt;author&gt;&lt;lastName&gt;Funke&lt;/lastName&gt;&lt;firstName&gt;Mitchell&lt;/firstName&gt;&lt;/author&gt;&lt;author&gt;&lt;lastName&gt;Wheeler&lt;/lastName&gt;&lt;firstName&gt;Lisa&lt;/firstName&gt;&lt;/author&gt;&lt;author&gt;&lt;lastName&gt;Robbins&lt;/lastName&gt;&lt;firstName&gt;Ivan&lt;/firstName&gt;&lt;middleNames&gt;M&lt;/middleNames&gt;&lt;/author&gt;&lt;author&gt;&lt;lastName&gt;Austin&lt;/lastName&gt;&lt;firstName&gt;Eric&lt;/firstName&gt;&lt;middleNames&gt;D&lt;/middleNames&gt;&lt;/author&gt;&lt;author&gt;&lt;lastName&gt;Newman&lt;/lastName&gt;&lt;firstName&gt;John&lt;/firstName&gt;&lt;middleNames&gt;H&lt;/middleNames&gt;&lt;/author&gt;&lt;author&gt;&lt;lastName&gt;West&lt;/lastName&gt;&lt;firstName&gt;James&lt;/firstName&gt;&lt;/author&gt;&lt;/authors&gt;&lt;/publication&gt;&lt;/publications&gt;&lt;cites&gt;&lt;/cites&gt;&lt;/citation&gt;</w:instrText>
      </w:r>
      <w:r w:rsidR="00095567">
        <w:rPr>
          <w:rFonts w:eastAsiaTheme="minorEastAsia"/>
          <w:lang w:val="en-US"/>
        </w:rPr>
        <w:fldChar w:fldCharType="separate"/>
      </w:r>
      <w:r w:rsidR="00095567">
        <w:rPr>
          <w:rFonts w:eastAsiaTheme="minorEastAsia"/>
          <w:lang w:val="en-US"/>
        </w:rPr>
        <w:t>(</w:t>
      </w:r>
      <w:proofErr w:type="spellStart"/>
      <w:r w:rsidR="00095567">
        <w:rPr>
          <w:rFonts w:eastAsiaTheme="minorEastAsia"/>
          <w:lang w:val="en-US"/>
        </w:rPr>
        <w:t>Hemnes</w:t>
      </w:r>
      <w:proofErr w:type="spellEnd"/>
      <w:r w:rsidR="00095567">
        <w:rPr>
          <w:rFonts w:eastAsiaTheme="minorEastAsia"/>
          <w:lang w:val="en-US"/>
        </w:rPr>
        <w:t xml:space="preserve"> et al., 2015)</w:t>
      </w:r>
      <w:r w:rsidR="00095567">
        <w:rPr>
          <w:rFonts w:eastAsiaTheme="minorEastAsia"/>
          <w:lang w:val="en-US"/>
        </w:rPr>
        <w:fldChar w:fldCharType="end"/>
      </w:r>
      <w:r w:rsidR="00767AE5">
        <w:t xml:space="preserve">. </w:t>
      </w:r>
      <w:r w:rsidR="00EA7D07">
        <w:t>Vaso-responsive</w:t>
      </w:r>
      <w:r w:rsidR="00404687">
        <w:t xml:space="preserve"> PAH</w:t>
      </w:r>
      <w:r w:rsidR="00EA7D07">
        <w:t xml:space="preserve"> </w:t>
      </w:r>
      <w:r w:rsidR="00897BB0">
        <w:t xml:space="preserve">(VR-PAH) </w:t>
      </w:r>
      <w:r w:rsidR="00404687">
        <w:t xml:space="preserve">accounts for a small a minority of </w:t>
      </w:r>
      <w:r w:rsidR="00EA7D07">
        <w:t>patients</w:t>
      </w:r>
      <w:r w:rsidR="00EF5593">
        <w:t xml:space="preserve"> who </w:t>
      </w:r>
      <w:r w:rsidR="00EA7D07">
        <w:t>respond extremely well to calcium channel blockers</w:t>
      </w:r>
      <w:r w:rsidR="00404687">
        <w:t xml:space="preserve"> and have improved survival</w:t>
      </w:r>
      <w:r w:rsidR="00900E1A">
        <w:t xml:space="preserve"> </w:t>
      </w:r>
      <w:r w:rsidR="00095567">
        <w:rPr>
          <w:rFonts w:eastAsiaTheme="minorEastAsia"/>
          <w:lang w:val="en-US"/>
        </w:rPr>
        <w:fldChar w:fldCharType="begin"/>
      </w:r>
      <w:r w:rsidR="004E19A5">
        <w:rPr>
          <w:rFonts w:eastAsiaTheme="minorEastAsia"/>
          <w:lang w:val="en-US"/>
        </w:rPr>
        <w:instrText xml:space="preserve"> ADDIN PAPERS2_CITATIONS &lt;citation&gt;&lt;priority&gt;74&lt;/priority&gt;&lt;uuid&gt;6902D765-13AD-4216-A79F-82DB688646F7&lt;/uuid&gt;&lt;publications&gt;&lt;publication&gt;&lt;subtype&gt;400&lt;/subtype&gt;&lt;publisher&gt;SAGE Publications&lt;/publisher&gt;&lt;title&gt;Vasoreactivity to Inhaled Nitric Oxide with Oxygen Predicts Long-Term Survival in Pulmonary Arterial Hypertension&lt;/title&gt;&lt;url&gt;http://journals.sagepub.com/doi/10.4103/2045-8932.83449&lt;/url&gt;&lt;volume&gt;1&lt;/volume&gt;&lt;publication_date&gt;99201104001200000000220000&lt;/publication_date&gt;&lt;uuid&gt;45696863-B415-4744-A224-3371963BF299&lt;/uuid&gt;&lt;type&gt;400&lt;/type&gt;&lt;number&gt;2&lt;/number&gt;&lt;doi&gt;10.4103/2045-8932.83449&lt;/doi&gt;&lt;institution&gt;Department of Medicine, Cardiovascular Research Center and Cardiology Division, Massachusetts General Hospital and Harvard Medical School, Boston, Massachusetts, USA.&lt;/institution&gt;&lt;startpage&gt;250&lt;/startpage&gt;&lt;endpage&gt;258&lt;/endpage&gt;&lt;bundle&gt;&lt;publication&gt;&lt;title&gt;Pulmonary Circulation&lt;/title&gt;&lt;uuid&gt;BD4DDD77-E75D-4D0E-B940-4D3670519F34&lt;/uuid&gt;&lt;subtype&gt;-100&lt;/subtype&gt;&lt;publisher&gt;The University of Chicago Press&lt;/publisher&gt;&lt;type&gt;-100&lt;/type&gt;&lt;/publication&gt;&lt;/bundle&gt;&lt;authors&gt;&lt;author&gt;&lt;lastName&gt;Malhotra&lt;/lastName&gt;&lt;firstName&gt;Rajeev&lt;/firstName&gt;&lt;/author&gt;&lt;author&gt;&lt;lastName&gt;Hess&lt;/lastName&gt;&lt;firstName&gt;Dean&lt;/firstName&gt;&lt;/author&gt;&lt;author&gt;&lt;lastName&gt;Lewis&lt;/lastName&gt;&lt;firstName&gt;Gregory&lt;/firstName&gt;&lt;middleNames&gt;D&lt;/middleNames&gt;&lt;/author&gt;&lt;author&gt;&lt;lastName&gt;Bloch&lt;/lastName&gt;&lt;firstName&gt;Kenneth&lt;/firstName&gt;&lt;middleNames&gt;D&lt;/middleNames&gt;&lt;/author&gt;&lt;author&gt;&lt;lastName&gt;Waxman&lt;/lastName&gt;&lt;firstName&gt;Aaron&lt;/firstName&gt;&lt;middleNames&gt;B&lt;/middleNames&gt;&lt;/author&gt;&lt;author&gt;&lt;lastName&gt;Semigran&lt;/lastName&gt;&lt;firstName&gt;Marc&lt;/firstName&gt;&lt;middleNames&gt;J&lt;/middleNames&gt;&lt;/author&gt;&lt;/authors&gt;&lt;/publication&gt;&lt;/publications&gt;&lt;cites&gt;&lt;/cites&gt;&lt;/citation&gt;</w:instrText>
      </w:r>
      <w:r w:rsidR="00095567">
        <w:rPr>
          <w:rFonts w:eastAsiaTheme="minorEastAsia"/>
          <w:lang w:val="en-US"/>
        </w:rPr>
        <w:fldChar w:fldCharType="separate"/>
      </w:r>
      <w:r w:rsidR="00095567">
        <w:rPr>
          <w:rFonts w:eastAsiaTheme="minorEastAsia"/>
          <w:lang w:val="en-US"/>
        </w:rPr>
        <w:t>(Malhotra et al., 2011)</w:t>
      </w:r>
      <w:r w:rsidR="00095567">
        <w:rPr>
          <w:rFonts w:eastAsiaTheme="minorEastAsia"/>
          <w:lang w:val="en-US"/>
        </w:rPr>
        <w:fldChar w:fldCharType="end"/>
      </w:r>
      <w:r w:rsidR="00EA7D07">
        <w:t>.</w:t>
      </w:r>
      <w:r w:rsidR="00D34678">
        <w:t xml:space="preserve"> Vaso-reactivity is identified </w:t>
      </w:r>
      <w:r w:rsidR="00900E1A">
        <w:t xml:space="preserve">invasively </w:t>
      </w:r>
      <w:r w:rsidR="00B456C9">
        <w:t xml:space="preserve">during RHC by measuring a response in PAP when challenged with an acute </w:t>
      </w:r>
      <w:proofErr w:type="spellStart"/>
      <w:r w:rsidR="00B456C9">
        <w:t>vaso</w:t>
      </w:r>
      <w:proofErr w:type="spellEnd"/>
      <w:r w:rsidR="00B456C9">
        <w:t>-dilator such as nitric oxide.</w:t>
      </w:r>
      <w:r w:rsidR="00D34678">
        <w:t xml:space="preserve"> </w:t>
      </w:r>
      <w:r w:rsidR="002A33A2">
        <w:t xml:space="preserve">In this study </w:t>
      </w:r>
      <w:r w:rsidR="004F6723">
        <w:t>25 key RNAs</w:t>
      </w:r>
      <w:r w:rsidR="002A33A2">
        <w:t xml:space="preserve"> were identified by microarray analysis. </w:t>
      </w:r>
      <w:r w:rsidR="00897BB0">
        <w:t>Once</w:t>
      </w:r>
      <w:r w:rsidR="002A33A2">
        <w:t xml:space="preserve"> validated by qPCR</w:t>
      </w:r>
      <w:r w:rsidR="00897BB0">
        <w:t xml:space="preserve"> in a cohort of 8 VR-PAH and 13 PAH there were 13 significantly different genes. These were used for building the </w:t>
      </w:r>
      <w:r w:rsidR="002A33A2">
        <w:t>decision tree</w:t>
      </w:r>
      <w:r w:rsidR="00897BB0">
        <w:t xml:space="preserve">. Unfortunately, the predictive accuracy in this cohort was not reported, however, predictive accuracy of 90% was reported in an external cohort consisting of 5 VR-PAH and 6 </w:t>
      </w:r>
      <w:r w:rsidR="006344B8">
        <w:t xml:space="preserve">PAH. </w:t>
      </w:r>
      <w:r w:rsidR="006344B8">
        <w:softHyphen/>
      </w:r>
    </w:p>
    <w:p w14:paraId="5B083B5D" w14:textId="77777777" w:rsidR="00900E1A" w:rsidRDefault="00900E1A" w:rsidP="00EF5593">
      <w:pPr>
        <w:pStyle w:val="Body"/>
      </w:pPr>
    </w:p>
    <w:p w14:paraId="5FBE84A3" w14:textId="105ACAEE" w:rsidR="00FE1D40" w:rsidRDefault="00900E1A" w:rsidP="0041391A">
      <w:pPr>
        <w:pStyle w:val="Body"/>
      </w:pPr>
      <w:r>
        <w:t xml:space="preserve">Despite the small numbers of patients this study has demonstrated that a </w:t>
      </w:r>
      <w:r w:rsidR="00270A4F">
        <w:t xml:space="preserve">biomarker for </w:t>
      </w:r>
      <w:r>
        <w:t>treatment</w:t>
      </w:r>
      <w:r w:rsidR="00270A4F">
        <w:t xml:space="preserve"> response</w:t>
      </w:r>
      <w:r w:rsidR="00C35EB7">
        <w:t xml:space="preserve"> specifically </w:t>
      </w:r>
      <w:r>
        <w:t>calcium channel blockers can be identified</w:t>
      </w:r>
      <w:r w:rsidR="00270A4F">
        <w:t>. The high degree of concordance within the external cohort is encouraging suggesting that a valid biomarker has been identified with a decision tree.</w:t>
      </w:r>
    </w:p>
    <w:p w14:paraId="38A92D9A" w14:textId="77777777" w:rsidR="007806AE" w:rsidRDefault="007806AE" w:rsidP="0041391A">
      <w:pPr>
        <w:pStyle w:val="Body"/>
      </w:pPr>
    </w:p>
    <w:p w14:paraId="7A31F25A" w14:textId="5FC09E22" w:rsidR="0041391A" w:rsidRDefault="000B6FBE" w:rsidP="005B57F9">
      <w:pPr>
        <w:pStyle w:val="Heading2"/>
        <w:numPr>
          <w:ilvl w:val="3"/>
          <w:numId w:val="7"/>
        </w:numPr>
        <w:spacing w:before="120" w:after="120"/>
      </w:pPr>
      <w:bookmarkStart w:id="73" w:name="_Toc60773877"/>
      <w:r>
        <w:t>Random Forest</w:t>
      </w:r>
      <w:r w:rsidR="001E2AB2">
        <w:t>s</w:t>
      </w:r>
      <w:bookmarkEnd w:id="73"/>
    </w:p>
    <w:p w14:paraId="2ED476A0" w14:textId="5EFDB878" w:rsidR="007806AE" w:rsidRDefault="00370163" w:rsidP="00DC03CF">
      <w:pPr>
        <w:pStyle w:val="Body"/>
      </w:pPr>
      <w:r>
        <w:t>The r</w:t>
      </w:r>
      <w:r w:rsidR="000B6FBE">
        <w:t>andom forest</w:t>
      </w:r>
      <w:r>
        <w:t xml:space="preserve"> </w:t>
      </w:r>
      <w:r w:rsidR="00271210">
        <w:t>algorithm is</w:t>
      </w:r>
      <w:r w:rsidR="001C076A">
        <w:t xml:space="preserve"> an extension of decision trees</w:t>
      </w:r>
      <w:r w:rsidR="001E2AB2">
        <w:t>,</w:t>
      </w:r>
      <w:r w:rsidR="00271210">
        <w:t xml:space="preserve"> </w:t>
      </w:r>
      <w:r w:rsidR="001E2AB2">
        <w:t>a</w:t>
      </w:r>
      <w:r w:rsidR="003527AD">
        <w:t xml:space="preserve">s with decision trees random forests </w:t>
      </w:r>
      <w:r w:rsidR="00471AFA">
        <w:t xml:space="preserve">require little tuning and transformations to the data are </w:t>
      </w:r>
      <w:r w:rsidR="007026B8">
        <w:t>unnecessary</w:t>
      </w:r>
      <w:r w:rsidR="001E2AB2">
        <w:t>. However, due to the way they are constructed it is not possible to have a clear visualisation of the model.</w:t>
      </w:r>
    </w:p>
    <w:p w14:paraId="147AB474" w14:textId="77777777" w:rsidR="007806AE" w:rsidRDefault="007806AE" w:rsidP="00DC03CF">
      <w:pPr>
        <w:pStyle w:val="Body"/>
      </w:pPr>
    </w:p>
    <w:p w14:paraId="394A6096" w14:textId="7B91AC39" w:rsidR="00BE4EA9" w:rsidRDefault="00271210" w:rsidP="00DC03CF">
      <w:pPr>
        <w:pStyle w:val="Body"/>
      </w:pPr>
      <w:r>
        <w:lastRenderedPageBreak/>
        <w:t>The</w:t>
      </w:r>
      <w:r w:rsidR="001E2AB2">
        <w:t xml:space="preserve"> </w:t>
      </w:r>
      <w:r w:rsidR="00C35EB7">
        <w:t>R</w:t>
      </w:r>
      <w:r w:rsidR="001E2AB2">
        <w:t xml:space="preserve">andom </w:t>
      </w:r>
      <w:r w:rsidR="00C35EB7">
        <w:t>F</w:t>
      </w:r>
      <w:r w:rsidR="001E2AB2">
        <w:t>orests</w:t>
      </w:r>
      <w:r>
        <w:t xml:space="preserve"> </w:t>
      </w:r>
      <w:r w:rsidR="00C35EB7">
        <w:t>classifier</w:t>
      </w:r>
      <w:r>
        <w:t xml:space="preserve"> is built on the principle that an ensemble of multiple weak learners can come together to form a strong learner</w:t>
      </w:r>
      <w:r w:rsidR="001E2AB2">
        <w:t xml:space="preserve"> </w:t>
      </w:r>
      <w:r w:rsidR="00095567">
        <w:rPr>
          <w:rFonts w:eastAsiaTheme="minorEastAsia"/>
          <w:lang w:val="en-US"/>
        </w:rPr>
        <w:fldChar w:fldCharType="begin"/>
      </w:r>
      <w:r w:rsidR="004E19A5">
        <w:rPr>
          <w:rFonts w:eastAsiaTheme="minorEastAsia"/>
          <w:lang w:val="en-US"/>
        </w:rPr>
        <w:instrText xml:space="preserve"> ADDIN PAPERS2_CITATIONS &lt;citation&gt;&lt;priority&gt;75&lt;/priority&gt;&lt;uuid&gt;1356B2A5-7B2E-486F-8B65-887C5C2E826B&lt;/uuid&gt;&lt;publications&gt;&lt;publication&gt;&lt;subtype&gt;400&lt;/subtype&gt;&lt;publisher&gt;Kluwer Academic Publishers&lt;/publisher&gt;&lt;title&gt;Random Forests&lt;/title&gt;&lt;url&gt;http://link.springer.com/10.1023/A:1010933404324&lt;/url&gt;&lt;volume&gt;45&lt;/volume&gt;&lt;publication_date&gt;99200100001200000000200000&lt;/publication_date&gt;&lt;uuid&gt;04384F84-2A67-43D7-9316-6A9D9AB2F032&lt;/uuid&gt;&lt;type&gt;400&lt;/type&gt;&lt;number&gt;1&lt;/number&gt;&lt;doi&gt;10.1023/A:1010933404324&lt;/doi&gt;&lt;startpage&gt;5&lt;/startpage&gt;&lt;endpage&gt;32&lt;/endpage&gt;&lt;bundle&gt;&lt;publication&gt;&lt;title&gt;Machine Learning&lt;/title&gt;&lt;uuid&gt;FB1F16DC-D37C-416A-B55B-1C0A3EBC5720&lt;/uuid&gt;&lt;subtype&gt;-100&lt;/subtype&gt;&lt;type&gt;-100&lt;/type&gt;&lt;/publication&gt;&lt;/bundle&gt;&lt;authors&gt;&lt;author&gt;&lt;lastName&gt;Breiman&lt;/lastName&gt;&lt;firstName&gt;Leo&lt;/firstName&gt;&lt;/author&gt;&lt;/authors&gt;&lt;/publication&gt;&lt;/publications&gt;&lt;cites&gt;&lt;/cites&gt;&lt;/citation&gt;</w:instrText>
      </w:r>
      <w:r w:rsidR="00095567">
        <w:rPr>
          <w:rFonts w:eastAsiaTheme="minorEastAsia"/>
          <w:lang w:val="en-US"/>
        </w:rPr>
        <w:fldChar w:fldCharType="separate"/>
      </w:r>
      <w:r w:rsidR="00095567">
        <w:rPr>
          <w:rFonts w:eastAsiaTheme="minorEastAsia"/>
          <w:lang w:val="en-US"/>
        </w:rPr>
        <w:t>(</w:t>
      </w:r>
      <w:proofErr w:type="spellStart"/>
      <w:r w:rsidR="00095567">
        <w:rPr>
          <w:rFonts w:eastAsiaTheme="minorEastAsia"/>
          <w:lang w:val="en-US"/>
        </w:rPr>
        <w:t>Breiman</w:t>
      </w:r>
      <w:proofErr w:type="spellEnd"/>
      <w:r w:rsidR="00095567">
        <w:rPr>
          <w:rFonts w:eastAsiaTheme="minorEastAsia"/>
          <w:lang w:val="en-US"/>
        </w:rPr>
        <w:t>, 2001)</w:t>
      </w:r>
      <w:r w:rsidR="00095567">
        <w:rPr>
          <w:rFonts w:eastAsiaTheme="minorEastAsia"/>
          <w:lang w:val="en-US"/>
        </w:rPr>
        <w:fldChar w:fldCharType="end"/>
      </w:r>
      <w:r>
        <w:t>.  A</w:t>
      </w:r>
      <w:r w:rsidR="003527AD">
        <w:t xml:space="preserve"> </w:t>
      </w:r>
      <w:r w:rsidR="00C35EB7">
        <w:t>R</w:t>
      </w:r>
      <w:r w:rsidR="003527AD">
        <w:t xml:space="preserve">andom </w:t>
      </w:r>
      <w:r w:rsidR="00C35EB7">
        <w:t>F</w:t>
      </w:r>
      <w:r w:rsidR="003527AD">
        <w:t>orest model</w:t>
      </w:r>
      <w:r>
        <w:t xml:space="preserve"> </w:t>
      </w:r>
      <w:r w:rsidR="00617E92">
        <w:t>uses</w:t>
      </w:r>
      <w:r>
        <w:t xml:space="preserve"> </w:t>
      </w:r>
      <w:r w:rsidR="003527AD">
        <w:t>thousands of weak decision trees</w:t>
      </w:r>
      <w:r w:rsidR="00617E92">
        <w:t xml:space="preserve"> together to </w:t>
      </w:r>
      <w:r w:rsidR="000B6FBE">
        <w:t xml:space="preserve">make </w:t>
      </w:r>
      <w:r w:rsidR="00617E92">
        <w:t>the</w:t>
      </w:r>
      <w:r w:rsidR="000B6FBE">
        <w:t xml:space="preserve"> forest</w:t>
      </w:r>
      <w:r w:rsidR="003527AD">
        <w:t xml:space="preserve">. To ensure the decision trees </w:t>
      </w:r>
      <w:r w:rsidR="000B6FBE">
        <w:t xml:space="preserve">that make up the model are weak learners </w:t>
      </w:r>
      <w:r w:rsidR="00DC03CF">
        <w:t>the tree depth is limited</w:t>
      </w:r>
      <w:r w:rsidR="007806AE">
        <w:t>,</w:t>
      </w:r>
      <w:r w:rsidR="00DC03CF">
        <w:t xml:space="preserve"> </w:t>
      </w:r>
      <w:r w:rsidR="00617E92">
        <w:t>often</w:t>
      </w:r>
      <w:r w:rsidR="000B6FBE">
        <w:t xml:space="preserve"> to just </w:t>
      </w:r>
      <w:r w:rsidR="00C35EB7">
        <w:t>a depth of two</w:t>
      </w:r>
      <w:r w:rsidR="000B6FBE">
        <w:t xml:space="preserve"> splits</w:t>
      </w:r>
      <w:r w:rsidR="007806AE">
        <w:t>. E</w:t>
      </w:r>
      <w:r w:rsidR="000B6FBE">
        <w:t>ach tree is built from</w:t>
      </w:r>
      <w:r w:rsidR="003527AD">
        <w:t xml:space="preserve"> </w:t>
      </w:r>
      <w:r w:rsidR="000B6FBE">
        <w:t xml:space="preserve">a random subset of features </w:t>
      </w:r>
      <w:r w:rsidR="001E2AB2">
        <w:t>and</w:t>
      </w:r>
      <w:r w:rsidR="000B6FBE">
        <w:t xml:space="preserve"> </w:t>
      </w:r>
      <w:r w:rsidR="00CB70D3">
        <w:t>a random subset of samples, roughly two thirds of the data</w:t>
      </w:r>
      <w:r w:rsidR="000B6FBE">
        <w:t xml:space="preserve">. </w:t>
      </w:r>
      <w:r w:rsidR="00DC03CF">
        <w:t>Further randomness is introduced by sampling the records with repetition</w:t>
      </w:r>
      <w:r w:rsidR="00C35EB7">
        <w:t xml:space="preserve"> (duplicates within</w:t>
      </w:r>
      <w:r w:rsidR="009328F4">
        <w:t xml:space="preserve"> the random</w:t>
      </w:r>
      <w:r w:rsidR="00C35EB7">
        <w:t xml:space="preserve"> sample) this is termed</w:t>
      </w:r>
      <w:r w:rsidR="00DC03CF">
        <w:t xml:space="preserve"> bootstrapping</w:t>
      </w:r>
      <w:r w:rsidR="0010557F">
        <w:t xml:space="preserve">. Bootstrapping </w:t>
      </w:r>
      <w:r w:rsidR="001E2AB2">
        <w:t>has been shown to aid</w:t>
      </w:r>
      <w:r w:rsidR="00DC03CF">
        <w:t xml:space="preserve"> generalisation</w:t>
      </w:r>
      <w:r w:rsidR="0010557F">
        <w:t xml:space="preserve">, additionally it further enhances the randomness in a Random Forest as the chance </w:t>
      </w:r>
      <w:r w:rsidR="00C35EB7">
        <w:t xml:space="preserve">of a </w:t>
      </w:r>
      <w:r w:rsidR="00DC03CF">
        <w:t>bootstrap contain</w:t>
      </w:r>
      <w:r w:rsidR="0010557F">
        <w:t xml:space="preserve">ing </w:t>
      </w:r>
      <w:r w:rsidR="00DC03CF">
        <w:t>data and feature</w:t>
      </w:r>
      <w:r w:rsidR="0010557F">
        <w:t>s</w:t>
      </w:r>
      <w:r w:rsidR="00DC03CF">
        <w:t xml:space="preserve"> that ha</w:t>
      </w:r>
      <w:r w:rsidR="0010557F">
        <w:t xml:space="preserve">ve </w:t>
      </w:r>
      <w:r w:rsidR="00DC03CF">
        <w:t>already been learned from</w:t>
      </w:r>
      <w:r w:rsidR="0010557F">
        <w:t xml:space="preserve"> is reduced</w:t>
      </w:r>
      <w:r w:rsidR="002F0CD8">
        <w:t xml:space="preserve"> (Fitzgerald et al., 2013)</w:t>
      </w:r>
      <w:r w:rsidR="00DC03CF">
        <w:t>.</w:t>
      </w:r>
      <w:r w:rsidR="00CB70D3">
        <w:t xml:space="preserve"> </w:t>
      </w:r>
      <w:r w:rsidR="00AF3520">
        <w:t>Finally, e</w:t>
      </w:r>
      <w:r w:rsidR="00CB70D3">
        <w:t>ach tree then votes on the classification, the final classification is the one with the most votes within the forest.</w:t>
      </w:r>
    </w:p>
    <w:p w14:paraId="21ADAC44" w14:textId="1EB66461" w:rsidR="00CB70D3" w:rsidRDefault="00CB70D3" w:rsidP="00DC03CF">
      <w:pPr>
        <w:pStyle w:val="Body"/>
      </w:pPr>
    </w:p>
    <w:p w14:paraId="56358F24" w14:textId="586666E5" w:rsidR="00CB70D3" w:rsidRDefault="00CB70D3" w:rsidP="00DC03CF">
      <w:pPr>
        <w:pStyle w:val="Body"/>
      </w:pPr>
      <w:r>
        <w:t>Random Forests</w:t>
      </w:r>
      <w:r w:rsidR="005F6F6A">
        <w:t xml:space="preserve"> has been used in PH </w:t>
      </w:r>
      <w:r w:rsidR="00BF5396">
        <w:t>to provide</w:t>
      </w:r>
      <w:r>
        <w:t xml:space="preserve"> multiclass </w:t>
      </w:r>
      <w:r w:rsidR="002F30EC">
        <w:t xml:space="preserve">differentiation between </w:t>
      </w:r>
      <w:r w:rsidR="006C0A18">
        <w:t>healthy volunteers, PAH and PH on exercise</w:t>
      </w:r>
      <w:r w:rsidR="00EE122B">
        <w:t xml:space="preserve"> (</w:t>
      </w:r>
      <w:proofErr w:type="spellStart"/>
      <w:r w:rsidR="00EE122B">
        <w:t>ePH</w:t>
      </w:r>
      <w:proofErr w:type="spellEnd"/>
      <w:r w:rsidR="00EE122B">
        <w:t>)</w:t>
      </w:r>
      <w:r w:rsidR="006C0A18">
        <w:t xml:space="preserve"> </w:t>
      </w:r>
      <w:r w:rsidR="00095567">
        <w:rPr>
          <w:rFonts w:eastAsiaTheme="minorEastAsia"/>
          <w:lang w:val="en-US"/>
        </w:rPr>
        <w:fldChar w:fldCharType="begin"/>
      </w:r>
      <w:r w:rsidR="004E19A5">
        <w:rPr>
          <w:rFonts w:eastAsiaTheme="minorEastAsia"/>
          <w:lang w:val="en-US"/>
        </w:rPr>
        <w:instrText xml:space="preserve"> ADDIN PAPERS2_CITATIONS &lt;citation&gt;&lt;priority&gt;76&lt;/priority&gt;&lt;uuid&gt;FBD96324-D21F-4F5E-8E6D-9CDF26785528&lt;/uuid&gt;&lt;publications&gt;&lt;publication&gt;&lt;subtype&gt;400&lt;/subtype&gt;&lt;title&gt;Metabolomics of exercise pulmonary hypertension are intermediate between controls and patients with pulmonary arterial hypertension.&lt;/title&gt;&lt;url&gt;http://eutils.ncbi.nlm.nih.gov/entrez/eutils/elink.fcgi?dbfrom=pubmed&amp;amp;id=31695905&amp;amp;retmode=ref&amp;amp;cmd=prlinks&lt;/url&gt;&lt;volume&gt;9&lt;/volume&gt;&lt;publication_date&gt;99201910001200000000220000&lt;/publication_date&gt;&lt;uuid&gt;9E3E85D7-4A26-4066-B1B1-612FD53A88A7&lt;/uuid&gt;&lt;type&gt;400&lt;/type&gt;&lt;accepted_date&gt;99201909181200000000222000&lt;/accepted_date&gt;&lt;number&gt;4&lt;/number&gt;&lt;submission_date&gt;99201905311200000000222000&lt;/submission_date&gt;&lt;doi&gt;10.1177/2045894019882623&lt;/doi&gt;&lt;institution&gt;Division of Pulmonary and Critical Care Medicine, Brigham and Women's Hospital, Boston, MA, USA.&lt;/institution&gt;&lt;startpage&gt;2045894019882623&lt;/startpage&gt;&lt;bundle&gt;&lt;publication&gt;&lt;title&gt;Pulmonary Circulation&lt;/title&gt;&lt;uuid&gt;BD4DDD77-E75D-4D0E-B940-4D3670519F34&lt;/uuid&gt;&lt;subtype&gt;-100&lt;/subtype&gt;&lt;publisher&gt;The University of Chicago Press&lt;/publisher&gt;&lt;type&gt;-100&lt;/type&gt;&lt;/publication&gt;&lt;/bundle&gt;&lt;authors&gt;&lt;author&gt;&lt;lastName&gt;Sanders&lt;/lastName&gt;&lt;firstName&gt;Jason&lt;/firstName&gt;&lt;middleNames&gt;L&lt;/middleNames&gt;&lt;/author&gt;&lt;author&gt;&lt;lastName&gt;Han&lt;/lastName&gt;&lt;firstName&gt;Yuchi&lt;/firstName&gt;&lt;/author&gt;&lt;author&gt;&lt;lastName&gt;Urbina&lt;/lastName&gt;&lt;firstName&gt;Mariana&lt;/firstName&gt;&lt;middleNames&gt;F&lt;/middleNames&gt;&lt;/author&gt;&lt;author&gt;&lt;lastName&gt;Systrom&lt;/lastName&gt;&lt;firstName&gt;David&lt;/firstName&gt;&lt;middleNames&gt;M&lt;/middleNames&gt;&lt;/author&gt;&lt;author&gt;&lt;lastName&gt;Waxman&lt;/lastName&gt;&lt;firstName&gt;Aaron&lt;/firstName&gt;&lt;middleNames&gt;B&lt;/middleNames&gt;&lt;/author&gt;&lt;/authors&gt;&lt;/publication&gt;&lt;/publications&gt;&lt;cites&gt;&lt;/cites&gt;&lt;/citation&gt;</w:instrText>
      </w:r>
      <w:r w:rsidR="00095567">
        <w:rPr>
          <w:rFonts w:eastAsiaTheme="minorEastAsia"/>
          <w:lang w:val="en-US"/>
        </w:rPr>
        <w:fldChar w:fldCharType="separate"/>
      </w:r>
      <w:r w:rsidR="00095567">
        <w:rPr>
          <w:rFonts w:eastAsiaTheme="minorEastAsia"/>
          <w:lang w:val="en-US"/>
        </w:rPr>
        <w:t>(Sanders, Han, Urbina, Systrom, &amp; Waxman, 2019)</w:t>
      </w:r>
      <w:r w:rsidR="00095567">
        <w:rPr>
          <w:rFonts w:eastAsiaTheme="minorEastAsia"/>
          <w:lang w:val="en-US"/>
        </w:rPr>
        <w:fldChar w:fldCharType="end"/>
      </w:r>
      <w:r w:rsidR="006C0A18">
        <w:t>.</w:t>
      </w:r>
      <w:r w:rsidR="00EE122B">
        <w:t xml:space="preserve"> An age and sex matched cohort of 78 people, 26 in each group, had</w:t>
      </w:r>
      <w:r w:rsidR="002F30EC">
        <w:t xml:space="preserve"> </w:t>
      </w:r>
      <w:r w:rsidR="00EE122B">
        <w:t>p</w:t>
      </w:r>
      <w:r w:rsidR="002F30EC">
        <w:t>lasma</w:t>
      </w:r>
      <w:r w:rsidR="00EE122B">
        <w:t xml:space="preserve"> </w:t>
      </w:r>
      <w:r w:rsidR="002F30EC">
        <w:t xml:space="preserve">taken from the PA at rest, and during </w:t>
      </w:r>
      <w:proofErr w:type="gramStart"/>
      <w:r w:rsidR="002F30EC">
        <w:t>cardio pulmonary</w:t>
      </w:r>
      <w:proofErr w:type="gramEnd"/>
      <w:r w:rsidR="002F30EC">
        <w:t xml:space="preserve"> exercise testing (CPET)</w:t>
      </w:r>
      <w:r w:rsidR="00EE122B">
        <w:t>. The Metabolon platform was used to quantify</w:t>
      </w:r>
      <w:r w:rsidR="00C35EB7">
        <w:t xml:space="preserve"> levels of</w:t>
      </w:r>
      <w:r w:rsidR="00EE122B">
        <w:t xml:space="preserve"> 1013 metabolites. </w:t>
      </w:r>
      <w:r w:rsidR="008316E0">
        <w:t>Samples</w:t>
      </w:r>
      <w:r w:rsidR="00EE122B">
        <w:t xml:space="preserve"> at rest and peak exercise </w:t>
      </w:r>
      <w:r w:rsidR="008316E0">
        <w:t xml:space="preserve">were paired and Random Forest classification </w:t>
      </w:r>
      <w:r w:rsidR="00EE122B">
        <w:t xml:space="preserve">accuracy between control, </w:t>
      </w:r>
      <w:proofErr w:type="spellStart"/>
      <w:r w:rsidR="00EE122B">
        <w:t>ePH</w:t>
      </w:r>
      <w:proofErr w:type="spellEnd"/>
      <w:r w:rsidR="00EE122B">
        <w:t xml:space="preserve"> and PAH was extremely high at 96%, 90% and 88% respectively. </w:t>
      </w:r>
    </w:p>
    <w:p w14:paraId="4D13D94F" w14:textId="65B143D2" w:rsidR="00F65BCD" w:rsidRDefault="007D4CF0" w:rsidP="00DC03CF">
      <w:pPr>
        <w:pStyle w:val="Body"/>
      </w:pPr>
      <w:r>
        <w:softHyphen/>
      </w:r>
    </w:p>
    <w:p w14:paraId="083C3662" w14:textId="195FBA3D" w:rsidR="00F27995" w:rsidRDefault="00F27995" w:rsidP="00F27995">
      <w:pPr>
        <w:pStyle w:val="Body"/>
      </w:pPr>
      <w:r>
        <w:t xml:space="preserve">Whilst </w:t>
      </w:r>
      <w:r w:rsidR="00C35EB7">
        <w:t>Random Forests</w:t>
      </w:r>
      <w:r>
        <w:t xml:space="preserve"> has many strategies to reduce overfitting, without testing upon a separate, and ideally external cohort it is impossible to know if the accuracy seen </w:t>
      </w:r>
      <w:r w:rsidR="009328F4">
        <w:lastRenderedPageBreak/>
        <w:t xml:space="preserve">would be reflected in </w:t>
      </w:r>
      <w:r>
        <w:t xml:space="preserve">future </w:t>
      </w:r>
      <w:r w:rsidR="00BA743E">
        <w:t>studies</w:t>
      </w:r>
      <w:r w:rsidR="00BA743E">
        <w:softHyphen/>
      </w:r>
      <w:r>
        <w:t xml:space="preserve">. </w:t>
      </w:r>
      <w:r w:rsidR="00C17BD0">
        <w:t xml:space="preserve">Additionally, </w:t>
      </w:r>
      <w:r w:rsidR="00E75C3F">
        <w:t xml:space="preserve">as the risk of overfitting increases with increasing numbers of features using </w:t>
      </w:r>
      <w:r w:rsidR="00C17BD0">
        <w:t>all 1013 metabolites in the model</w:t>
      </w:r>
      <w:r w:rsidR="00E75C3F">
        <w:t xml:space="preserve"> </w:t>
      </w:r>
      <w:r w:rsidR="00C35EB7">
        <w:t>has likely</w:t>
      </w:r>
      <w:r w:rsidR="00E75C3F">
        <w:t xml:space="preserve"> result</w:t>
      </w:r>
      <w:r w:rsidR="00C35EB7">
        <w:t xml:space="preserve">ed </w:t>
      </w:r>
      <w:r w:rsidR="00E75C3F">
        <w:t xml:space="preserve">in an over fitted model </w:t>
      </w:r>
      <w:r w:rsidR="00C17BD0">
        <w:t>and</w:t>
      </w:r>
      <w:r w:rsidR="00E75C3F">
        <w:t xml:space="preserve"> </w:t>
      </w:r>
      <w:r w:rsidR="00C35EB7">
        <w:t>it would be</w:t>
      </w:r>
      <w:r w:rsidR="00C17BD0">
        <w:t xml:space="preserve"> impractical</w:t>
      </w:r>
      <w:r w:rsidR="00C35EB7">
        <w:t xml:space="preserve"> to measure 1013 metabolites in a diagnostic tes</w:t>
      </w:r>
      <w:r w:rsidR="007679A5">
        <w:softHyphen/>
      </w:r>
      <w:r w:rsidR="00C35EB7">
        <w:t>t</w:t>
      </w:r>
      <w:r w:rsidR="00C17BD0">
        <w:t>.</w:t>
      </w:r>
    </w:p>
    <w:p w14:paraId="013A8EF6" w14:textId="77777777" w:rsidR="003527AD" w:rsidRDefault="003527AD" w:rsidP="005B57F9">
      <w:pPr>
        <w:pStyle w:val="Body"/>
      </w:pPr>
    </w:p>
    <w:p w14:paraId="6C8EA448" w14:textId="3335539E" w:rsidR="005D707B" w:rsidRPr="005D707B" w:rsidRDefault="00BE4EA9" w:rsidP="005D707B">
      <w:pPr>
        <w:pStyle w:val="Heading2"/>
        <w:numPr>
          <w:ilvl w:val="2"/>
          <w:numId w:val="7"/>
        </w:numPr>
        <w:spacing w:before="120" w:after="120"/>
      </w:pPr>
      <w:bookmarkStart w:id="74" w:name="_Ref54451477"/>
      <w:bookmarkStart w:id="75" w:name="_Toc60773878"/>
      <w:r>
        <w:t>Feature Selec</w:t>
      </w:r>
      <w:r w:rsidR="003B736E">
        <w:t>t</w:t>
      </w:r>
      <w:r>
        <w:t>ion</w:t>
      </w:r>
      <w:bookmarkEnd w:id="74"/>
      <w:bookmarkEnd w:id="75"/>
    </w:p>
    <w:p w14:paraId="6DC096BB" w14:textId="0E439BEB" w:rsidR="007679A5" w:rsidRDefault="00513646" w:rsidP="00A5230A">
      <w:pPr>
        <w:pStyle w:val="Body"/>
      </w:pPr>
      <w:r>
        <w:t>Feature selection is the term given to the process of selecting the</w:t>
      </w:r>
      <w:r w:rsidR="00270EE4">
        <w:t xml:space="preserve"> most minimal set of variables or features on which to build a model on</w:t>
      </w:r>
      <w:r>
        <w:t xml:space="preserve">. </w:t>
      </w:r>
    </w:p>
    <w:p w14:paraId="52C143A9" w14:textId="77777777" w:rsidR="007679A5" w:rsidRDefault="007679A5" w:rsidP="00A5230A">
      <w:pPr>
        <w:pStyle w:val="Body"/>
      </w:pPr>
    </w:p>
    <w:p w14:paraId="5546DF15" w14:textId="776D6CE2" w:rsidR="007679A5" w:rsidRDefault="007679A5" w:rsidP="00A5230A">
      <w:pPr>
        <w:pStyle w:val="Body"/>
      </w:pPr>
      <w:r>
        <w:t xml:space="preserve">A key reason for feature selection is reducing overfitting. A model is said to have overfitted when it has identified patterns unique to the training data alone. Such a model will have a very high accuracy on the training set but a very poor predictive power when used on any new test data. </w:t>
      </w:r>
    </w:p>
    <w:p w14:paraId="3BF7033A" w14:textId="77777777" w:rsidR="007679A5" w:rsidRDefault="007679A5" w:rsidP="00A5230A">
      <w:pPr>
        <w:pStyle w:val="Body"/>
      </w:pPr>
    </w:p>
    <w:p w14:paraId="0B9B96C2" w14:textId="250ACCDF" w:rsidR="00274F54" w:rsidRDefault="00270EE4" w:rsidP="00A5230A">
      <w:pPr>
        <w:pStyle w:val="Body"/>
      </w:pPr>
      <w:r>
        <w:t>Building on a smaller data set</w:t>
      </w:r>
      <w:r w:rsidR="00803E8C">
        <w:t xml:space="preserve"> </w:t>
      </w:r>
      <w:r w:rsidR="00A83CD7">
        <w:t xml:space="preserve">reduces the risk of overfitting </w:t>
      </w:r>
      <w:r w:rsidR="007679A5">
        <w:t>due to the</w:t>
      </w:r>
      <w:r w:rsidR="00CE6260">
        <w:t xml:space="preserve"> model</w:t>
      </w:r>
      <w:r w:rsidR="007679A5">
        <w:t xml:space="preserve"> being </w:t>
      </w:r>
      <w:r w:rsidR="00CE6260">
        <w:t xml:space="preserve">built </w:t>
      </w:r>
      <w:r w:rsidR="007679A5">
        <w:t>with</w:t>
      </w:r>
      <w:r w:rsidR="00CE6260">
        <w:t xml:space="preserve"> less redundant or </w:t>
      </w:r>
      <w:r w:rsidR="007679A5">
        <w:t xml:space="preserve">even </w:t>
      </w:r>
      <w:r w:rsidR="00CE6260">
        <w:t>misleading data</w:t>
      </w:r>
      <w:r w:rsidR="007679A5">
        <w:t>, therefore</w:t>
      </w:r>
      <w:r w:rsidR="00CE6260">
        <w:t xml:space="preserve"> stopping </w:t>
      </w:r>
      <w:r w:rsidR="009328F4">
        <w:t>modelling</w:t>
      </w:r>
      <w:r w:rsidR="007679A5">
        <w:t xml:space="preserve"> </w:t>
      </w:r>
      <w:r w:rsidR="00CE6260">
        <w:t xml:space="preserve">decisions being made on noise. </w:t>
      </w:r>
      <w:r w:rsidR="00A83CD7">
        <w:t>Additionally,</w:t>
      </w:r>
      <w:r w:rsidR="00CE6260">
        <w:t xml:space="preserve"> an added advantage is</w:t>
      </w:r>
      <w:r w:rsidR="00A83CD7">
        <w:t xml:space="preserve"> </w:t>
      </w:r>
      <w:r w:rsidR="007679A5">
        <w:t xml:space="preserve">a reduction in </w:t>
      </w:r>
      <w:r w:rsidR="00A83CD7">
        <w:t xml:space="preserve">computation time </w:t>
      </w:r>
      <w:r w:rsidR="00CE6260">
        <w:t xml:space="preserve">enabling more iteration and </w:t>
      </w:r>
      <w:r w:rsidR="007679A5">
        <w:t xml:space="preserve">model </w:t>
      </w:r>
      <w:r w:rsidR="00CE6260">
        <w:t>evolution</w:t>
      </w:r>
      <w:r w:rsidR="00A5230A">
        <w:t>.</w:t>
      </w:r>
      <w:r>
        <w:t xml:space="preserve"> </w:t>
      </w:r>
    </w:p>
    <w:p w14:paraId="2890B483" w14:textId="77777777" w:rsidR="00336B4D" w:rsidRDefault="00336B4D" w:rsidP="00A4250C">
      <w:pPr>
        <w:pStyle w:val="Body"/>
      </w:pPr>
    </w:p>
    <w:p w14:paraId="37CC9BDE" w14:textId="32550F52" w:rsidR="00E00902" w:rsidRDefault="00E00902" w:rsidP="001865BC">
      <w:pPr>
        <w:pStyle w:val="Heading2"/>
        <w:numPr>
          <w:ilvl w:val="3"/>
          <w:numId w:val="7"/>
        </w:numPr>
        <w:spacing w:before="120" w:after="120"/>
      </w:pPr>
      <w:bookmarkStart w:id="76" w:name="_Toc60773879"/>
      <w:r>
        <w:t>Filter Based Feature selection</w:t>
      </w:r>
      <w:bookmarkEnd w:id="76"/>
    </w:p>
    <w:p w14:paraId="2C9AC3E9" w14:textId="2FBC2A2D" w:rsidR="006C78D6" w:rsidRDefault="005A0461" w:rsidP="00153B0D">
      <w:pPr>
        <w:pStyle w:val="Body"/>
      </w:pPr>
      <w:r>
        <w:t>Filter based feature selection</w:t>
      </w:r>
      <w:r w:rsidR="008D3E78">
        <w:t xml:space="preserve"> </w:t>
      </w:r>
      <w:r w:rsidR="000A036F">
        <w:t>appl</w:t>
      </w:r>
      <w:r w:rsidR="008D3E78">
        <w:t>ies</w:t>
      </w:r>
      <w:r w:rsidR="000A036F">
        <w:t xml:space="preserve"> a</w:t>
      </w:r>
      <w:r w:rsidR="00FF5B96">
        <w:t xml:space="preserve"> relevant</w:t>
      </w:r>
      <w:r w:rsidR="000A036F">
        <w:t xml:space="preserve"> threshold to determine which features </w:t>
      </w:r>
      <w:r w:rsidR="00C818E3">
        <w:t>should</w:t>
      </w:r>
      <w:r>
        <w:t xml:space="preserve"> be kept</w:t>
      </w:r>
      <w:r w:rsidR="006B105A">
        <w:t>.</w:t>
      </w:r>
      <w:r w:rsidR="00C818E3">
        <w:t xml:space="preserve"> </w:t>
      </w:r>
      <w:r w:rsidR="00FF5B96">
        <w:t>Whilst not exhaustive</w:t>
      </w:r>
      <w:r w:rsidR="001D0B8B">
        <w:t xml:space="preserve">, data may be filtered based upon </w:t>
      </w:r>
      <w:r w:rsidR="007615FD">
        <w:t xml:space="preserve">feature variance, magnitude above background, </w:t>
      </w:r>
      <w:r w:rsidR="001D0B8B">
        <w:t>resulting p-value from a t-test</w:t>
      </w:r>
      <w:r w:rsidR="00FF5B96">
        <w:t xml:space="preserve">, </w:t>
      </w:r>
      <w:r w:rsidR="001D0B8B">
        <w:t xml:space="preserve">u-test </w:t>
      </w:r>
      <w:r>
        <w:t>or</w:t>
      </w:r>
      <w:r w:rsidR="001D0B8B">
        <w:t xml:space="preserve"> </w:t>
      </w:r>
      <w:r>
        <w:t>upon</w:t>
      </w:r>
      <w:r w:rsidR="001D0B8B">
        <w:t xml:space="preserve"> </w:t>
      </w:r>
      <w:r w:rsidR="001D0B8B">
        <w:lastRenderedPageBreak/>
        <w:t xml:space="preserve">its univariate predictive power </w:t>
      </w:r>
      <w:r>
        <w:t>by</w:t>
      </w:r>
      <w:r w:rsidR="001D0B8B">
        <w:t xml:space="preserve"> ROC curve analysis.</w:t>
      </w:r>
      <w:r w:rsidRPr="005A0461">
        <w:t xml:space="preserve"> </w:t>
      </w:r>
      <w:r>
        <w:t xml:space="preserve">Each feature is assessed independently therefore no consideration is given to how features may combine additively, therefore soft thresholds are typically </w:t>
      </w:r>
      <w:proofErr w:type="gramStart"/>
      <w:r>
        <w:t>chosen</w:t>
      </w:r>
      <w:proofErr w:type="gramEnd"/>
      <w:r>
        <w:t xml:space="preserve"> and filtering performed as a</w:t>
      </w:r>
      <w:r w:rsidR="006C78D6">
        <w:t xml:space="preserve"> </w:t>
      </w:r>
      <w:r>
        <w:t>prepressing</w:t>
      </w:r>
      <w:r w:rsidR="006C78D6">
        <w:t xml:space="preserve"> step prior to </w:t>
      </w:r>
      <w:r>
        <w:t>more sophisticated</w:t>
      </w:r>
      <w:r w:rsidR="006C78D6">
        <w:t xml:space="preserve"> feature selection or </w:t>
      </w:r>
      <w:r>
        <w:t>model building</w:t>
      </w:r>
      <w:r w:rsidR="00E36ABE">
        <w:t>.</w:t>
      </w:r>
    </w:p>
    <w:p w14:paraId="60AAE008" w14:textId="77777777" w:rsidR="00EA515A" w:rsidRDefault="00EA515A" w:rsidP="00153B0D">
      <w:pPr>
        <w:pStyle w:val="Body"/>
      </w:pPr>
    </w:p>
    <w:p w14:paraId="3DE190C9" w14:textId="17479C35" w:rsidR="00E36ABE" w:rsidRDefault="00E36ABE" w:rsidP="00153B0D">
      <w:pPr>
        <w:pStyle w:val="Body"/>
      </w:pPr>
      <w:r>
        <w:t>Filter methods offer a simple interpretable way to reduce the initial number of variables low quality or weak predictors that would otherwise act as noise</w:t>
      </w:r>
      <w:r w:rsidR="006D6428">
        <w:t>.</w:t>
      </w:r>
      <w:r>
        <w:t xml:space="preserve"> </w:t>
      </w:r>
    </w:p>
    <w:p w14:paraId="7F09507C" w14:textId="06C89E3D" w:rsidR="00D40E4E" w:rsidRPr="00E00902" w:rsidRDefault="00D40E4E" w:rsidP="00636602">
      <w:pPr>
        <w:pStyle w:val="BodyText1"/>
      </w:pPr>
    </w:p>
    <w:p w14:paraId="07A78AE6" w14:textId="28E17FC7" w:rsidR="001865BC" w:rsidRDefault="003B736E" w:rsidP="001865BC">
      <w:pPr>
        <w:pStyle w:val="Heading2"/>
        <w:numPr>
          <w:ilvl w:val="3"/>
          <w:numId w:val="7"/>
        </w:numPr>
        <w:spacing w:before="120" w:after="120"/>
      </w:pPr>
      <w:bookmarkStart w:id="77" w:name="_Toc60773880"/>
      <w:r>
        <w:t>Forward</w:t>
      </w:r>
      <w:r w:rsidR="00AD7228">
        <w:t xml:space="preserve"> selection</w:t>
      </w:r>
      <w:r w:rsidR="002C14B4">
        <w:t xml:space="preserve"> and Backward </w:t>
      </w:r>
      <w:r w:rsidR="00AD7228">
        <w:t>Elimination</w:t>
      </w:r>
      <w:bookmarkEnd w:id="77"/>
      <w:r w:rsidR="001865BC">
        <w:t xml:space="preserve"> </w:t>
      </w:r>
    </w:p>
    <w:p w14:paraId="2B47A35B" w14:textId="6D4A914F" w:rsidR="00C94151" w:rsidRDefault="001530E7" w:rsidP="001531C5">
      <w:pPr>
        <w:pStyle w:val="Body"/>
      </w:pPr>
      <w:r>
        <w:t xml:space="preserve">Forward selection and backward elimination are two similar methods of feature selection </w:t>
      </w:r>
      <w:r w:rsidR="00FC43F7">
        <w:t>where</w:t>
      </w:r>
      <w:r>
        <w:t xml:space="preserve"> interactions between </w:t>
      </w:r>
      <w:r w:rsidR="00FC43F7">
        <w:t xml:space="preserve">features </w:t>
      </w:r>
      <w:r w:rsidR="007A6544">
        <w:t>are</w:t>
      </w:r>
      <w:r w:rsidR="00C94151">
        <w:t xml:space="preserve"> </w:t>
      </w:r>
      <w:r w:rsidR="007A6544">
        <w:t>considere</w:t>
      </w:r>
      <w:r w:rsidR="000815B4">
        <w:t xml:space="preserve">d. The technique can be </w:t>
      </w:r>
      <w:r w:rsidR="00EE5D83">
        <w:t>applied to</w:t>
      </w:r>
      <w:r w:rsidR="000815B4">
        <w:t xml:space="preserve"> a large majority of models</w:t>
      </w:r>
      <w:r w:rsidR="00FC43F7">
        <w:t>.</w:t>
      </w:r>
      <w:r w:rsidR="009671B8">
        <w:t xml:space="preserve"> </w:t>
      </w:r>
      <w:r w:rsidR="00C94151">
        <w:t>In forward selection the model</w:t>
      </w:r>
      <w:r w:rsidR="007A6544">
        <w:t xml:space="preserve"> is</w:t>
      </w:r>
      <w:r w:rsidR="00C94151">
        <w:t xml:space="preserve"> iteratively </w:t>
      </w:r>
      <w:r w:rsidR="007A6544">
        <w:t>built by addition of</w:t>
      </w:r>
      <w:r w:rsidR="00C94151">
        <w:t xml:space="preserve"> the next best feature until the optimal model is identified. Conversely, backwards elimination starts with all features </w:t>
      </w:r>
      <w:r w:rsidR="007A6544">
        <w:t xml:space="preserve">in a model </w:t>
      </w:r>
      <w:r w:rsidR="00C94151">
        <w:t xml:space="preserve">and </w:t>
      </w:r>
      <w:r w:rsidR="00C85135">
        <w:t>iteratively</w:t>
      </w:r>
      <w:r w:rsidR="00C94151">
        <w:t xml:space="preserve"> removes the worst feature until the optimal model is reached. The optimal</w:t>
      </w:r>
      <w:r w:rsidR="00D01396">
        <w:t xml:space="preserve"> model</w:t>
      </w:r>
      <w:r w:rsidR="00C94151">
        <w:t xml:space="preserve"> is </w:t>
      </w:r>
      <w:r w:rsidR="00EE5D83">
        <w:t>typically</w:t>
      </w:r>
      <w:r w:rsidR="00C94151">
        <w:t xml:space="preserve"> identified as that with the lowest Akaike Information Criterion (AIC), </w:t>
      </w:r>
      <w:r w:rsidR="00C94151">
        <w:fldChar w:fldCharType="begin"/>
      </w:r>
      <w:r w:rsidR="004E19A5">
        <w:instrText xml:space="preserve"> ADDIN PAPERS2_CITATIONS &lt;citation&gt;&lt;priority&gt;0&lt;/priority&gt;&lt;uuid&gt;669964FD-D632-4ABC-9489-11C6E02FC7BD&lt;/uuid&gt;&lt;publications&gt;&lt;publication&gt;&lt;subtype&gt;400&lt;/subtype&gt;&lt;title&gt;A new look at the statistical model identification&lt;/title&gt;&lt;url&gt;http://ieeexplore.ieee.org/document/1100705/&lt;/url&gt;&lt;volume&gt;19&lt;/volume&gt;&lt;publication_date&gt;99197412001200000000220000&lt;/publication_date&gt;&lt;uuid&gt;0FF0793E-B5B5-464C-B678-05B83A885686&lt;/uuid&gt;&lt;type&gt;400&lt;/type&gt;&lt;number&gt;6&lt;/number&gt;&lt;doi&gt;10.1109/TAC.1974.1100705&lt;/doi&gt;&lt;startpage&gt;716&lt;/startpage&gt;&lt;endpage&gt;723&lt;/endpage&gt;&lt;bundle&gt;&lt;publication&gt;&lt;title&gt;IEEE Transactions on Automatic Control&lt;/title&gt;&lt;uuid&gt;09E873C9-0A4A-4D80-BDE6-8C1D07F4F64A&lt;/uuid&gt;&lt;subtype&gt;-100&lt;/subtype&gt;&lt;type&gt;-100&lt;/type&gt;&lt;/publication&gt;&lt;/bundle&gt;&lt;authors&gt;&lt;author&gt;&lt;lastName&gt;Akaike&lt;/lastName&gt;&lt;firstName&gt;H&lt;/firstName&gt;&lt;/author&gt;&lt;/authors&gt;&lt;/publication&gt;&lt;/publications&gt;&lt;cites&gt;&lt;/cites&gt;&lt;/citation&gt;</w:instrText>
      </w:r>
      <w:r w:rsidR="00C94151">
        <w:fldChar w:fldCharType="separate"/>
      </w:r>
      <w:r w:rsidR="00095567">
        <w:rPr>
          <w:rFonts w:eastAsiaTheme="minorEastAsia"/>
          <w:lang w:val="en-US"/>
        </w:rPr>
        <w:t>(Akaike, 1974)</w:t>
      </w:r>
      <w:r w:rsidR="00C94151">
        <w:fldChar w:fldCharType="end"/>
      </w:r>
      <w:r w:rsidR="00C85135">
        <w:t xml:space="preserve">. AIC compares the performance of two different models by </w:t>
      </w:r>
      <w:r w:rsidR="00663A33">
        <w:t>subtracting a penalty for the number of features used from the variance explained by the model.</w:t>
      </w:r>
      <w:r w:rsidR="00CF74CC">
        <w:t xml:space="preserve"> </w:t>
      </w:r>
      <w:r w:rsidR="00AA4BAB">
        <w:t xml:space="preserve">This approach </w:t>
      </w:r>
      <w:r w:rsidR="00D868FB">
        <w:t>balances</w:t>
      </w:r>
      <w:r w:rsidR="00AA4BAB">
        <w:t xml:space="preserve"> </w:t>
      </w:r>
      <w:r w:rsidR="00D868FB">
        <w:t>increasing</w:t>
      </w:r>
      <w:r w:rsidR="00AA4BAB">
        <w:t xml:space="preserve"> model accuracy against </w:t>
      </w:r>
      <w:r w:rsidR="00EE5D83">
        <w:t>its complexity</w:t>
      </w:r>
      <w:r w:rsidR="00AA4BAB">
        <w:t>, when the addition of a new feature provides minimal reduction in</w:t>
      </w:r>
      <w:r w:rsidR="00984179">
        <w:t xml:space="preserve"> explained</w:t>
      </w:r>
      <w:r w:rsidR="00AA4BAB">
        <w:t xml:space="preserve"> variance the AIC score becomes smaller than the previous smaller model. </w:t>
      </w:r>
      <w:r w:rsidR="00CF74CC">
        <w:t>This ensures that the model contains the enough features to capture</w:t>
      </w:r>
      <w:r w:rsidR="00CF74CC" w:rsidRPr="00CF74CC">
        <w:t xml:space="preserve"> </w:t>
      </w:r>
      <w:r w:rsidR="00CF74CC">
        <w:t xml:space="preserve">the true variability </w:t>
      </w:r>
      <w:r w:rsidR="001531C5">
        <w:t xml:space="preserve">whilst keeping the number of features small enough </w:t>
      </w:r>
      <w:r w:rsidR="00AA4BAB">
        <w:t>to reduce the risk of overfitting</w:t>
      </w:r>
      <w:r w:rsidR="001531C5">
        <w:t>.</w:t>
      </w:r>
    </w:p>
    <w:p w14:paraId="210371C5" w14:textId="77777777" w:rsidR="001531C5" w:rsidRDefault="001531C5" w:rsidP="00061F3C">
      <w:pPr>
        <w:pStyle w:val="Body"/>
      </w:pPr>
    </w:p>
    <w:p w14:paraId="6E3BD0ED" w14:textId="6B473851" w:rsidR="00B44CDE" w:rsidRDefault="00B44CDE" w:rsidP="00B44CDE">
      <w:pPr>
        <w:pStyle w:val="Body"/>
      </w:pPr>
      <w:r>
        <w:lastRenderedPageBreak/>
        <w:t xml:space="preserve">As both methods determine the best model by iteratively </w:t>
      </w:r>
      <w:proofErr w:type="gramStart"/>
      <w:r>
        <w:t>testing</w:t>
      </w:r>
      <w:proofErr w:type="gramEnd"/>
      <w:r>
        <w:t xml:space="preserve"> they are</w:t>
      </w:r>
      <w:r w:rsidR="00396B9A">
        <w:t xml:space="preserve"> very</w:t>
      </w:r>
      <w:r>
        <w:t xml:space="preserve"> computationally intensive</w:t>
      </w:r>
      <w:r w:rsidR="00396B9A">
        <w:t xml:space="preserve"> which makes them unsuitable for</w:t>
      </w:r>
      <w:r>
        <w:t xml:space="preserve"> extremely large data sets.</w:t>
      </w:r>
    </w:p>
    <w:p w14:paraId="0A7EEB92" w14:textId="26486CB8" w:rsidR="0054204B" w:rsidRDefault="0054204B" w:rsidP="00061F3C">
      <w:pPr>
        <w:pStyle w:val="Body"/>
      </w:pPr>
    </w:p>
    <w:p w14:paraId="272AC49F" w14:textId="2780C848" w:rsidR="001865BC" w:rsidRDefault="00D40E4E" w:rsidP="001865BC">
      <w:pPr>
        <w:pStyle w:val="Heading2"/>
        <w:numPr>
          <w:ilvl w:val="3"/>
          <w:numId w:val="7"/>
        </w:numPr>
        <w:spacing w:before="120" w:after="120"/>
      </w:pPr>
      <w:bookmarkStart w:id="78" w:name="_Toc60773881"/>
      <w:r>
        <w:t xml:space="preserve">Least </w:t>
      </w:r>
      <w:r w:rsidR="00593746">
        <w:t>Absolute Shrinkage Selection Operator</w:t>
      </w:r>
      <w:r w:rsidR="001865BC" w:rsidRPr="001865BC">
        <w:t xml:space="preserve"> </w:t>
      </w:r>
      <w:r w:rsidR="001865BC">
        <w:t>Feature Selection</w:t>
      </w:r>
      <w:bookmarkEnd w:id="78"/>
    </w:p>
    <w:p w14:paraId="0D7A814C" w14:textId="1D4F16B1" w:rsidR="00E272DD" w:rsidRDefault="00593746" w:rsidP="00806229">
      <w:pPr>
        <w:pStyle w:val="Body"/>
      </w:pPr>
      <w:r>
        <w:t>The l</w:t>
      </w:r>
      <w:r w:rsidR="005D707B">
        <w:t>east absolute shrinkage selection operator (LASSO)</w:t>
      </w:r>
      <w:r>
        <w:t xml:space="preserve"> </w:t>
      </w:r>
      <w:r w:rsidR="00E134AE">
        <w:t xml:space="preserve">is </w:t>
      </w:r>
      <w:r w:rsidR="00396B9A">
        <w:t>a</w:t>
      </w:r>
      <w:r w:rsidR="008C5362">
        <w:t xml:space="preserve"> </w:t>
      </w:r>
      <w:r w:rsidR="00EE5D83">
        <w:t xml:space="preserve">generalised </w:t>
      </w:r>
      <w:r w:rsidR="00E134AE">
        <w:t>regression</w:t>
      </w:r>
      <w:r w:rsidR="008C5362">
        <w:t xml:space="preserve"> </w:t>
      </w:r>
      <w:r w:rsidR="00396B9A">
        <w:t>technique</w:t>
      </w:r>
      <w:r w:rsidR="008C5362">
        <w:t xml:space="preserve"> </w:t>
      </w:r>
      <w:r w:rsidR="00396B9A">
        <w:t xml:space="preserve">that </w:t>
      </w:r>
      <w:r w:rsidR="008C5362">
        <w:t>perform</w:t>
      </w:r>
      <w:r w:rsidR="00396B9A">
        <w:t>s</w:t>
      </w:r>
      <w:r w:rsidR="008C5362">
        <w:t xml:space="preserve"> </w:t>
      </w:r>
      <w:r>
        <w:t xml:space="preserve">both </w:t>
      </w:r>
      <w:r w:rsidR="00D42615">
        <w:t>feature selection and regularisation</w:t>
      </w:r>
      <w:r w:rsidR="00DC15FC">
        <w:t xml:space="preserve"> </w:t>
      </w:r>
      <w:r w:rsidR="00095567">
        <w:rPr>
          <w:rFonts w:eastAsiaTheme="minorEastAsia"/>
          <w:lang w:val="en-US"/>
        </w:rPr>
        <w:fldChar w:fldCharType="begin"/>
      </w:r>
      <w:r w:rsidR="004E19A5">
        <w:rPr>
          <w:rFonts w:eastAsiaTheme="minorEastAsia"/>
          <w:lang w:val="en-US"/>
        </w:rPr>
        <w:instrText xml:space="preserve"> ADDIN PAPERS2_CITATIONS &lt;citation&gt;&lt;priority&gt;78&lt;/priority&gt;&lt;uuid&gt;4179CFC2-3A27-4F30-A34A-0F41F77982EB&lt;/uuid&gt;&lt;publications&gt;&lt;publication&gt;&lt;subtype&gt;400&lt;/subtype&gt;&lt;title&gt;Regression shrinkage and selection via the lasso&lt;/title&gt;&lt;url&gt;http://www.jstor.org/stable/2346178&lt;/url&gt;&lt;publication_date&gt;99199600001200000000200000&lt;/publication_date&gt;&lt;uuid&gt;8972F8C1-81DF-4E43-9CBF-D2A6183E94D9&lt;/uuid&gt;&lt;type&gt;400&lt;/type&gt;&lt;doi&gt;10.2307/2346178&lt;/doi&gt;&lt;bundle&gt;&lt;publication&gt;&lt;title&gt;Journal of the Royal Statistical Society Series B ( …&lt;/title&gt;&lt;uuid&gt;918D0738-71BD-4FB8-B799-14BCE84F83D4&lt;/uuid&gt;&lt;subtype&gt;-100&lt;/subtype&gt;&lt;type&gt;-100&lt;/type&gt;&lt;/publication&gt;&lt;/bundle&gt;&lt;authors&gt;&lt;author&gt;&lt;lastName&gt;Tibshirani&lt;/lastName&gt;&lt;firstName&gt;R&lt;/firstName&gt;&lt;/author&gt;&lt;/authors&gt;&lt;/publication&gt;&lt;/publications&gt;&lt;cites&gt;&lt;/cites&gt;&lt;/citation&gt;</w:instrText>
      </w:r>
      <w:r w:rsidR="00095567">
        <w:rPr>
          <w:rFonts w:eastAsiaTheme="minorEastAsia"/>
          <w:lang w:val="en-US"/>
        </w:rPr>
        <w:fldChar w:fldCharType="separate"/>
      </w:r>
      <w:r w:rsidR="00095567">
        <w:rPr>
          <w:rFonts w:eastAsiaTheme="minorEastAsia"/>
          <w:lang w:val="en-US"/>
        </w:rPr>
        <w:t>(</w:t>
      </w:r>
      <w:proofErr w:type="spellStart"/>
      <w:r w:rsidR="00095567">
        <w:rPr>
          <w:rFonts w:eastAsiaTheme="minorEastAsia"/>
          <w:lang w:val="en-US"/>
        </w:rPr>
        <w:t>Tibshirani</w:t>
      </w:r>
      <w:proofErr w:type="spellEnd"/>
      <w:r w:rsidR="00095567">
        <w:rPr>
          <w:rFonts w:eastAsiaTheme="minorEastAsia"/>
          <w:lang w:val="en-US"/>
        </w:rPr>
        <w:t>, 1996)</w:t>
      </w:r>
      <w:r w:rsidR="00095567">
        <w:rPr>
          <w:rFonts w:eastAsiaTheme="minorEastAsia"/>
          <w:lang w:val="en-US"/>
        </w:rPr>
        <w:fldChar w:fldCharType="end"/>
      </w:r>
      <w:r w:rsidR="00D42615">
        <w:t>. Regularisation</w:t>
      </w:r>
      <w:r w:rsidR="00B85B2F">
        <w:t xml:space="preserve"> is a</w:t>
      </w:r>
      <w:r w:rsidR="00710010">
        <w:t xml:space="preserve"> </w:t>
      </w:r>
      <w:r w:rsidR="00B85B2F">
        <w:t>technique used to reduce overfitting</w:t>
      </w:r>
      <w:r w:rsidR="00D42615">
        <w:t xml:space="preserve"> </w:t>
      </w:r>
      <w:r w:rsidR="00B85B2F">
        <w:t>and</w:t>
      </w:r>
      <w:r w:rsidR="00E134AE">
        <w:t xml:space="preserve"> describe</w:t>
      </w:r>
      <w:r w:rsidR="00B85B2F">
        <w:t>s</w:t>
      </w:r>
      <w:r w:rsidR="00E134AE">
        <w:t xml:space="preserve"> </w:t>
      </w:r>
      <w:r w:rsidR="00E272DD">
        <w:t>the</w:t>
      </w:r>
      <w:r w:rsidR="00E134AE">
        <w:t xml:space="preserve"> aspect of a learning algorithm that discourages complexity. </w:t>
      </w:r>
      <w:r w:rsidR="00710010">
        <w:t xml:space="preserve">LASSO </w:t>
      </w:r>
      <w:r w:rsidR="002661E1">
        <w:t xml:space="preserve">controls how large the coefficients grow, </w:t>
      </w:r>
      <w:r w:rsidR="00806229">
        <w:t>as the features become less predictive the penalisation increases until the coefficient is reduced to 0. A coefficient of 0 removes</w:t>
      </w:r>
      <w:r w:rsidR="00EE5D83">
        <w:t xml:space="preserve"> the feature</w:t>
      </w:r>
      <w:r w:rsidR="00806229">
        <w:t xml:space="preserve"> from the model, this is the feature selection aspect of LASSO. </w:t>
      </w:r>
    </w:p>
    <w:p w14:paraId="4EBA5E3A" w14:textId="77777777" w:rsidR="00E272DD" w:rsidRDefault="00E272DD" w:rsidP="00B414D6">
      <w:pPr>
        <w:pStyle w:val="Body"/>
      </w:pPr>
    </w:p>
    <w:p w14:paraId="707E3D74" w14:textId="5D6D3823" w:rsidR="00631630" w:rsidRDefault="00CB0F6E" w:rsidP="00B414D6">
      <w:pPr>
        <w:pStyle w:val="Body"/>
      </w:pPr>
      <w:r>
        <w:t>LASSO regression is computationally less intensive than</w:t>
      </w:r>
      <w:r w:rsidR="00806229">
        <w:t xml:space="preserve"> step</w:t>
      </w:r>
      <w:r>
        <w:t xml:space="preserve"> forward</w:t>
      </w:r>
      <w:r w:rsidR="00806229">
        <w:t>/backwards</w:t>
      </w:r>
      <w:r>
        <w:t xml:space="preserve"> selection. </w:t>
      </w:r>
      <w:r w:rsidR="00631630">
        <w:t>The reduced feature set is likely more generalisable than step forward</w:t>
      </w:r>
      <w:r w:rsidR="008D0271">
        <w:t xml:space="preserve"> selection as the algorithm is tuned over cross-validation therefore reducing internal validation bias.</w:t>
      </w:r>
    </w:p>
    <w:p w14:paraId="5AB19F2E" w14:textId="77777777" w:rsidR="008D0271" w:rsidRDefault="008D0271" w:rsidP="00B414D6">
      <w:pPr>
        <w:pStyle w:val="Body"/>
      </w:pPr>
    </w:p>
    <w:p w14:paraId="714B2493" w14:textId="4BFA5155" w:rsidR="00631630" w:rsidRDefault="00631630" w:rsidP="00B414D6">
      <w:pPr>
        <w:pStyle w:val="Body"/>
      </w:pPr>
      <w:r>
        <w:t>Additional</w:t>
      </w:r>
      <w:r w:rsidR="008D0271">
        <w:t>ly,</w:t>
      </w:r>
      <w:r>
        <w:t xml:space="preserve"> correlating </w:t>
      </w:r>
      <w:r w:rsidR="00CB0F6E">
        <w:t>features</w:t>
      </w:r>
      <w:r>
        <w:t xml:space="preserve"> are also removed</w:t>
      </w:r>
      <w:r w:rsidR="00CB0F6E">
        <w:t xml:space="preserve"> improving model performance</w:t>
      </w:r>
      <w:r w:rsidR="00915678">
        <w:t xml:space="preserve"> as correlating features negatively affect linear model performance</w:t>
      </w:r>
      <w:r>
        <w:t>. H</w:t>
      </w:r>
      <w:r w:rsidR="00CB0F6E">
        <w:t xml:space="preserve">owever, </w:t>
      </w:r>
      <w:r w:rsidR="008D0271">
        <w:t>knowledge of</w:t>
      </w:r>
      <w:r>
        <w:t xml:space="preserve"> </w:t>
      </w:r>
      <w:r w:rsidR="002A2199">
        <w:t>features that correlate</w:t>
      </w:r>
      <w:r>
        <w:t xml:space="preserve"> is useful </w:t>
      </w:r>
      <w:r w:rsidR="008D0271">
        <w:t xml:space="preserve">when interpretation of biological </w:t>
      </w:r>
      <w:r>
        <w:t>function</w:t>
      </w:r>
      <w:r w:rsidR="008D0271">
        <w:t xml:space="preserve"> is sought.</w:t>
      </w:r>
      <w:r>
        <w:t xml:space="preserve"> </w:t>
      </w:r>
      <w:r w:rsidR="008D0271">
        <w:t>In this case s</w:t>
      </w:r>
      <w:r>
        <w:t xml:space="preserve">electing correlating features </w:t>
      </w:r>
      <w:r w:rsidR="008D0271">
        <w:t>for</w:t>
      </w:r>
      <w:r>
        <w:t xml:space="preserve"> remov</w:t>
      </w:r>
      <w:r w:rsidR="009328F4">
        <w:t>al</w:t>
      </w:r>
      <w:r>
        <w:t xml:space="preserve"> according to prior knowledge</w:t>
      </w:r>
      <w:r w:rsidR="008D0271">
        <w:t xml:space="preserve"> or a filter criterion</w:t>
      </w:r>
      <w:r>
        <w:t xml:space="preserve"> may be more appropriate.</w:t>
      </w:r>
    </w:p>
    <w:p w14:paraId="215E8FAB" w14:textId="2FAE194E" w:rsidR="006C085E" w:rsidRDefault="006C085E" w:rsidP="005B57F9">
      <w:r>
        <w:t xml:space="preserve"> </w:t>
      </w:r>
    </w:p>
    <w:p w14:paraId="742573E3" w14:textId="5BDBC872" w:rsidR="001865BC" w:rsidRDefault="003B736E" w:rsidP="001865BC">
      <w:pPr>
        <w:pStyle w:val="Heading2"/>
        <w:numPr>
          <w:ilvl w:val="3"/>
          <w:numId w:val="7"/>
        </w:numPr>
        <w:spacing w:before="120" w:after="120"/>
      </w:pPr>
      <w:bookmarkStart w:id="79" w:name="_Toc60773882"/>
      <w:r>
        <w:lastRenderedPageBreak/>
        <w:t>Boruta</w:t>
      </w:r>
      <w:r w:rsidR="001865BC" w:rsidRPr="001865BC">
        <w:t xml:space="preserve"> </w:t>
      </w:r>
      <w:r w:rsidR="001865BC">
        <w:t>Feature Selection</w:t>
      </w:r>
      <w:bookmarkEnd w:id="79"/>
    </w:p>
    <w:p w14:paraId="321C1A7E" w14:textId="540BF196" w:rsidR="001755F2" w:rsidRDefault="009B6A57" w:rsidP="008D49C0">
      <w:pPr>
        <w:pStyle w:val="Body"/>
      </w:pPr>
      <w:r>
        <w:t>Boruta</w:t>
      </w:r>
      <w:r w:rsidR="00C96D3A">
        <w:t>, the Slavic God of the forest,</w:t>
      </w:r>
      <w:r>
        <w:t xml:space="preserve"> is a</w:t>
      </w:r>
      <w:r w:rsidR="00F41639">
        <w:t xml:space="preserve"> feature selection algorithm that </w:t>
      </w:r>
      <w:r w:rsidR="00C12DAC">
        <w:t>utilises</w:t>
      </w:r>
      <w:r w:rsidR="00F41639">
        <w:t xml:space="preserve"> </w:t>
      </w:r>
      <w:r>
        <w:t xml:space="preserve">random forests </w:t>
      </w:r>
      <w:r w:rsidR="00095567">
        <w:rPr>
          <w:rFonts w:eastAsiaTheme="minorEastAsia"/>
          <w:lang w:val="en-US"/>
        </w:rPr>
        <w:fldChar w:fldCharType="begin"/>
      </w:r>
      <w:r w:rsidR="004E19A5">
        <w:rPr>
          <w:rFonts w:eastAsiaTheme="minorEastAsia"/>
          <w:lang w:val="en-US"/>
        </w:rPr>
        <w:instrText xml:space="preserve"> ADDIN PAPERS2_CITATIONS &lt;citation&gt;&lt;priority&gt;79&lt;/priority&gt;&lt;uuid&gt;0AB34D57-FA6E-42B2-BB5F-B214991D90B8&lt;/uuid&gt;&lt;publications&gt;&lt;publication&gt;&lt;subtype&gt;400&lt;/subtype&gt;&lt;title&gt;Feature Selection with the BorutaPackage&lt;/title&gt;&lt;url&gt;http://www.jstatsoft.org/v36/i11/&lt;/url&gt;&lt;volume&gt;36&lt;/volume&gt;&lt;publication_date&gt;99201000001200000000200000&lt;/publication_date&gt;&lt;uuid&gt;7D5F0BAC-F0CE-42A3-A3CE-AA4061D254A2&lt;/uuid&gt;&lt;type&gt;400&lt;/type&gt;&lt;number&gt;11&lt;/number&gt;&lt;doi&gt;10.18637/jss.v036.i11&lt;/doi&gt;&lt;bundle&gt;&lt;publication&gt;&lt;title&gt;Journal of Statistical Software&lt;/title&gt;&lt;uuid&gt;044678BE-F540-4A15-9BEB-CA15CF945D42&lt;/uuid&gt;&lt;subtype&gt;-100&lt;/subtype&gt;&lt;type&gt;-100&lt;/type&gt;&lt;/publication&gt;&lt;/bundle&gt;&lt;authors&gt;&lt;author&gt;&lt;lastName&gt;Kursa&lt;/lastName&gt;&lt;firstName&gt;Miron&lt;/firstName&gt;&lt;middleNames&gt;B&lt;/middleNames&gt;&lt;/author&gt;&lt;author&gt;&lt;lastName&gt;Rudnicki&lt;/lastName&gt;&lt;firstName&gt;Witold&lt;/firstName&gt;&lt;middleNames&gt;R&lt;/middleNames&gt;&lt;/author&gt;&lt;/authors&gt;&lt;/publication&gt;&lt;/publications&gt;&lt;cites&gt;&lt;/cites&gt;&lt;/citation&gt;</w:instrText>
      </w:r>
      <w:r w:rsidR="00095567">
        <w:rPr>
          <w:rFonts w:eastAsiaTheme="minorEastAsia"/>
          <w:lang w:val="en-US"/>
        </w:rPr>
        <w:fldChar w:fldCharType="separate"/>
      </w:r>
      <w:r w:rsidR="00095567">
        <w:rPr>
          <w:rFonts w:eastAsiaTheme="minorEastAsia"/>
          <w:lang w:val="en-US"/>
        </w:rPr>
        <w:t>(</w:t>
      </w:r>
      <w:proofErr w:type="spellStart"/>
      <w:r w:rsidR="00095567">
        <w:rPr>
          <w:rFonts w:eastAsiaTheme="minorEastAsia"/>
          <w:lang w:val="en-US"/>
        </w:rPr>
        <w:t>Kursa</w:t>
      </w:r>
      <w:proofErr w:type="spellEnd"/>
      <w:r w:rsidR="00095567">
        <w:rPr>
          <w:rFonts w:eastAsiaTheme="minorEastAsia"/>
          <w:lang w:val="en-US"/>
        </w:rPr>
        <w:t xml:space="preserve"> &amp; </w:t>
      </w:r>
      <w:proofErr w:type="spellStart"/>
      <w:r w:rsidR="00095567">
        <w:rPr>
          <w:rFonts w:eastAsiaTheme="minorEastAsia"/>
          <w:lang w:val="en-US"/>
        </w:rPr>
        <w:t>Rudnicki</w:t>
      </w:r>
      <w:proofErr w:type="spellEnd"/>
      <w:r w:rsidR="00095567">
        <w:rPr>
          <w:rFonts w:eastAsiaTheme="minorEastAsia"/>
          <w:lang w:val="en-US"/>
        </w:rPr>
        <w:t>, 2010)</w:t>
      </w:r>
      <w:r w:rsidR="00095567">
        <w:rPr>
          <w:rFonts w:eastAsiaTheme="minorEastAsia"/>
          <w:lang w:val="en-US"/>
        </w:rPr>
        <w:fldChar w:fldCharType="end"/>
      </w:r>
      <w:r w:rsidR="00404097">
        <w:t xml:space="preserve">. </w:t>
      </w:r>
      <w:r w:rsidR="00D803CC">
        <w:t xml:space="preserve">In a standard random forest model </w:t>
      </w:r>
      <w:r w:rsidR="00E85DEE">
        <w:t xml:space="preserve">importance metrics are </w:t>
      </w:r>
      <w:r w:rsidR="00EE5D83">
        <w:t>calculated</w:t>
      </w:r>
      <w:r w:rsidR="00E85DEE">
        <w:t xml:space="preserve"> for </w:t>
      </w:r>
      <w:r w:rsidR="00EE5D83">
        <w:t xml:space="preserve">each </w:t>
      </w:r>
      <w:r w:rsidR="00E85DEE">
        <w:t xml:space="preserve">feature, </w:t>
      </w:r>
      <w:r w:rsidR="00EE5D83">
        <w:t xml:space="preserve">there are various metrics available </w:t>
      </w:r>
      <w:r w:rsidR="00D803CC">
        <w:t>depend</w:t>
      </w:r>
      <w:r w:rsidR="00E85DEE">
        <w:t>s</w:t>
      </w:r>
      <w:r w:rsidR="00D803CC">
        <w:t xml:space="preserve"> on random forest implementation or prediction </w:t>
      </w:r>
      <w:r w:rsidR="00E85DEE">
        <w:t>type</w:t>
      </w:r>
      <w:r w:rsidR="006F0B47">
        <w:t xml:space="preserve">. However, </w:t>
      </w:r>
      <w:r w:rsidR="00E85DEE">
        <w:t>th</w:t>
      </w:r>
      <w:r w:rsidR="00EE5D83">
        <w:t>e importance</w:t>
      </w:r>
      <w:r w:rsidR="006F0B47">
        <w:t xml:space="preserve"> value</w:t>
      </w:r>
      <w:r w:rsidR="00D803CC">
        <w:t xml:space="preserve"> </w:t>
      </w:r>
      <w:r w:rsidR="006F0B47">
        <w:t>is not constrained</w:t>
      </w:r>
      <w:r w:rsidR="00E85DEE">
        <w:t>,</w:t>
      </w:r>
      <w:r w:rsidR="00D803CC">
        <w:t xml:space="preserve"> whilst higher magnitude </w:t>
      </w:r>
      <w:r w:rsidR="00EE5D83">
        <w:t xml:space="preserve">indicates a feature has greater importance within the model </w:t>
      </w:r>
      <w:r w:rsidR="00D803CC">
        <w:t xml:space="preserve">a cut-off for </w:t>
      </w:r>
      <w:r w:rsidR="00E85DEE">
        <w:t>the features</w:t>
      </w:r>
      <w:r w:rsidR="00D803CC">
        <w:t xml:space="preserve"> </w:t>
      </w:r>
      <w:r w:rsidR="00EE5D83">
        <w:t>that are relevant</w:t>
      </w:r>
      <w:r w:rsidR="00E85DEE">
        <w:t xml:space="preserve"> </w:t>
      </w:r>
      <w:r w:rsidR="00D803CC">
        <w:t xml:space="preserve">cannot be </w:t>
      </w:r>
      <w:r w:rsidR="00E85DEE">
        <w:t>deduced or defined</w:t>
      </w:r>
      <w:r w:rsidR="00D803CC">
        <w:t>.</w:t>
      </w:r>
      <w:r w:rsidR="006F0B47">
        <w:t xml:space="preserve"> </w:t>
      </w:r>
      <w:r w:rsidR="00EE5D83">
        <w:t xml:space="preserve">A feature can be </w:t>
      </w:r>
      <w:r w:rsidR="006F0B47">
        <w:t>determine</w:t>
      </w:r>
      <w:r w:rsidR="00EE5D83">
        <w:t>d as</w:t>
      </w:r>
      <w:r w:rsidR="006F0B47">
        <w:t xml:space="preserve"> </w:t>
      </w:r>
      <w:r w:rsidR="008D49C0">
        <w:t>relevant</w:t>
      </w:r>
      <w:r w:rsidR="00EE5D83">
        <w:t xml:space="preserve"> by comparing</w:t>
      </w:r>
      <w:r w:rsidR="006F0B47">
        <w:t xml:space="preserve"> </w:t>
      </w:r>
      <w:r w:rsidR="00E85DEE">
        <w:t>its</w:t>
      </w:r>
      <w:r w:rsidR="006F0B47">
        <w:t xml:space="preserve"> importance to a reference value. In Boruta </w:t>
      </w:r>
      <w:r w:rsidR="00DB7196">
        <w:t>the</w:t>
      </w:r>
      <w:r w:rsidR="006F0B47">
        <w:t xml:space="preserve"> reference</w:t>
      </w:r>
      <w:r w:rsidR="008D49C0">
        <w:t xml:space="preserve"> values are </w:t>
      </w:r>
      <w:r w:rsidR="00EE5D83">
        <w:t>generated</w:t>
      </w:r>
      <w:r w:rsidR="008D49C0">
        <w:t xml:space="preserve"> from the source data</w:t>
      </w:r>
      <w:r w:rsidR="006F0B47">
        <w:t>, termed a shadow feature</w:t>
      </w:r>
      <w:r w:rsidR="00EE5D83">
        <w:t xml:space="preserve">. Shadow features are </w:t>
      </w:r>
      <w:r w:rsidR="006F0B47">
        <w:t xml:space="preserve">generated by </w:t>
      </w:r>
      <w:r w:rsidR="00E85DEE">
        <w:t xml:space="preserve">randomly </w:t>
      </w:r>
      <w:r w:rsidR="006F0B47">
        <w:t xml:space="preserve">shuffling all </w:t>
      </w:r>
      <w:r w:rsidR="00E85DEE">
        <w:t>data</w:t>
      </w:r>
      <w:r w:rsidR="006F0B47">
        <w:t xml:space="preserve"> </w:t>
      </w:r>
      <w:r w:rsidR="00EE5D83">
        <w:t>points, therefore obfuscating the data entirely</w:t>
      </w:r>
      <w:r w:rsidR="00DB7196">
        <w:t xml:space="preserve">. </w:t>
      </w:r>
      <w:r w:rsidR="00CE45E7">
        <w:t>The</w:t>
      </w:r>
      <w:r w:rsidR="006F0B47">
        <w:t xml:space="preserve"> </w:t>
      </w:r>
      <w:r w:rsidR="00CE45E7">
        <w:t xml:space="preserve">shadow </w:t>
      </w:r>
      <w:r w:rsidR="008D49C0">
        <w:t>features</w:t>
      </w:r>
      <w:r w:rsidR="00CE45E7">
        <w:t xml:space="preserve"> are </w:t>
      </w:r>
      <w:r w:rsidR="00DB7196">
        <w:t xml:space="preserve">combined with the original data </w:t>
      </w:r>
      <w:r w:rsidR="00CE45E7">
        <w:t xml:space="preserve">and </w:t>
      </w:r>
      <w:r w:rsidR="00DB7196">
        <w:t>c</w:t>
      </w:r>
      <w:r w:rsidR="006F0B47">
        <w:t>lassification is performed on th</w:t>
      </w:r>
      <w:r w:rsidR="00D54B53">
        <w:t>is</w:t>
      </w:r>
      <w:r w:rsidR="00277E41">
        <w:t xml:space="preserve"> extended</w:t>
      </w:r>
      <w:r w:rsidR="006F0B47">
        <w:t xml:space="preserve"> data</w:t>
      </w:r>
      <w:r w:rsidR="00DB7196">
        <w:t>.</w:t>
      </w:r>
      <w:r w:rsidR="006F0B47">
        <w:t xml:space="preserve"> </w:t>
      </w:r>
      <w:r w:rsidR="00AE1D51">
        <w:t>A</w:t>
      </w:r>
      <w:r w:rsidR="008D49C0">
        <w:t xml:space="preserve"> feature is </w:t>
      </w:r>
      <w:r w:rsidR="00AE1D51">
        <w:t xml:space="preserve">deemed </w:t>
      </w:r>
      <w:r w:rsidR="008D49C0">
        <w:t>relevant</w:t>
      </w:r>
      <w:r w:rsidR="00AE1D51">
        <w:t xml:space="preserve"> if its importance exceeds that of</w:t>
      </w:r>
      <w:r w:rsidR="008D49C0">
        <w:t xml:space="preserve"> the best performing </w:t>
      </w:r>
      <w:r w:rsidR="00AE1D51">
        <w:t>shadow</w:t>
      </w:r>
      <w:r w:rsidR="008D49C0">
        <w:t xml:space="preserve"> feature </w:t>
      </w:r>
      <w:r w:rsidR="00AE1D51">
        <w:t>in the model.</w:t>
      </w:r>
      <w:r w:rsidR="008D49C0">
        <w:t xml:space="preserve"> The process is repeated 100 times to reduce any bias </w:t>
      </w:r>
      <w:r w:rsidR="00D54B53">
        <w:t>created by</w:t>
      </w:r>
      <w:r w:rsidR="008D49C0">
        <w:t xml:space="preserve"> the randomisation this process. Features that have importance consistently higher than the best shadow feature are considered relevant.</w:t>
      </w:r>
    </w:p>
    <w:p w14:paraId="5871A255" w14:textId="77777777" w:rsidR="009B6A57" w:rsidRDefault="009B6A57" w:rsidP="005B57F9"/>
    <w:p w14:paraId="6412B38D" w14:textId="588051BD" w:rsidR="003B736E" w:rsidRDefault="00154C61" w:rsidP="00AE1D51">
      <w:pPr>
        <w:pStyle w:val="Body"/>
      </w:pPr>
      <w:r>
        <w:t xml:space="preserve">As Boruta is based upon random forests in inherits advantages </w:t>
      </w:r>
      <w:r w:rsidR="00D20883">
        <w:t>typically associated with random forests</w:t>
      </w:r>
      <w:r w:rsidR="00AE1D51">
        <w:t>. Other selection techniques identify the non-redundant features, whereas Boruta identifies any relevant feature. This is particularly relevant in medical biology where one wishes to identify all of the features that are connected to the dependant variable.</w:t>
      </w:r>
      <w:r w:rsidR="001865BC">
        <w:t xml:space="preserve"> </w:t>
      </w:r>
    </w:p>
    <w:p w14:paraId="32A098EF" w14:textId="77777777" w:rsidR="007E0D22" w:rsidRDefault="007E0D22" w:rsidP="007E0D22"/>
    <w:p w14:paraId="5617D1E1" w14:textId="5589CCC3" w:rsidR="007E0D22" w:rsidRDefault="007E0D22" w:rsidP="007E0D22">
      <w:pPr>
        <w:pStyle w:val="Heading2"/>
        <w:numPr>
          <w:ilvl w:val="1"/>
          <w:numId w:val="7"/>
        </w:numPr>
        <w:spacing w:before="120" w:after="120"/>
        <w:ind w:left="578" w:hanging="578"/>
      </w:pPr>
      <w:bookmarkStart w:id="80" w:name="_Toc60773883"/>
      <w:r>
        <w:lastRenderedPageBreak/>
        <w:t>Performance Measures of Biomarkers</w:t>
      </w:r>
      <w:bookmarkEnd w:id="80"/>
    </w:p>
    <w:p w14:paraId="412B3FDC" w14:textId="2DF6A383" w:rsidR="00194DAE" w:rsidRDefault="00614A6B" w:rsidP="004E2137">
      <w:pPr>
        <w:pStyle w:val="Body"/>
      </w:pPr>
      <w:r>
        <w:t>The</w:t>
      </w:r>
      <w:r w:rsidR="00384DF9">
        <w:t xml:space="preserve"> </w:t>
      </w:r>
      <w:r w:rsidR="00964925">
        <w:t>evaluation</w:t>
      </w:r>
      <w:r w:rsidR="00384DF9">
        <w:t xml:space="preserve"> of </w:t>
      </w:r>
      <w:r>
        <w:t xml:space="preserve">a </w:t>
      </w:r>
      <w:r w:rsidR="006344B8">
        <w:t>biomarker’s</w:t>
      </w:r>
      <w:r w:rsidR="004E2137">
        <w:t xml:space="preserve"> </w:t>
      </w:r>
      <w:r w:rsidR="00964925">
        <w:t xml:space="preserve">performance is critical in order determine </w:t>
      </w:r>
      <w:r>
        <w:t xml:space="preserve">suitability </w:t>
      </w:r>
      <w:r w:rsidR="00964925">
        <w:t>for</w:t>
      </w:r>
      <w:r>
        <w:t xml:space="preserve"> the classification</w:t>
      </w:r>
      <w:r w:rsidR="00964925">
        <w:t xml:space="preserve"> task</w:t>
      </w:r>
      <w:r>
        <w:t>.</w:t>
      </w:r>
      <w:r w:rsidR="00964925">
        <w:t xml:space="preserve"> </w:t>
      </w:r>
      <w:r w:rsidR="00BD4804">
        <w:t xml:space="preserve">Generally speaking, </w:t>
      </w:r>
      <w:r w:rsidR="00521961">
        <w:t xml:space="preserve">a good biomarker is one that is easily sampled and correctly identifies disease from non-diseased. </w:t>
      </w:r>
      <w:r w:rsidR="00641475">
        <w:t>Quantifying a biomarkers ability to discriminate disease can be</w:t>
      </w:r>
      <w:r w:rsidR="00521961">
        <w:t xml:space="preserve"> evaluated by the metrics s</w:t>
      </w:r>
      <w:r w:rsidR="00343624">
        <w:t xml:space="preserve">ensitivity </w:t>
      </w:r>
      <w:r w:rsidR="00DE4967">
        <w:t xml:space="preserve">(Se) </w:t>
      </w:r>
      <w:r w:rsidR="00343624">
        <w:t>and specificity</w:t>
      </w:r>
      <w:r w:rsidR="00DE4967">
        <w:t xml:space="preserve"> (</w:t>
      </w:r>
      <w:proofErr w:type="spellStart"/>
      <w:r w:rsidR="00DE4967">
        <w:t>Sp</w:t>
      </w:r>
      <w:proofErr w:type="spellEnd"/>
      <w:r w:rsidR="00DE4967">
        <w:t>)</w:t>
      </w:r>
      <w:r w:rsidR="00194DAE">
        <w:t xml:space="preserve">. Sensitivity is the </w:t>
      </w:r>
      <w:r w:rsidR="003F0CDC">
        <w:t xml:space="preserve">percentage of positive samples classified correctly out of all positive </w:t>
      </w:r>
      <w:r w:rsidR="00BC76F9">
        <w:t>cases</w:t>
      </w:r>
      <w:r w:rsidR="003F0CDC">
        <w:t xml:space="preserve"> present and s</w:t>
      </w:r>
      <w:r w:rsidR="00194DAE">
        <w:t xml:space="preserve">pecificity </w:t>
      </w:r>
      <w:r w:rsidR="003F0CDC">
        <w:t>is</w:t>
      </w:r>
      <w:r w:rsidR="00194DAE">
        <w:t xml:space="preserve"> the </w:t>
      </w:r>
      <w:r w:rsidR="003F0CDC">
        <w:t>percentage of negative cases correctly classified</w:t>
      </w:r>
      <w:r w:rsidR="00194DAE">
        <w:t xml:space="preserve"> </w:t>
      </w:r>
      <w:r w:rsidR="00BC76F9">
        <w:t xml:space="preserve">out </w:t>
      </w:r>
      <w:r w:rsidR="00194DAE">
        <w:t xml:space="preserve">of </w:t>
      </w:r>
      <w:r w:rsidR="00BC76F9">
        <w:t xml:space="preserve">all the negative cases. </w:t>
      </w:r>
      <w:r w:rsidR="00641475">
        <w:t xml:space="preserve">When assessing the performance of a binary outcome for </w:t>
      </w:r>
      <w:proofErr w:type="spellStart"/>
      <w:r w:rsidR="00641475">
        <w:t>monovariate</w:t>
      </w:r>
      <w:proofErr w:type="spellEnd"/>
      <w:r w:rsidR="00641475">
        <w:t xml:space="preserve"> or multivariate biomarkers </w:t>
      </w:r>
      <w:r w:rsidR="004F627C">
        <w:t>ROC curve</w:t>
      </w:r>
      <w:r w:rsidR="00641475">
        <w:t>s</w:t>
      </w:r>
      <w:r w:rsidR="004F627C">
        <w:t xml:space="preserve"> and </w:t>
      </w:r>
      <w:r w:rsidR="00641475">
        <w:t xml:space="preserve">a </w:t>
      </w:r>
      <w:r w:rsidR="00C51E37">
        <w:t>confusion matrix</w:t>
      </w:r>
      <w:r w:rsidR="004F627C">
        <w:t xml:space="preserve"> are </w:t>
      </w:r>
      <w:r w:rsidR="00641475">
        <w:t>applicable.</w:t>
      </w:r>
    </w:p>
    <w:p w14:paraId="79CF5020" w14:textId="77777777" w:rsidR="00BC76F9" w:rsidRDefault="00BC76F9" w:rsidP="00BC76F9"/>
    <w:p w14:paraId="2141E4D2" w14:textId="46BD41B7" w:rsidR="00BC76F9" w:rsidRDefault="00BC76F9" w:rsidP="00BC76F9">
      <w:pPr>
        <w:pStyle w:val="Heading2"/>
        <w:numPr>
          <w:ilvl w:val="2"/>
          <w:numId w:val="7"/>
        </w:numPr>
        <w:spacing w:before="120" w:after="120"/>
      </w:pPr>
      <w:bookmarkStart w:id="81" w:name="_Toc60773884"/>
      <w:r>
        <w:t>Receiver Operator Chara</w:t>
      </w:r>
      <w:r w:rsidR="00864641">
        <w:t>cteristic Curves</w:t>
      </w:r>
      <w:bookmarkEnd w:id="81"/>
    </w:p>
    <w:p w14:paraId="66A360F9" w14:textId="77777777" w:rsidR="004E19A5" w:rsidRDefault="005F41B3" w:rsidP="005F41B3">
      <w:pPr>
        <w:pStyle w:val="Body"/>
        <w:rPr>
          <w:rFonts w:eastAsiaTheme="minorEastAsia"/>
          <w:color w:val="auto"/>
          <w:bdr w:val="none" w:sz="0" w:space="0" w:color="auto"/>
          <w:lang w:val="en-US"/>
        </w:rPr>
      </w:pPr>
      <w:r>
        <w:t>Originally</w:t>
      </w:r>
      <w:r w:rsidR="00864641">
        <w:t xml:space="preserve"> developed during World War II to</w:t>
      </w:r>
      <w:r>
        <w:t xml:space="preserve"> correctly</w:t>
      </w:r>
      <w:r w:rsidR="00864641">
        <w:t xml:space="preserve"> interpret signal to noise ratio from primitive RADAR early warning stations</w:t>
      </w:r>
      <w:r>
        <w:t xml:space="preserve"> ROC curves </w:t>
      </w:r>
      <w:r w:rsidR="00DE4967">
        <w:t>are</w:t>
      </w:r>
      <w:r>
        <w:t xml:space="preserve"> </w:t>
      </w:r>
      <w:r w:rsidR="00FA6C81">
        <w:t xml:space="preserve">commonly used to visualise and </w:t>
      </w:r>
      <w:r>
        <w:t>e</w:t>
      </w:r>
      <w:r w:rsidR="00FA6C81">
        <w:t xml:space="preserve">valuate </w:t>
      </w:r>
      <w:r>
        <w:t>the performance of tests</w:t>
      </w:r>
      <w:r w:rsidR="00C9034D">
        <w:t xml:space="preserve"> </w:t>
      </w:r>
      <w:r w:rsidR="00FA7500">
        <w:t xml:space="preserve">with a binary outcome </w:t>
      </w:r>
      <w:r w:rsidR="00095567">
        <w:rPr>
          <w:rFonts w:eastAsiaTheme="minorEastAsia"/>
          <w:color w:val="auto"/>
          <w:bdr w:val="none" w:sz="0" w:space="0" w:color="auto"/>
          <w:lang w:val="en-US"/>
        </w:rPr>
        <w:fldChar w:fldCharType="begin"/>
      </w:r>
      <w:r w:rsidR="004E19A5">
        <w:rPr>
          <w:rFonts w:eastAsiaTheme="minorEastAsia"/>
          <w:color w:val="auto"/>
          <w:bdr w:val="none" w:sz="0" w:space="0" w:color="auto"/>
          <w:lang w:val="en-US"/>
        </w:rPr>
        <w:instrText xml:space="preserve"> ADDIN PAPERS2_CITATIONS &lt;citation&gt;&lt;priority&gt;80&lt;/priority&gt;&lt;uuid&gt;4A1EBDB4-D54B-4132-9B45-3C8755231343&lt;/uuid&gt;&lt;publications&gt;&lt;publication&gt;&lt;subtype&gt;400&lt;/subtype&gt;&lt;title&gt;The meaning and use of the area under a receiver operating characteristic (ROC) curve.&lt;/title&gt;&lt;url&gt;http://pubs.rsna.org/doi/10.1148/radiology.143.1.7063747&lt;/url&gt;&lt;volume&gt;143&lt;/volume&gt;&lt;publication_date&gt;99198204001200000000220000&lt;/publication_date&gt;&lt;uuid&gt;E8583F1A-5EDB-4A48-89F1-B2AE41214D6A&lt;/uuid&gt;&lt;type&gt;400&lt;/type&gt;&lt;number&gt;1&lt;/number&gt;&lt;doi&gt;10.1148/radiology.143.1.7063747&lt;/doi&gt;&lt;startpage&gt;29&lt;/startpage&gt;&lt;endpage&gt;36&lt;/endpage&gt;&lt;bundle&gt;&lt;publication&gt;&lt;title&gt;pubs.rsna.org</w:instrText>
      </w:r>
    </w:p>
    <w:p w14:paraId="594AAF87" w14:textId="173DD1A5" w:rsidR="00964925" w:rsidRDefault="004E19A5" w:rsidP="005F41B3">
      <w:pPr>
        <w:pStyle w:val="Body"/>
      </w:pPr>
      <w:r>
        <w:rPr>
          <w:rFonts w:eastAsiaTheme="minorEastAsia"/>
          <w:color w:val="auto"/>
          <w:bdr w:val="none" w:sz="0" w:space="0" w:color="auto"/>
          <w:lang w:val="en-US"/>
        </w:rPr>
        <w:instrText>&lt;/title&gt;&lt;uuid&gt;6D5E2172-C5C7-491B-B570-9E80DB89FE03&lt;/uuid&gt;&lt;subtype&gt;-100&lt;/subtype&gt;&lt;type&gt;-100&lt;/type&gt;&lt;/publication&gt;&lt;/bundle&gt;&lt;authors&gt;&lt;author&gt;&lt;lastName&gt;Hanley&lt;/lastName&gt;&lt;firstName&gt;J&lt;/firstName&gt;&lt;middleNames&gt;A&lt;/middleNames&gt;&lt;/author&gt;&lt;author&gt;&lt;lastName&gt;Radiology&lt;/lastName&gt;&lt;firstName&gt;BJ&lt;/firstName&gt;&lt;middleNames&gt;McNeil&lt;/middleNames&gt;&lt;/author&gt;&lt;author&gt;&lt;lastName&gt;1982&lt;/lastName&gt;&lt;/author&gt;&lt;/authors&gt;&lt;/publication&gt;&lt;/publications&gt;&lt;cites&gt;&lt;/cites&gt;&lt;/citation&gt;</w:instrText>
      </w:r>
      <w:r w:rsidR="00095567">
        <w:rPr>
          <w:rFonts w:eastAsiaTheme="minorEastAsia"/>
          <w:color w:val="auto"/>
          <w:bdr w:val="none" w:sz="0" w:space="0" w:color="auto"/>
          <w:lang w:val="en-US"/>
        </w:rPr>
        <w:fldChar w:fldCharType="separate"/>
      </w:r>
      <w:r w:rsidR="00095567">
        <w:rPr>
          <w:rFonts w:eastAsiaTheme="minorEastAsia"/>
          <w:lang w:val="en-US"/>
        </w:rPr>
        <w:t>(Hanley, Radiology, 1982, 1982)</w:t>
      </w:r>
      <w:r w:rsidR="00095567">
        <w:rPr>
          <w:rFonts w:eastAsiaTheme="minorEastAsia"/>
          <w:color w:val="auto"/>
          <w:bdr w:val="none" w:sz="0" w:space="0" w:color="auto"/>
          <w:lang w:val="en-US"/>
        </w:rPr>
        <w:fldChar w:fldCharType="end"/>
      </w:r>
      <w:r w:rsidR="005F41B3">
        <w:t xml:space="preserve">. </w:t>
      </w:r>
      <w:r w:rsidR="00C51E37">
        <w:t>A</w:t>
      </w:r>
      <w:r w:rsidR="005F41B3">
        <w:t xml:space="preserve"> </w:t>
      </w:r>
      <w:r w:rsidR="00FA7500">
        <w:t>ROC curve plot</w:t>
      </w:r>
      <w:r w:rsidR="00C51E37">
        <w:t xml:space="preserve"> shows</w:t>
      </w:r>
      <w:r w:rsidR="00FA7500">
        <w:t xml:space="preserve"> the </w:t>
      </w:r>
      <w:r w:rsidR="005F41B3">
        <w:t>performance of a diagnostic test or biomarker across all possible cu</w:t>
      </w:r>
      <w:r w:rsidR="00F214BF">
        <w:t>t-off values for classification</w:t>
      </w:r>
      <w:r w:rsidR="005F41B3">
        <w:t xml:space="preserve"> by plotting the</w:t>
      </w:r>
      <w:r w:rsidR="00E9216C">
        <w:t xml:space="preserve"> </w:t>
      </w:r>
      <w:r w:rsidR="005F41B3">
        <w:t>s</w:t>
      </w:r>
      <w:r w:rsidR="00E9216C">
        <w:t xml:space="preserve">ensitivity </w:t>
      </w:r>
      <w:r w:rsidR="00DE4967">
        <w:t>by</w:t>
      </w:r>
      <w:r w:rsidR="00E9216C">
        <w:t xml:space="preserve"> </w:t>
      </w:r>
      <w:r w:rsidR="00C51E37">
        <w:t xml:space="preserve">1 - </w:t>
      </w:r>
      <w:r w:rsidR="00E9216C">
        <w:t xml:space="preserve">specificity. The performance of a ROC curve can be assessed by </w:t>
      </w:r>
      <w:r w:rsidR="00DE4967">
        <w:t>its area under the curve (AUC), t</w:t>
      </w:r>
      <w:r w:rsidR="00F214BF">
        <w:t xml:space="preserve">his </w:t>
      </w:r>
      <w:r w:rsidR="00E9216C">
        <w:t xml:space="preserve">is </w:t>
      </w:r>
      <w:r w:rsidR="00FE2A57">
        <w:t>a</w:t>
      </w:r>
      <w:r w:rsidR="00E9216C">
        <w:t xml:space="preserve"> value between 0 and 1 </w:t>
      </w:r>
      <w:r w:rsidR="00DE4967">
        <w:t>with 1 indicating</w:t>
      </w:r>
      <w:r w:rsidR="00CD0BFC">
        <w:t xml:space="preserve"> perfect classification and 0.5</w:t>
      </w:r>
      <w:r w:rsidR="00E9216C">
        <w:t xml:space="preserve"> </w:t>
      </w:r>
      <w:r w:rsidR="00DE4967">
        <w:t>being</w:t>
      </w:r>
      <w:r w:rsidR="00E9216C">
        <w:t xml:space="preserve"> </w:t>
      </w:r>
      <w:r w:rsidR="00DE4967">
        <w:t>equal to</w:t>
      </w:r>
      <w:r w:rsidR="00E9216C">
        <w:t xml:space="preserve"> random chance. </w:t>
      </w:r>
      <w:r w:rsidR="00DE4967">
        <w:t>When the</w:t>
      </w:r>
      <w:r w:rsidR="00CD0BFC">
        <w:t xml:space="preserve"> cut-off </w:t>
      </w:r>
      <w:r w:rsidR="00DE4967">
        <w:t>for a biomarker is</w:t>
      </w:r>
      <w:r w:rsidR="00CD0BFC">
        <w:t xml:space="preserve"> not known </w:t>
      </w:r>
      <w:r w:rsidR="00CD0BFC">
        <w:rPr>
          <w:i/>
        </w:rPr>
        <w:t>a priori</w:t>
      </w:r>
      <w:r w:rsidR="00CD0BFC">
        <w:t xml:space="preserve"> it can be </w:t>
      </w:r>
      <w:r w:rsidR="00FE2A57">
        <w:t>derived</w:t>
      </w:r>
      <w:r w:rsidR="00CD0BFC">
        <w:t xml:space="preserve"> from the ROC curve. </w:t>
      </w:r>
      <w:r w:rsidR="00FA7500">
        <w:t>A</w:t>
      </w:r>
      <w:r w:rsidR="00CD0BFC">
        <w:t xml:space="preserve"> cut-off at the Youden </w:t>
      </w:r>
      <w:r w:rsidR="00DE4967">
        <w:t>I</w:t>
      </w:r>
      <w:r w:rsidR="00CD0BFC">
        <w:t>ndex</w:t>
      </w:r>
      <w:r w:rsidR="00DE4967">
        <w:t xml:space="preserve"> (</w:t>
      </w:r>
      <w:r w:rsidR="00DE4967" w:rsidRPr="00DE4967">
        <w:rPr>
          <w:i/>
        </w:rPr>
        <w:t>J</w:t>
      </w:r>
      <w:r w:rsidR="00DE4967">
        <w:t xml:space="preserve">), calculated as </w:t>
      </w:r>
      <m:oMath>
        <m:r>
          <w:rPr>
            <w:rFonts w:ascii="Cambria Math" w:hAnsi="Cambria Math"/>
          </w:rPr>
          <m:t>J= (Se+Sp)- 1</m:t>
        </m:r>
      </m:oMath>
      <w:r w:rsidR="00DE4967">
        <w:t xml:space="preserve">, </w:t>
      </w:r>
      <w:r w:rsidR="00FA7500">
        <w:t xml:space="preserve">this </w:t>
      </w:r>
      <w:r w:rsidR="00CD0BFC">
        <w:t xml:space="preserve">gives the best </w:t>
      </w:r>
      <w:r w:rsidR="00F82676">
        <w:t>balance</w:t>
      </w:r>
      <w:r w:rsidR="00CD0BFC">
        <w:t xml:space="preserve"> between sensitivity and specific</w:t>
      </w:r>
      <w:r w:rsidR="00F214BF">
        <w:t>ity</w:t>
      </w:r>
      <w:r w:rsidR="00FE2A57">
        <w:t xml:space="preserve"> and therefore maxim</w:t>
      </w:r>
      <w:r w:rsidR="00F82676">
        <w:t>al</w:t>
      </w:r>
      <w:r w:rsidR="00DE4967">
        <w:t xml:space="preserve"> differentiating</w:t>
      </w:r>
      <w:r w:rsidR="00F82676">
        <w:t xml:space="preserve"> effectiveness of a biomarker</w:t>
      </w:r>
      <w:r w:rsidR="00CD0BFC">
        <w:t xml:space="preserve"> </w:t>
      </w:r>
      <w:r w:rsidR="00FE2A57">
        <w:fldChar w:fldCharType="begin"/>
      </w:r>
      <w:r>
        <w:instrText xml:space="preserve"> ADDIN PAPERS2_CITATIONS &lt;citation&gt;&lt;priority&gt;0&lt;/priority&gt;&lt;uuid&gt;420B04EA-739A-4A62-A87B-9E30EC467FB5&lt;/uuid&gt;&lt;publications&gt;&lt;publication&gt;&lt;subtype&gt;400&lt;/subtype&gt;&lt;publisher&gt;NIH Public Access&lt;/publisher&gt;&lt;title&gt;Youden Index and Optimal Cut-Point Estimated from Observations Affected by a Lower Limit of Detection&lt;/title&gt;&lt;url&gt;http://doi.wiley.com/10.1002/bimj.200710415&lt;/url&gt;&lt;volume&gt;50&lt;/volume&gt;&lt;publication_date&gt;99200806011200000000222000&lt;/publication_date&gt;&lt;uuid&gt;D7A9EBE7-2B8B-4351-B507-6037C754A7B4&lt;/uuid&gt;&lt;type&gt;400&lt;/type&gt;&lt;number&gt;3&lt;/number&gt;&lt;doi&gt;10.1002/bimj.200710415&lt;/doi&gt;&lt;startpage&gt;419&lt;/startpage&gt;&lt;endpage&gt;430&lt;/endpage&gt;&lt;bundle&gt;&lt;publication&gt;&lt;title&gt;Biometrical journal. Biometrische Zeitschrift&lt;/title&gt;&lt;uuid&gt;85780BDA-EE07-44E8-8452-BF914C4F16BE&lt;/uuid&gt;&lt;subtype&gt;-100&lt;/subtype&gt;&lt;publisher&gt;NIH Public Access&lt;/publisher&gt;&lt;type&gt;-100&lt;/type&gt;&lt;/publication&gt;&lt;/bundle&gt;&lt;/publication&gt;&lt;/publications&gt;&lt;cites&gt;&lt;/cites&gt;&lt;/citation&gt;</w:instrText>
      </w:r>
      <w:r w:rsidR="00FE2A57">
        <w:fldChar w:fldCharType="separate"/>
      </w:r>
      <w:r w:rsidR="00095567">
        <w:rPr>
          <w:rFonts w:eastAsiaTheme="minorEastAsia"/>
          <w:lang w:val="en-US"/>
        </w:rPr>
        <w:t>(“Youden Index and Optimal Cut-Point Estimated from Observations Affected by a Lower Limit of Detection,” 2008)</w:t>
      </w:r>
      <w:r w:rsidR="00FE2A57">
        <w:fldChar w:fldCharType="end"/>
      </w:r>
      <w:r w:rsidR="00FE2A57">
        <w:t>.</w:t>
      </w:r>
      <w:r w:rsidR="00F82676">
        <w:t xml:space="preserve"> </w:t>
      </w:r>
    </w:p>
    <w:p w14:paraId="29C21700" w14:textId="77777777" w:rsidR="00BC76F9" w:rsidRDefault="00BC76F9" w:rsidP="00BC76F9"/>
    <w:p w14:paraId="15F93032" w14:textId="30434F97" w:rsidR="00BC76F9" w:rsidRDefault="00BC76F9" w:rsidP="00BC76F9">
      <w:pPr>
        <w:pStyle w:val="Heading2"/>
        <w:numPr>
          <w:ilvl w:val="2"/>
          <w:numId w:val="7"/>
        </w:numPr>
        <w:spacing w:before="120" w:after="120"/>
      </w:pPr>
      <w:bookmarkStart w:id="82" w:name="_Toc60773885"/>
      <w:r>
        <w:t>Confusion Matrix</w:t>
      </w:r>
      <w:bookmarkEnd w:id="82"/>
    </w:p>
    <w:p w14:paraId="0CA449FF" w14:textId="004CCD91" w:rsidR="00800B20" w:rsidRDefault="00A267FE" w:rsidP="004E2137">
      <w:pPr>
        <w:pStyle w:val="Body"/>
      </w:pPr>
      <w:r>
        <w:t xml:space="preserve">A </w:t>
      </w:r>
      <w:r w:rsidR="00800B20">
        <w:t>confusion matrix is a special form of</w:t>
      </w:r>
      <w:r>
        <w:t xml:space="preserve"> contingency table breaking down the resulting biomarker classific</w:t>
      </w:r>
      <w:r w:rsidR="00800B20">
        <w:t>ation re</w:t>
      </w:r>
      <w:r w:rsidR="009812FB">
        <w:t xml:space="preserve">sults into two dimensions, </w:t>
      </w:r>
      <w:r w:rsidR="00BA64F7">
        <w:t xml:space="preserve">the </w:t>
      </w:r>
      <w:r w:rsidR="009812FB">
        <w:t xml:space="preserve">gold </w:t>
      </w:r>
      <w:r w:rsidR="00800B20">
        <w:t>standard and predicted classification</w:t>
      </w:r>
      <w:r w:rsidR="00BA64F7">
        <w:t>. Correct classif</w:t>
      </w:r>
      <w:r w:rsidR="0057639D">
        <w:t>ications</w:t>
      </w:r>
      <w:r w:rsidR="00BA64F7">
        <w:t xml:space="preserve"> fall into the first two classes: true positives (TP) and true negatives (TN). </w:t>
      </w:r>
      <w:r w:rsidR="0057639D">
        <w:t>I</w:t>
      </w:r>
      <w:r w:rsidR="00BA64F7">
        <w:t>ncorrect</w:t>
      </w:r>
      <w:r w:rsidR="0057639D">
        <w:t xml:space="preserve"> </w:t>
      </w:r>
      <w:r w:rsidR="00BA64F7">
        <w:t>classifi</w:t>
      </w:r>
      <w:r w:rsidR="0057639D">
        <w:t>cations</w:t>
      </w:r>
      <w:r w:rsidR="00BA64F7">
        <w:t xml:space="preserve"> fall into the remaining classes: false positives (FP) and negatives (FN).</w:t>
      </w:r>
    </w:p>
    <w:tbl>
      <w:tblPr>
        <w:tblStyle w:val="TableGrid"/>
        <w:tblW w:w="0" w:type="auto"/>
        <w:tblLayout w:type="fixed"/>
        <w:tblLook w:val="04A0" w:firstRow="1" w:lastRow="0" w:firstColumn="1" w:lastColumn="0" w:noHBand="0" w:noVBand="1"/>
      </w:tblPr>
      <w:tblGrid>
        <w:gridCol w:w="675"/>
        <w:gridCol w:w="1134"/>
        <w:gridCol w:w="1843"/>
        <w:gridCol w:w="1701"/>
        <w:gridCol w:w="3077"/>
      </w:tblGrid>
      <w:tr w:rsidR="009812FB" w14:paraId="78417714" w14:textId="77777777" w:rsidTr="009812FB">
        <w:tc>
          <w:tcPr>
            <w:tcW w:w="675" w:type="dxa"/>
            <w:tcBorders>
              <w:top w:val="nil"/>
              <w:left w:val="nil"/>
              <w:bottom w:val="nil"/>
              <w:right w:val="nil"/>
            </w:tcBorders>
          </w:tcPr>
          <w:p w14:paraId="0E31B666" w14:textId="77777777" w:rsidR="00800B20" w:rsidRDefault="00800B20" w:rsidP="004E2137">
            <w:pPr>
              <w:pStyle w:val="Body"/>
              <w:pBdr>
                <w:top w:val="none" w:sz="0" w:space="0" w:color="auto"/>
                <w:left w:val="none" w:sz="0" w:space="0" w:color="auto"/>
                <w:bottom w:val="none" w:sz="0" w:space="0" w:color="auto"/>
                <w:right w:val="none" w:sz="0" w:space="0" w:color="auto"/>
                <w:between w:val="none" w:sz="0" w:space="0" w:color="auto"/>
                <w:bar w:val="none" w:sz="0" w:color="auto"/>
              </w:pBdr>
            </w:pPr>
          </w:p>
        </w:tc>
        <w:tc>
          <w:tcPr>
            <w:tcW w:w="1134" w:type="dxa"/>
            <w:tcBorders>
              <w:top w:val="nil"/>
              <w:left w:val="nil"/>
              <w:bottom w:val="nil"/>
              <w:right w:val="single" w:sz="4" w:space="0" w:color="auto"/>
            </w:tcBorders>
          </w:tcPr>
          <w:p w14:paraId="242F27C9" w14:textId="77777777" w:rsidR="00800B20" w:rsidRDefault="00800B20" w:rsidP="004E2137">
            <w:pPr>
              <w:pStyle w:val="Body"/>
              <w:pBdr>
                <w:top w:val="none" w:sz="0" w:space="0" w:color="auto"/>
                <w:left w:val="none" w:sz="0" w:space="0" w:color="auto"/>
                <w:bottom w:val="none" w:sz="0" w:space="0" w:color="auto"/>
                <w:right w:val="none" w:sz="0" w:space="0" w:color="auto"/>
                <w:between w:val="none" w:sz="0" w:space="0" w:color="auto"/>
                <w:bar w:val="none" w:sz="0" w:color="auto"/>
              </w:pBdr>
            </w:pPr>
          </w:p>
        </w:tc>
        <w:tc>
          <w:tcPr>
            <w:tcW w:w="3544" w:type="dxa"/>
            <w:gridSpan w:val="2"/>
            <w:tcBorders>
              <w:left w:val="single" w:sz="4" w:space="0" w:color="auto"/>
              <w:right w:val="single" w:sz="4" w:space="0" w:color="auto"/>
            </w:tcBorders>
            <w:vAlign w:val="center"/>
          </w:tcPr>
          <w:p w14:paraId="29C58F0D" w14:textId="64F356DF" w:rsidR="00800B20"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Gold Standard</w:t>
            </w:r>
          </w:p>
        </w:tc>
        <w:tc>
          <w:tcPr>
            <w:tcW w:w="3077" w:type="dxa"/>
            <w:tcBorders>
              <w:top w:val="nil"/>
              <w:left w:val="single" w:sz="4" w:space="0" w:color="auto"/>
              <w:bottom w:val="nil"/>
              <w:right w:val="nil"/>
            </w:tcBorders>
          </w:tcPr>
          <w:p w14:paraId="1B0DB766" w14:textId="77777777" w:rsidR="00800B20" w:rsidRDefault="00800B20" w:rsidP="004E2137">
            <w:pPr>
              <w:pStyle w:val="Body"/>
              <w:pBdr>
                <w:top w:val="none" w:sz="0" w:space="0" w:color="auto"/>
                <w:left w:val="none" w:sz="0" w:space="0" w:color="auto"/>
                <w:bottom w:val="none" w:sz="0" w:space="0" w:color="auto"/>
                <w:right w:val="none" w:sz="0" w:space="0" w:color="auto"/>
                <w:between w:val="none" w:sz="0" w:space="0" w:color="auto"/>
                <w:bar w:val="none" w:sz="0" w:color="auto"/>
              </w:pBdr>
            </w:pPr>
          </w:p>
        </w:tc>
      </w:tr>
      <w:tr w:rsidR="009812FB" w14:paraId="70F2B01B" w14:textId="77777777" w:rsidTr="009812FB">
        <w:tc>
          <w:tcPr>
            <w:tcW w:w="675" w:type="dxa"/>
            <w:tcBorders>
              <w:top w:val="nil"/>
              <w:left w:val="nil"/>
              <w:bottom w:val="single" w:sz="4" w:space="0" w:color="auto"/>
              <w:right w:val="nil"/>
            </w:tcBorders>
          </w:tcPr>
          <w:p w14:paraId="02822EDC" w14:textId="77777777" w:rsidR="00800B20" w:rsidRDefault="00800B20" w:rsidP="004E2137">
            <w:pPr>
              <w:pStyle w:val="Body"/>
              <w:pBdr>
                <w:top w:val="none" w:sz="0" w:space="0" w:color="auto"/>
                <w:left w:val="none" w:sz="0" w:space="0" w:color="auto"/>
                <w:bottom w:val="none" w:sz="0" w:space="0" w:color="auto"/>
                <w:right w:val="none" w:sz="0" w:space="0" w:color="auto"/>
                <w:between w:val="none" w:sz="0" w:space="0" w:color="auto"/>
                <w:bar w:val="none" w:sz="0" w:color="auto"/>
              </w:pBdr>
            </w:pPr>
          </w:p>
        </w:tc>
        <w:tc>
          <w:tcPr>
            <w:tcW w:w="1134" w:type="dxa"/>
            <w:tcBorders>
              <w:top w:val="nil"/>
              <w:left w:val="nil"/>
              <w:bottom w:val="single" w:sz="4" w:space="0" w:color="auto"/>
              <w:right w:val="single" w:sz="4" w:space="0" w:color="auto"/>
            </w:tcBorders>
          </w:tcPr>
          <w:p w14:paraId="574C534F" w14:textId="77777777" w:rsidR="00800B20" w:rsidRDefault="00800B20" w:rsidP="004E2137">
            <w:pPr>
              <w:pStyle w:val="Body"/>
              <w:pBdr>
                <w:top w:val="none" w:sz="0" w:space="0" w:color="auto"/>
                <w:left w:val="none" w:sz="0" w:space="0" w:color="auto"/>
                <w:bottom w:val="none" w:sz="0" w:space="0" w:color="auto"/>
                <w:right w:val="none" w:sz="0" w:space="0" w:color="auto"/>
                <w:between w:val="none" w:sz="0" w:space="0" w:color="auto"/>
                <w:bar w:val="none" w:sz="0" w:color="auto"/>
              </w:pBdr>
            </w:pPr>
          </w:p>
        </w:tc>
        <w:tc>
          <w:tcPr>
            <w:tcW w:w="1843" w:type="dxa"/>
            <w:tcBorders>
              <w:left w:val="single" w:sz="4" w:space="0" w:color="auto"/>
            </w:tcBorders>
            <w:vAlign w:val="center"/>
          </w:tcPr>
          <w:p w14:paraId="2624F00B" w14:textId="6658A278" w:rsidR="00800B20"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Positive</w:t>
            </w:r>
          </w:p>
        </w:tc>
        <w:tc>
          <w:tcPr>
            <w:tcW w:w="1701" w:type="dxa"/>
            <w:tcBorders>
              <w:right w:val="single" w:sz="4" w:space="0" w:color="auto"/>
            </w:tcBorders>
            <w:vAlign w:val="center"/>
          </w:tcPr>
          <w:p w14:paraId="7219A784" w14:textId="715DC04A" w:rsidR="00800B20"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Negative</w:t>
            </w:r>
          </w:p>
        </w:tc>
        <w:tc>
          <w:tcPr>
            <w:tcW w:w="3077" w:type="dxa"/>
            <w:tcBorders>
              <w:top w:val="nil"/>
              <w:left w:val="single" w:sz="4" w:space="0" w:color="auto"/>
              <w:bottom w:val="single" w:sz="4" w:space="0" w:color="auto"/>
              <w:right w:val="nil"/>
            </w:tcBorders>
            <w:vAlign w:val="center"/>
          </w:tcPr>
          <w:p w14:paraId="5D3C64C5" w14:textId="77777777" w:rsidR="00800B20"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p>
        </w:tc>
      </w:tr>
      <w:tr w:rsidR="009812FB" w14:paraId="6003B558" w14:textId="77777777" w:rsidTr="009812FB">
        <w:trPr>
          <w:trHeight w:val="1481"/>
        </w:trPr>
        <w:tc>
          <w:tcPr>
            <w:tcW w:w="675" w:type="dxa"/>
            <w:vMerge w:val="restart"/>
            <w:tcBorders>
              <w:top w:val="single" w:sz="4" w:space="0" w:color="auto"/>
            </w:tcBorders>
            <w:textDirection w:val="btLr"/>
          </w:tcPr>
          <w:p w14:paraId="295AF425" w14:textId="29DB78D7" w:rsidR="00800B20"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pPr>
            <w:r>
              <w:t>Test Outcome</w:t>
            </w:r>
          </w:p>
        </w:tc>
        <w:tc>
          <w:tcPr>
            <w:tcW w:w="1134" w:type="dxa"/>
            <w:tcBorders>
              <w:top w:val="single" w:sz="4" w:space="0" w:color="auto"/>
            </w:tcBorders>
            <w:vAlign w:val="center"/>
          </w:tcPr>
          <w:p w14:paraId="2154FE7E" w14:textId="7D9C4F7F" w:rsidR="00800B20"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Positive</w:t>
            </w:r>
          </w:p>
        </w:tc>
        <w:tc>
          <w:tcPr>
            <w:tcW w:w="1843" w:type="dxa"/>
            <w:vAlign w:val="center"/>
          </w:tcPr>
          <w:p w14:paraId="63B7A6F2" w14:textId="77777777" w:rsidR="00800B20" w:rsidRPr="009812FB"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color w:val="C0504D" w:themeColor="accent2"/>
              </w:rPr>
            </w:pPr>
            <w:r w:rsidRPr="009812FB">
              <w:rPr>
                <w:color w:val="C0504D" w:themeColor="accent2"/>
              </w:rPr>
              <w:t>True Positive</w:t>
            </w:r>
          </w:p>
          <w:p w14:paraId="54B3F373" w14:textId="040E1A42" w:rsidR="00800B20" w:rsidRPr="009812FB"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color w:val="C0504D" w:themeColor="accent2"/>
              </w:rPr>
            </w:pPr>
            <w:r w:rsidRPr="009812FB">
              <w:rPr>
                <w:color w:val="C0504D" w:themeColor="accent2"/>
              </w:rPr>
              <w:t>(TP)</w:t>
            </w:r>
          </w:p>
        </w:tc>
        <w:tc>
          <w:tcPr>
            <w:tcW w:w="1701" w:type="dxa"/>
            <w:vAlign w:val="center"/>
          </w:tcPr>
          <w:p w14:paraId="0A533AB4" w14:textId="77777777" w:rsidR="00800B20" w:rsidRPr="009812FB"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color w:val="948A54" w:themeColor="background2" w:themeShade="80"/>
              </w:rPr>
            </w:pPr>
            <w:r w:rsidRPr="009812FB">
              <w:rPr>
                <w:color w:val="948A54" w:themeColor="background2" w:themeShade="80"/>
              </w:rPr>
              <w:t>False Positive</w:t>
            </w:r>
          </w:p>
          <w:p w14:paraId="168F6E27" w14:textId="308EEDB5" w:rsidR="00800B20"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rsidRPr="009812FB">
              <w:rPr>
                <w:color w:val="948A54" w:themeColor="background2" w:themeShade="80"/>
              </w:rPr>
              <w:t>(FP)</w:t>
            </w:r>
          </w:p>
        </w:tc>
        <w:tc>
          <w:tcPr>
            <w:tcW w:w="3077" w:type="dxa"/>
            <w:tcBorders>
              <w:top w:val="single" w:sz="4" w:space="0" w:color="auto"/>
            </w:tcBorders>
            <w:vAlign w:val="center"/>
          </w:tcPr>
          <w:p w14:paraId="2FF17E9C" w14:textId="77777777" w:rsidR="00800B20" w:rsidRDefault="009812FB"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Positive Predictive value</w:t>
            </w:r>
          </w:p>
          <w:p w14:paraId="17818CD0" w14:textId="6EE6E078" w:rsidR="009812FB" w:rsidRDefault="009812FB"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 xml:space="preserve">=  </w:t>
            </w:r>
            <m:oMath>
              <m:f>
                <m:fPr>
                  <m:ctrlPr>
                    <w:rPr>
                      <w:rFonts w:ascii="Cambria Math" w:hAnsi="Cambria Math"/>
                      <w:i/>
                    </w:rPr>
                  </m:ctrlPr>
                </m:fPr>
                <m:num>
                  <m:r>
                    <w:rPr>
                      <w:rFonts w:ascii="Cambria Math" w:hAnsi="Cambria Math"/>
                    </w:rPr>
                    <m:t>TP</m:t>
                  </m:r>
                </m:num>
                <m:den>
                  <m:r>
                    <w:rPr>
                      <w:rFonts w:ascii="Cambria Math" w:hAnsi="Cambria Math"/>
                    </w:rPr>
                    <m:t>(TP+FP)</m:t>
                  </m:r>
                </m:den>
              </m:f>
            </m:oMath>
          </w:p>
        </w:tc>
      </w:tr>
      <w:tr w:rsidR="009812FB" w14:paraId="2E31607C" w14:textId="77777777" w:rsidTr="009812FB">
        <w:trPr>
          <w:trHeight w:val="1221"/>
        </w:trPr>
        <w:tc>
          <w:tcPr>
            <w:tcW w:w="675" w:type="dxa"/>
            <w:vMerge/>
            <w:tcBorders>
              <w:bottom w:val="single" w:sz="4" w:space="0" w:color="auto"/>
            </w:tcBorders>
          </w:tcPr>
          <w:p w14:paraId="0950CA23" w14:textId="5E92EB88" w:rsidR="00800B20" w:rsidRDefault="00800B20" w:rsidP="004E2137">
            <w:pPr>
              <w:pStyle w:val="Body"/>
              <w:pBdr>
                <w:top w:val="none" w:sz="0" w:space="0" w:color="auto"/>
                <w:left w:val="none" w:sz="0" w:space="0" w:color="auto"/>
                <w:bottom w:val="none" w:sz="0" w:space="0" w:color="auto"/>
                <w:right w:val="none" w:sz="0" w:space="0" w:color="auto"/>
                <w:between w:val="none" w:sz="0" w:space="0" w:color="auto"/>
                <w:bar w:val="none" w:sz="0" w:color="auto"/>
              </w:pBdr>
            </w:pPr>
          </w:p>
        </w:tc>
        <w:tc>
          <w:tcPr>
            <w:tcW w:w="1134" w:type="dxa"/>
            <w:tcBorders>
              <w:bottom w:val="single" w:sz="4" w:space="0" w:color="auto"/>
            </w:tcBorders>
            <w:vAlign w:val="center"/>
          </w:tcPr>
          <w:p w14:paraId="7B675A08" w14:textId="70A2BE42" w:rsidR="00800B20"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Negative</w:t>
            </w:r>
          </w:p>
        </w:tc>
        <w:tc>
          <w:tcPr>
            <w:tcW w:w="1843" w:type="dxa"/>
            <w:vAlign w:val="center"/>
          </w:tcPr>
          <w:p w14:paraId="2C121538" w14:textId="77777777" w:rsidR="00800B20" w:rsidRPr="009812FB"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color w:val="948A54" w:themeColor="background2" w:themeShade="80"/>
              </w:rPr>
            </w:pPr>
            <w:r w:rsidRPr="009812FB">
              <w:rPr>
                <w:color w:val="948A54" w:themeColor="background2" w:themeShade="80"/>
              </w:rPr>
              <w:t>False Negative</w:t>
            </w:r>
          </w:p>
          <w:p w14:paraId="46F5E363" w14:textId="33B38DCA" w:rsidR="00800B20" w:rsidRPr="009812FB"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color w:val="948A54" w:themeColor="background2" w:themeShade="80"/>
              </w:rPr>
            </w:pPr>
            <w:r w:rsidRPr="009812FB">
              <w:rPr>
                <w:color w:val="948A54" w:themeColor="background2" w:themeShade="80"/>
              </w:rPr>
              <w:t>(FN)</w:t>
            </w:r>
          </w:p>
        </w:tc>
        <w:tc>
          <w:tcPr>
            <w:tcW w:w="1701" w:type="dxa"/>
            <w:vAlign w:val="center"/>
          </w:tcPr>
          <w:p w14:paraId="76420CD2" w14:textId="77777777" w:rsidR="00800B20" w:rsidRPr="009812FB"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color w:val="9BBB59" w:themeColor="accent3"/>
              </w:rPr>
            </w:pPr>
            <w:r w:rsidRPr="009812FB">
              <w:rPr>
                <w:color w:val="9BBB59" w:themeColor="accent3"/>
              </w:rPr>
              <w:t>True Negative</w:t>
            </w:r>
          </w:p>
          <w:p w14:paraId="622117D1" w14:textId="23A984B7" w:rsidR="00800B20" w:rsidRPr="009812FB"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color w:val="9BBB59" w:themeColor="accent3"/>
              </w:rPr>
            </w:pPr>
            <w:r w:rsidRPr="009812FB">
              <w:rPr>
                <w:color w:val="9BBB59" w:themeColor="accent3"/>
              </w:rPr>
              <w:t>(TN)</w:t>
            </w:r>
          </w:p>
        </w:tc>
        <w:tc>
          <w:tcPr>
            <w:tcW w:w="3077" w:type="dxa"/>
            <w:vAlign w:val="center"/>
          </w:tcPr>
          <w:p w14:paraId="2967FA01" w14:textId="77777777" w:rsidR="00800B20" w:rsidRDefault="009812FB"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Negative Predictive value</w:t>
            </w:r>
          </w:p>
          <w:p w14:paraId="2A9B9860" w14:textId="2A3E4000" w:rsidR="009812FB" w:rsidRDefault="009812FB"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 xml:space="preserve">=  </w:t>
            </w:r>
            <m:oMath>
              <m:f>
                <m:fPr>
                  <m:ctrlPr>
                    <w:rPr>
                      <w:rFonts w:ascii="Cambria Math" w:hAnsi="Cambria Math"/>
                      <w:i/>
                    </w:rPr>
                  </m:ctrlPr>
                </m:fPr>
                <m:num>
                  <m:r>
                    <w:rPr>
                      <w:rFonts w:ascii="Cambria Math" w:hAnsi="Cambria Math"/>
                    </w:rPr>
                    <m:t>TN</m:t>
                  </m:r>
                </m:num>
                <m:den>
                  <m:r>
                    <w:rPr>
                      <w:rFonts w:ascii="Cambria Math" w:hAnsi="Cambria Math"/>
                    </w:rPr>
                    <m:t>(FN+TN)</m:t>
                  </m:r>
                </m:den>
              </m:f>
            </m:oMath>
          </w:p>
        </w:tc>
      </w:tr>
      <w:tr w:rsidR="009812FB" w14:paraId="61394831" w14:textId="77777777" w:rsidTr="009812FB">
        <w:tc>
          <w:tcPr>
            <w:tcW w:w="675" w:type="dxa"/>
            <w:tcBorders>
              <w:left w:val="nil"/>
              <w:bottom w:val="nil"/>
              <w:right w:val="nil"/>
            </w:tcBorders>
          </w:tcPr>
          <w:p w14:paraId="374F4512" w14:textId="14EECE62" w:rsidR="00800B20" w:rsidRDefault="00800B20" w:rsidP="004E2137">
            <w:pPr>
              <w:pStyle w:val="Body"/>
              <w:pBdr>
                <w:top w:val="none" w:sz="0" w:space="0" w:color="auto"/>
                <w:left w:val="none" w:sz="0" w:space="0" w:color="auto"/>
                <w:bottom w:val="none" w:sz="0" w:space="0" w:color="auto"/>
                <w:right w:val="none" w:sz="0" w:space="0" w:color="auto"/>
                <w:between w:val="none" w:sz="0" w:space="0" w:color="auto"/>
                <w:bar w:val="none" w:sz="0" w:color="auto"/>
              </w:pBdr>
            </w:pPr>
          </w:p>
        </w:tc>
        <w:tc>
          <w:tcPr>
            <w:tcW w:w="1134" w:type="dxa"/>
            <w:tcBorders>
              <w:left w:val="nil"/>
              <w:bottom w:val="nil"/>
            </w:tcBorders>
          </w:tcPr>
          <w:p w14:paraId="77199D13" w14:textId="77777777" w:rsidR="00800B20" w:rsidRDefault="00800B20" w:rsidP="004E2137">
            <w:pPr>
              <w:pStyle w:val="Body"/>
              <w:pBdr>
                <w:top w:val="none" w:sz="0" w:space="0" w:color="auto"/>
                <w:left w:val="none" w:sz="0" w:space="0" w:color="auto"/>
                <w:bottom w:val="none" w:sz="0" w:space="0" w:color="auto"/>
                <w:right w:val="none" w:sz="0" w:space="0" w:color="auto"/>
                <w:between w:val="none" w:sz="0" w:space="0" w:color="auto"/>
                <w:bar w:val="none" w:sz="0" w:color="auto"/>
              </w:pBdr>
            </w:pPr>
          </w:p>
        </w:tc>
        <w:tc>
          <w:tcPr>
            <w:tcW w:w="1843" w:type="dxa"/>
            <w:vAlign w:val="center"/>
          </w:tcPr>
          <w:p w14:paraId="395518D4" w14:textId="77777777" w:rsidR="00800B20"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Sensitivity</w:t>
            </w:r>
          </w:p>
          <w:p w14:paraId="2CABE46E" w14:textId="7C79CC6E" w:rsidR="00800B20"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w:t>
            </w:r>
            <w:r w:rsidR="009812FB">
              <w:t xml:space="preserve"> </w:t>
            </w:r>
            <w:r>
              <w:t xml:space="preserve"> </w:t>
            </w:r>
            <m:oMath>
              <m:f>
                <m:fPr>
                  <m:ctrlPr>
                    <w:rPr>
                      <w:rFonts w:ascii="Cambria Math" w:hAnsi="Cambria Math"/>
                      <w:i/>
                    </w:rPr>
                  </m:ctrlPr>
                </m:fPr>
                <m:num>
                  <m:r>
                    <w:rPr>
                      <w:rFonts w:ascii="Cambria Math" w:hAnsi="Cambria Math"/>
                    </w:rPr>
                    <m:t>TP</m:t>
                  </m:r>
                </m:num>
                <m:den>
                  <m:r>
                    <w:rPr>
                      <w:rFonts w:ascii="Cambria Math" w:hAnsi="Cambria Math"/>
                    </w:rPr>
                    <m:t>(TP+FN)</m:t>
                  </m:r>
                </m:den>
              </m:f>
            </m:oMath>
          </w:p>
        </w:tc>
        <w:tc>
          <w:tcPr>
            <w:tcW w:w="1701" w:type="dxa"/>
            <w:vAlign w:val="center"/>
          </w:tcPr>
          <w:p w14:paraId="31BD6491" w14:textId="77777777" w:rsidR="00800B20"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Specificity</w:t>
            </w:r>
          </w:p>
          <w:p w14:paraId="5967139F" w14:textId="4264A057" w:rsidR="00800B20"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w:t>
            </w:r>
            <w:r w:rsidR="009812FB">
              <w:t xml:space="preserve"> </w:t>
            </w:r>
            <w:r>
              <w:t xml:space="preserve"> </w:t>
            </w:r>
            <m:oMath>
              <m:f>
                <m:fPr>
                  <m:ctrlPr>
                    <w:rPr>
                      <w:rFonts w:ascii="Cambria Math" w:hAnsi="Cambria Math"/>
                      <w:i/>
                    </w:rPr>
                  </m:ctrlPr>
                </m:fPr>
                <m:num>
                  <m:r>
                    <w:rPr>
                      <w:rFonts w:ascii="Cambria Math" w:hAnsi="Cambria Math"/>
                    </w:rPr>
                    <m:t>TN</m:t>
                  </m:r>
                </m:num>
                <m:den>
                  <m:r>
                    <w:rPr>
                      <w:rFonts w:ascii="Cambria Math" w:hAnsi="Cambria Math"/>
                    </w:rPr>
                    <m:t>(FP+TN)</m:t>
                  </m:r>
                </m:den>
              </m:f>
            </m:oMath>
          </w:p>
        </w:tc>
        <w:tc>
          <w:tcPr>
            <w:tcW w:w="3077" w:type="dxa"/>
            <w:vAlign w:val="center"/>
          </w:tcPr>
          <w:p w14:paraId="5A9E7A62" w14:textId="77777777" w:rsidR="00800B20" w:rsidRDefault="00800B20"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Accuracy</w:t>
            </w:r>
          </w:p>
          <w:p w14:paraId="6268956C" w14:textId="3E44C599" w:rsidR="009812FB" w:rsidRDefault="009812FB" w:rsidP="009812F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 xml:space="preserve">=  </w:t>
            </w:r>
            <m:oMath>
              <m:f>
                <m:fPr>
                  <m:ctrlPr>
                    <w:rPr>
                      <w:rFonts w:ascii="Cambria Math" w:hAnsi="Cambria Math"/>
                      <w:i/>
                    </w:rPr>
                  </m:ctrlPr>
                </m:fPr>
                <m:num>
                  <m:r>
                    <w:rPr>
                      <w:rFonts w:ascii="Cambria Math" w:hAnsi="Cambria Math"/>
                    </w:rPr>
                    <m:t>(TN+TP)</m:t>
                  </m:r>
                </m:num>
                <m:den>
                  <m:r>
                    <w:rPr>
                      <w:rFonts w:ascii="Cambria Math" w:hAnsi="Cambria Math"/>
                    </w:rPr>
                    <m:t>total</m:t>
                  </m:r>
                </m:den>
              </m:f>
            </m:oMath>
          </w:p>
        </w:tc>
      </w:tr>
    </w:tbl>
    <w:p w14:paraId="2AF722BF" w14:textId="77777777" w:rsidR="00D26BB6" w:rsidRDefault="00D26BB6" w:rsidP="00D93FC1">
      <w:pPr>
        <w:pStyle w:val="Caption"/>
      </w:pPr>
    </w:p>
    <w:p w14:paraId="77259D2E" w14:textId="72A102E7" w:rsidR="00DE4967" w:rsidRPr="00CD0BFC" w:rsidRDefault="00D93FC1" w:rsidP="00D93FC1">
      <w:pPr>
        <w:pStyle w:val="Caption"/>
      </w:pPr>
      <w:bookmarkStart w:id="83" w:name="_Ref370911440"/>
      <w:bookmarkStart w:id="84" w:name="_Toc60597174"/>
      <w:r>
        <w:t xml:space="preserve">Table </w:t>
      </w:r>
      <w:r w:rsidR="004D7B97">
        <w:fldChar w:fldCharType="begin"/>
      </w:r>
      <w:r w:rsidR="004D7B97">
        <w:instrText xml:space="preserve"> STYLEREF 1 \s </w:instrText>
      </w:r>
      <w:r w:rsidR="004D7B97">
        <w:fldChar w:fldCharType="separate"/>
      </w:r>
      <w:r w:rsidR="00885DE4">
        <w:rPr>
          <w:noProof/>
        </w:rPr>
        <w:t>1</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2</w:t>
      </w:r>
      <w:r w:rsidR="004D7B97">
        <w:fldChar w:fldCharType="end"/>
      </w:r>
      <w:bookmarkEnd w:id="83"/>
      <w:r>
        <w:t xml:space="preserve"> Standard</w:t>
      </w:r>
      <w:r w:rsidR="00B26913">
        <w:t>ised</w:t>
      </w:r>
      <w:r>
        <w:t xml:space="preserve"> layout for confusion matrix</w:t>
      </w:r>
      <w:r w:rsidR="00B26913">
        <w:t>es. R</w:t>
      </w:r>
      <w:r>
        <w:t>elevant performance calculations</w:t>
      </w:r>
      <w:r w:rsidR="00B26913">
        <w:t xml:space="preserve"> are shown in the lowest and furthermost right cells.</w:t>
      </w:r>
      <w:bookmarkEnd w:id="84"/>
    </w:p>
    <w:p w14:paraId="5E219945" w14:textId="77777777" w:rsidR="00D26BB6" w:rsidRDefault="00D26BB6" w:rsidP="004E2137">
      <w:pPr>
        <w:pStyle w:val="Body"/>
      </w:pPr>
    </w:p>
    <w:p w14:paraId="23D4D6C4" w14:textId="4721A334" w:rsidR="00A267FE" w:rsidRDefault="00BA64F7" w:rsidP="004E2137">
      <w:pPr>
        <w:pStyle w:val="Body"/>
      </w:pPr>
      <w:r>
        <w:t>The confusion</w:t>
      </w:r>
      <w:r w:rsidR="00D93FC1">
        <w:t xml:space="preserve"> matrix in </w:t>
      </w:r>
      <w:r w:rsidR="00D93FC1">
        <w:fldChar w:fldCharType="begin"/>
      </w:r>
      <w:r w:rsidR="00D93FC1">
        <w:instrText xml:space="preserve"> REF _Ref370911440 \h </w:instrText>
      </w:r>
      <w:r w:rsidR="00D93FC1">
        <w:fldChar w:fldCharType="separate"/>
      </w:r>
      <w:r w:rsidR="00885DE4">
        <w:t xml:space="preserve">Table </w:t>
      </w:r>
      <w:r w:rsidR="00885DE4">
        <w:rPr>
          <w:noProof/>
        </w:rPr>
        <w:t>1</w:t>
      </w:r>
      <w:r w:rsidR="00885DE4">
        <w:noBreakHyphen/>
      </w:r>
      <w:r w:rsidR="00885DE4">
        <w:rPr>
          <w:noProof/>
        </w:rPr>
        <w:t>2</w:t>
      </w:r>
      <w:r w:rsidR="00D93FC1">
        <w:fldChar w:fldCharType="end"/>
      </w:r>
      <w:r w:rsidR="00D93FC1">
        <w:t xml:space="preserve"> </w:t>
      </w:r>
      <w:r>
        <w:t>demonstrates the layout and details</w:t>
      </w:r>
      <w:r w:rsidR="00B26913">
        <w:t xml:space="preserve"> </w:t>
      </w:r>
      <w:r>
        <w:t xml:space="preserve">of </w:t>
      </w:r>
      <w:r w:rsidR="00B26913">
        <w:t>the calculations for the previously discussed metrics sensitivity and specificity</w:t>
      </w:r>
      <w:r w:rsidR="0057639D">
        <w:t>,</w:t>
      </w:r>
      <w:r w:rsidR="00B26913">
        <w:t xml:space="preserve"> </w:t>
      </w:r>
      <w:r w:rsidR="00D603BE">
        <w:t>and</w:t>
      </w:r>
      <w:r w:rsidR="00B26913">
        <w:t xml:space="preserve"> </w:t>
      </w:r>
      <w:r w:rsidR="0057639D">
        <w:t xml:space="preserve">the </w:t>
      </w:r>
      <w:r w:rsidR="00B26913">
        <w:lastRenderedPageBreak/>
        <w:t xml:space="preserve">additional </w:t>
      </w:r>
      <w:r w:rsidR="0057639D">
        <w:t>measures</w:t>
      </w:r>
      <w:r w:rsidR="00D603BE">
        <w:t>; positive predictive value (PPV), negative predictive value (NPV) and accuracy</w:t>
      </w:r>
      <w:r w:rsidR="00B26913">
        <w:t>.</w:t>
      </w:r>
      <w:r w:rsidR="00D603BE">
        <w:t xml:space="preserve"> </w:t>
      </w:r>
      <w:r w:rsidR="00BB5752">
        <w:t xml:space="preserve">PPV and NPV are </w:t>
      </w:r>
      <w:r>
        <w:t>valuable performance measures and details the percentage of</w:t>
      </w:r>
      <w:r w:rsidR="00BB5752">
        <w:t xml:space="preserve"> correctly</w:t>
      </w:r>
      <w:r>
        <w:t xml:space="preserve"> identified</w:t>
      </w:r>
      <w:r w:rsidR="00BB5752">
        <w:t xml:space="preserve"> positive or negative sample respectively. </w:t>
      </w:r>
      <w:r w:rsidR="0057639D">
        <w:t>The measure a</w:t>
      </w:r>
      <w:r w:rsidR="00BB5752">
        <w:t xml:space="preserve">ccuracy </w:t>
      </w:r>
      <w:r w:rsidR="007739DE">
        <w:t xml:space="preserve">is a singular </w:t>
      </w:r>
      <w:r w:rsidR="00BB5752">
        <w:t xml:space="preserve">metric </w:t>
      </w:r>
      <w:r w:rsidR="007739DE">
        <w:t>of model performance it is</w:t>
      </w:r>
      <w:r>
        <w:t xml:space="preserve"> the percentage of all </w:t>
      </w:r>
      <w:r w:rsidR="00BB5752">
        <w:t>correct</w:t>
      </w:r>
      <w:r w:rsidR="00BD4804">
        <w:t>ly</w:t>
      </w:r>
      <w:r>
        <w:t xml:space="preserve"> classified samples</w:t>
      </w:r>
      <w:r w:rsidR="00BB5752">
        <w:t>.</w:t>
      </w:r>
      <w:r w:rsidR="0057639D">
        <w:t xml:space="preserve"> H</w:t>
      </w:r>
      <w:r>
        <w:t>owever,</w:t>
      </w:r>
      <w:r w:rsidR="0057639D">
        <w:t xml:space="preserve"> this</w:t>
      </w:r>
      <w:r w:rsidR="00BB5752">
        <w:t xml:space="preserve"> is only useful in situations where the data is balanced. For example</w:t>
      </w:r>
      <w:r w:rsidR="00BD4804">
        <w:t xml:space="preserve">, prostate cancer has an incidence of </w:t>
      </w:r>
      <w:r w:rsidR="002C315D">
        <w:t>171</w:t>
      </w:r>
      <w:r w:rsidR="00BD4804">
        <w:t xml:space="preserve"> in 100,000 therefore randomly sampling 1</w:t>
      </w:r>
      <w:r w:rsidR="002C315D">
        <w:t>0</w:t>
      </w:r>
      <w:r w:rsidR="00BD4804">
        <w:t xml:space="preserve">0,000 men and classifying all as normal would </w:t>
      </w:r>
      <w:r>
        <w:t xml:space="preserve">likely </w:t>
      </w:r>
      <w:r w:rsidR="00261A3B">
        <w:t xml:space="preserve">give a </w:t>
      </w:r>
      <w:r w:rsidR="00BD4804">
        <w:t>r</w:t>
      </w:r>
      <w:r w:rsidR="002C315D">
        <w:t>esult</w:t>
      </w:r>
      <w:r w:rsidR="00261A3B">
        <w:t>ing</w:t>
      </w:r>
      <w:r w:rsidR="002C315D">
        <w:t xml:space="preserve"> accuracy of 99.</w:t>
      </w:r>
      <w:r w:rsidR="00BD4804">
        <w:t>8</w:t>
      </w:r>
      <w:r w:rsidR="002C315D">
        <w:t>29</w:t>
      </w:r>
      <w:r w:rsidR="00BD4804">
        <w:t>%</w:t>
      </w:r>
      <w:r>
        <w:t xml:space="preserve">, in this case a completely irrelevant </w:t>
      </w:r>
      <w:r w:rsidR="002C315D">
        <w:fldChar w:fldCharType="begin"/>
      </w:r>
      <w:r w:rsidR="004E19A5">
        <w:instrText xml:space="preserve"> ADDIN PAPERS2_CITATIONS &lt;citation&gt;&lt;priority&gt;0&lt;/priority&gt;&lt;uuid&gt;67703B1A-0101-4205-B1CF-2D1F04D68B3B&lt;/uuid&gt;&lt;publications&gt;&lt;publication&gt;&lt;subtype&gt;400&lt;/subtype&gt;&lt;title&gt;Prostate cancer&lt;/title&gt;&lt;url&gt;http://journals.sagepub.com/doi/10.1177/1755738016639070&lt;/url&gt;&lt;volume&gt;9&lt;/volume&gt;&lt;publication_date&gt;99201604261200000000222000&lt;/publication_date&gt;&lt;uuid&gt;BFB61113-5D28-4740-B23E-7B07ECCC02B4&lt;/uuid&gt;&lt;type&gt;400&lt;/type&gt;&lt;number&gt;5&lt;/number&gt;&lt;doi&gt;10.1177/1755738016639070&lt;/doi&gt;&lt;startpage&gt;275&lt;/startpage&gt;&lt;endpage&gt;283&lt;/endpage&gt;&lt;bundle&gt;&lt;publication&gt;&lt;title&gt;InnovAiT: Education and inspiration for general practice&lt;/title&gt;&lt;uuid&gt;4BF1376E-5977-4CD4-8484-01EEFEEF1C74&lt;/uuid&gt;&lt;subtype&gt;-100&lt;/subtype&gt;&lt;type&gt;-100&lt;/type&gt;&lt;/publication&gt;&lt;/bundle&gt;&lt;authors&gt;&lt;author&gt;&lt;lastName&gt;Cooper&lt;/lastName&gt;&lt;firstName&gt;Sian&lt;/firstName&gt;&lt;/author&gt;&lt;author&gt;&lt;lastName&gt;Linch&lt;/lastName&gt;&lt;firstName&gt;Mark&lt;/firstName&gt;&lt;/author&gt;&lt;/authors&gt;&lt;/publication&gt;&lt;/publications&gt;&lt;cites&gt;&lt;/cites&gt;&lt;/citation&gt;</w:instrText>
      </w:r>
      <w:r w:rsidR="002C315D">
        <w:fldChar w:fldCharType="separate"/>
      </w:r>
      <w:r w:rsidR="00095567">
        <w:rPr>
          <w:rFonts w:eastAsiaTheme="minorEastAsia"/>
          <w:lang w:val="en-US"/>
        </w:rPr>
        <w:t xml:space="preserve">(Cooper &amp; </w:t>
      </w:r>
      <w:proofErr w:type="spellStart"/>
      <w:r w:rsidR="00095567">
        <w:rPr>
          <w:rFonts w:eastAsiaTheme="minorEastAsia"/>
          <w:lang w:val="en-US"/>
        </w:rPr>
        <w:t>Linch</w:t>
      </w:r>
      <w:proofErr w:type="spellEnd"/>
      <w:r w:rsidR="00095567">
        <w:rPr>
          <w:rFonts w:eastAsiaTheme="minorEastAsia"/>
          <w:lang w:val="en-US"/>
        </w:rPr>
        <w:t>, 2016)</w:t>
      </w:r>
      <w:r w:rsidR="002C315D">
        <w:fldChar w:fldCharType="end"/>
      </w:r>
      <w:r w:rsidR="00BD4804">
        <w:t>.</w:t>
      </w:r>
      <w:r w:rsidR="009328F4">
        <w:t xml:space="preserve"> In this scenario reviewing sensitivity and specificity separately would provide better interpretation of the model fit.</w:t>
      </w:r>
    </w:p>
    <w:p w14:paraId="09670D4A" w14:textId="77777777" w:rsidR="0000677B" w:rsidRDefault="0000677B" w:rsidP="00384DF9"/>
    <w:p w14:paraId="3CC57904" w14:textId="2D43497D" w:rsidR="0000677B" w:rsidRPr="00384DF9" w:rsidRDefault="0000677B" w:rsidP="00384DF9">
      <w:pPr>
        <w:sectPr w:rsidR="0000677B" w:rsidRPr="00384DF9" w:rsidSect="0063593C">
          <w:footerReference w:type="default" r:id="rId13"/>
          <w:type w:val="continuous"/>
          <w:pgSz w:w="11900" w:h="16840"/>
          <w:pgMar w:top="1411" w:right="1411" w:bottom="1411" w:left="1411" w:header="706" w:footer="706" w:gutter="0"/>
          <w:cols w:space="708"/>
          <w:titlePg/>
          <w:docGrid w:linePitch="360"/>
        </w:sectPr>
      </w:pPr>
    </w:p>
    <w:p w14:paraId="18B29BC3" w14:textId="5BA4DAB0" w:rsidR="00B02597" w:rsidRDefault="000A60BC" w:rsidP="00B02597">
      <w:pPr>
        <w:pStyle w:val="Heading2"/>
        <w:numPr>
          <w:ilvl w:val="1"/>
          <w:numId w:val="7"/>
        </w:numPr>
        <w:spacing w:before="120" w:after="120"/>
      </w:pPr>
      <w:bookmarkStart w:id="85" w:name="_Toc60773886"/>
      <w:r>
        <w:t>Hypothesis, Aims and Objectives</w:t>
      </w:r>
      <w:bookmarkEnd w:id="85"/>
    </w:p>
    <w:p w14:paraId="22F6F7A4" w14:textId="737B0B96" w:rsidR="00B02597" w:rsidRDefault="00674101" w:rsidP="00B02597">
      <w:pPr>
        <w:pStyle w:val="Body"/>
      </w:pPr>
      <w:r>
        <w:t>I hypothesise that there will be miRNA differences between</w:t>
      </w:r>
      <w:r w:rsidR="00311EA8">
        <w:t xml:space="preserve"> the disease groups of</w:t>
      </w:r>
      <w:r>
        <w:t xml:space="preserve"> IPAH</w:t>
      </w:r>
      <w:r w:rsidR="002C59A0">
        <w:t xml:space="preserve"> </w:t>
      </w:r>
      <w:r w:rsidR="00311EA8">
        <w:t>+</w:t>
      </w:r>
      <w:r w:rsidR="002C59A0">
        <w:t xml:space="preserve"> HV and </w:t>
      </w:r>
      <w:proofErr w:type="spellStart"/>
      <w:r w:rsidR="002C59A0">
        <w:t>SSc</w:t>
      </w:r>
      <w:proofErr w:type="spellEnd"/>
      <w:r w:rsidR="002C59A0">
        <w:t xml:space="preserve">-PAH </w:t>
      </w:r>
      <w:r w:rsidR="00311EA8">
        <w:t>+</w:t>
      </w:r>
      <w:r w:rsidR="002C59A0">
        <w:t xml:space="preserve"> </w:t>
      </w:r>
      <w:proofErr w:type="spellStart"/>
      <w:r w:rsidR="002C59A0">
        <w:t>SSc</w:t>
      </w:r>
      <w:proofErr w:type="spellEnd"/>
      <w:r w:rsidR="002C59A0">
        <w:t xml:space="preserve"> detectable from a non-invasive sample of blood or plasma. </w:t>
      </w:r>
      <w:r w:rsidR="007F2224">
        <w:t>Secondly</w:t>
      </w:r>
      <w:r w:rsidR="002C59A0">
        <w:t>, I hypothesis</w:t>
      </w:r>
      <w:r w:rsidR="00311EA8">
        <w:t>e</w:t>
      </w:r>
      <w:r w:rsidR="002C59A0">
        <w:t xml:space="preserve"> that a diagnostic </w:t>
      </w:r>
      <w:r w:rsidR="00DC1DC8">
        <w:t>panel of</w:t>
      </w:r>
      <w:r w:rsidR="002C59A0">
        <w:t xml:space="preserve"> </w:t>
      </w:r>
      <w:r w:rsidR="00B90E2D">
        <w:t xml:space="preserve">multiple miRNAs in combination </w:t>
      </w:r>
      <w:r w:rsidR="007F2224">
        <w:t xml:space="preserve">has better diagnostic potential than </w:t>
      </w:r>
      <w:r w:rsidR="00DC1DC8">
        <w:t>one miRNA in isolation.</w:t>
      </w:r>
      <w:r w:rsidR="00311EA8">
        <w:t xml:space="preserve"> Finally, I hypothesise that the </w:t>
      </w:r>
      <w:r w:rsidR="0000677B">
        <w:t>likelihood</w:t>
      </w:r>
      <w:r w:rsidR="00311EA8">
        <w:t xml:space="preserve"> of successfully validating a miRNA panel will be increased by identifying and validating the</w:t>
      </w:r>
      <w:r w:rsidR="007C4BA5">
        <w:t xml:space="preserve"> </w:t>
      </w:r>
      <w:r w:rsidR="0000677B">
        <w:t>multiple</w:t>
      </w:r>
      <w:r w:rsidR="007C4BA5">
        <w:t xml:space="preserve"> miRNAs derived from the</w:t>
      </w:r>
      <w:r w:rsidR="00311EA8">
        <w:t xml:space="preserve"> unique miRNAs </w:t>
      </w:r>
      <w:r w:rsidR="007C4BA5">
        <w:t>of</w:t>
      </w:r>
      <w:r w:rsidR="00311EA8">
        <w:t xml:space="preserve"> several panels.</w:t>
      </w:r>
    </w:p>
    <w:p w14:paraId="3E15CC3B" w14:textId="6548D942" w:rsidR="00674101" w:rsidRDefault="00674101" w:rsidP="00B02597">
      <w:pPr>
        <w:pStyle w:val="Body"/>
      </w:pPr>
    </w:p>
    <w:p w14:paraId="36C3B369" w14:textId="33355168" w:rsidR="00674101" w:rsidRDefault="00B90E2D" w:rsidP="00B02597">
      <w:pPr>
        <w:pStyle w:val="Body"/>
      </w:pPr>
      <w:r>
        <w:t>Project aims are:</w:t>
      </w:r>
    </w:p>
    <w:p w14:paraId="44977D9E" w14:textId="4F8C2A08" w:rsidR="007F2224" w:rsidRDefault="007F2224" w:rsidP="00F6489B">
      <w:pPr>
        <w:pStyle w:val="Body"/>
        <w:numPr>
          <w:ilvl w:val="0"/>
          <w:numId w:val="38"/>
        </w:numPr>
      </w:pPr>
      <w:r>
        <w:t>To identify the best source of circulating miRNAs</w:t>
      </w:r>
      <w:r w:rsidR="00311EA8">
        <w:t>.</w:t>
      </w:r>
    </w:p>
    <w:p w14:paraId="2D0C1850" w14:textId="4B66A993" w:rsidR="002C59A0" w:rsidRDefault="00B90E2D" w:rsidP="00311EA8">
      <w:pPr>
        <w:pStyle w:val="Body"/>
        <w:numPr>
          <w:ilvl w:val="0"/>
          <w:numId w:val="38"/>
        </w:numPr>
      </w:pPr>
      <w:r>
        <w:t xml:space="preserve">To identify </w:t>
      </w:r>
      <w:r w:rsidR="00F6489B">
        <w:t>miRNA</w:t>
      </w:r>
      <w:r w:rsidR="00311EA8">
        <w:t>s belonging to several diagnostic</w:t>
      </w:r>
      <w:r w:rsidR="00F6489B">
        <w:t xml:space="preserve"> panels</w:t>
      </w:r>
      <w:r w:rsidR="002C59A0">
        <w:t xml:space="preserve"> and validate</w:t>
      </w:r>
      <w:r w:rsidR="00311EA8">
        <w:t xml:space="preserve"> by qPCR.</w:t>
      </w:r>
    </w:p>
    <w:p w14:paraId="3D0155A0" w14:textId="7A6D0145" w:rsidR="009125D5" w:rsidRPr="001D7273" w:rsidRDefault="00311EA8" w:rsidP="00885DE4">
      <w:pPr>
        <w:pStyle w:val="Body"/>
        <w:numPr>
          <w:ilvl w:val="0"/>
          <w:numId w:val="38"/>
        </w:numPr>
      </w:pPr>
      <w:r>
        <w:t>To demonstrate that</w:t>
      </w:r>
      <w:r w:rsidR="00674101">
        <w:t xml:space="preserve"> miR</w:t>
      </w:r>
      <w:r>
        <w:t>NA</w:t>
      </w:r>
      <w:r w:rsidR="00674101">
        <w:t xml:space="preserve">s in a panel can provide improved </w:t>
      </w:r>
      <w:r>
        <w:t>diagnostic potential to a singular miRNA.</w:t>
      </w:r>
      <w:r w:rsidRPr="0096441A">
        <w:t xml:space="preserve"> </w:t>
      </w:r>
      <w:r w:rsidR="009125D5">
        <w:br w:type="page"/>
      </w:r>
    </w:p>
    <w:p w14:paraId="2EA343FD" w14:textId="77777777" w:rsidR="009125D5" w:rsidRPr="00384DF9" w:rsidRDefault="009125D5" w:rsidP="009125D5">
      <w:pPr>
        <w:sectPr w:rsidR="009125D5" w:rsidRPr="00384DF9" w:rsidSect="0063593C">
          <w:footerReference w:type="default" r:id="rId14"/>
          <w:type w:val="continuous"/>
          <w:pgSz w:w="11900" w:h="16840"/>
          <w:pgMar w:top="1411" w:right="1411" w:bottom="1411" w:left="1411" w:header="706" w:footer="706" w:gutter="0"/>
          <w:cols w:space="708"/>
          <w:titlePg/>
          <w:docGrid w:linePitch="360"/>
        </w:sectPr>
      </w:pPr>
    </w:p>
    <w:p w14:paraId="48741761" w14:textId="77777777" w:rsidR="009125D5" w:rsidRPr="00E5229C" w:rsidRDefault="009125D5" w:rsidP="009125D5">
      <w:pPr>
        <w:pStyle w:val="Heading1"/>
        <w:numPr>
          <w:ilvl w:val="0"/>
          <w:numId w:val="7"/>
        </w:numPr>
        <w:spacing w:before="120" w:after="120"/>
      </w:pPr>
      <w:bookmarkStart w:id="86" w:name="_Toc27"/>
      <w:bookmarkStart w:id="87" w:name="_Toc246745620"/>
      <w:bookmarkStart w:id="88" w:name="_Toc297817823"/>
      <w:bookmarkStart w:id="89" w:name="_Toc297818245"/>
      <w:bookmarkStart w:id="90" w:name="_Toc297818557"/>
      <w:bookmarkStart w:id="91" w:name="_Toc60773887"/>
      <w:r w:rsidRPr="00E5229C">
        <w:lastRenderedPageBreak/>
        <w:t>Materials and Methods</w:t>
      </w:r>
      <w:bookmarkEnd w:id="86"/>
      <w:bookmarkEnd w:id="87"/>
      <w:bookmarkEnd w:id="88"/>
      <w:bookmarkEnd w:id="89"/>
      <w:bookmarkEnd w:id="90"/>
      <w:bookmarkEnd w:id="91"/>
    </w:p>
    <w:p w14:paraId="28B1BABF" w14:textId="77777777" w:rsidR="009125D5" w:rsidRPr="00E5229C" w:rsidRDefault="009125D5" w:rsidP="009125D5">
      <w:pPr>
        <w:pStyle w:val="Body"/>
      </w:pPr>
      <w:r w:rsidRPr="00E5229C">
        <w:t xml:space="preserve">This chapter </w:t>
      </w:r>
      <w:r>
        <w:t>details</w:t>
      </w:r>
      <w:r w:rsidRPr="00E5229C">
        <w:t xml:space="preserve"> the materials and methods used </w:t>
      </w:r>
      <w:r>
        <w:t>in</w:t>
      </w:r>
      <w:r w:rsidRPr="00E5229C">
        <w:t xml:space="preserve"> this thesis.</w:t>
      </w:r>
    </w:p>
    <w:p w14:paraId="4555ECBB" w14:textId="77777777" w:rsidR="009125D5" w:rsidRPr="00E5229C" w:rsidRDefault="009125D5" w:rsidP="009125D5">
      <w:pPr>
        <w:pStyle w:val="Heading2"/>
        <w:numPr>
          <w:ilvl w:val="1"/>
          <w:numId w:val="7"/>
        </w:numPr>
        <w:spacing w:before="120" w:after="120"/>
        <w:ind w:left="578" w:hanging="578"/>
      </w:pPr>
      <w:bookmarkStart w:id="92" w:name="_Toc246745621"/>
      <w:bookmarkStart w:id="93" w:name="_Toc297817824"/>
      <w:bookmarkStart w:id="94" w:name="_Toc297818246"/>
      <w:bookmarkStart w:id="95" w:name="_Toc297818558"/>
      <w:bookmarkStart w:id="96" w:name="_Ref300241945"/>
      <w:bookmarkStart w:id="97" w:name="_Ref300241986"/>
      <w:bookmarkStart w:id="98" w:name="_Ref344043648"/>
      <w:bookmarkStart w:id="99" w:name="_Ref344043733"/>
      <w:bookmarkStart w:id="100" w:name="_Ref344043757"/>
      <w:bookmarkStart w:id="101" w:name="_Toc60773888"/>
      <w:r w:rsidRPr="00E5229C">
        <w:t>Ethics, Patient Cohorts and Whole Blood Processing</w:t>
      </w:r>
      <w:bookmarkEnd w:id="92"/>
      <w:bookmarkEnd w:id="93"/>
      <w:bookmarkEnd w:id="94"/>
      <w:bookmarkEnd w:id="95"/>
      <w:bookmarkEnd w:id="96"/>
      <w:bookmarkEnd w:id="97"/>
      <w:bookmarkEnd w:id="98"/>
      <w:bookmarkEnd w:id="99"/>
      <w:bookmarkEnd w:id="100"/>
      <w:bookmarkEnd w:id="101"/>
    </w:p>
    <w:p w14:paraId="0C679662" w14:textId="77777777" w:rsidR="009125D5" w:rsidRDefault="009125D5" w:rsidP="009125D5">
      <w:pPr>
        <w:pStyle w:val="Heading3"/>
        <w:numPr>
          <w:ilvl w:val="2"/>
          <w:numId w:val="7"/>
        </w:numPr>
        <w:spacing w:before="80" w:after="80"/>
      </w:pPr>
      <w:bookmarkStart w:id="102" w:name="_Toc297818247"/>
      <w:bookmarkStart w:id="103" w:name="_Toc60773889"/>
      <w:r w:rsidRPr="00E5229C">
        <w:t>Ethic</w:t>
      </w:r>
      <w:bookmarkEnd w:id="102"/>
      <w:r w:rsidRPr="00E5229C">
        <w:t>al Approval</w:t>
      </w:r>
      <w:bookmarkEnd w:id="103"/>
    </w:p>
    <w:p w14:paraId="7D00D5E9" w14:textId="1A1A5C1E" w:rsidR="009125D5" w:rsidRDefault="009125D5" w:rsidP="009125D5">
      <w:pPr>
        <w:pStyle w:val="Body"/>
      </w:pPr>
      <w:r>
        <w:t>Patient and healthy volunteer plasma samples and clinical data from the Sheffield Teaching Hospitals Observational Study of Patients with Pulmonary Hypertension, Cardiovascular and Lung Disease (STH-</w:t>
      </w:r>
      <w:proofErr w:type="spellStart"/>
      <w:r>
        <w:t>Obs</w:t>
      </w:r>
      <w:proofErr w:type="spellEnd"/>
      <w:r>
        <w:t>) biobank was provided under the local Sheffield Teaching Hospitals Foundation Trust Observational Cardiovascular Biobank Ethics (08/H1308/193 and STH 15222). The PH scientific advisory board approved sample release.</w:t>
      </w:r>
    </w:p>
    <w:p w14:paraId="004CBAA0" w14:textId="77777777" w:rsidR="002C3598" w:rsidRPr="00E5229C" w:rsidRDefault="002C3598" w:rsidP="009125D5">
      <w:pPr>
        <w:pStyle w:val="Body"/>
      </w:pPr>
    </w:p>
    <w:p w14:paraId="241B4136" w14:textId="77777777" w:rsidR="009125D5" w:rsidRDefault="009125D5" w:rsidP="009125D5">
      <w:pPr>
        <w:pStyle w:val="Heading3"/>
        <w:numPr>
          <w:ilvl w:val="2"/>
          <w:numId w:val="7"/>
        </w:numPr>
        <w:spacing w:before="80" w:after="80"/>
      </w:pPr>
      <w:bookmarkStart w:id="104" w:name="_Toc297818248"/>
      <w:bookmarkStart w:id="105" w:name="_Toc60773890"/>
      <w:r w:rsidRPr="00E5229C">
        <w:t>Patient Cohorts</w:t>
      </w:r>
      <w:bookmarkEnd w:id="104"/>
      <w:bookmarkEnd w:id="105"/>
    </w:p>
    <w:p w14:paraId="44A167F1" w14:textId="461F298B" w:rsidR="009125D5" w:rsidRDefault="009125D5" w:rsidP="009125D5">
      <w:pPr>
        <w:pStyle w:val="Body"/>
      </w:pPr>
      <w:r>
        <w:t>Patient samples were taken during the first diagnostic contact with the Pulmonary Vascular Disease unit. For healthy volunteers this was at their time of enrolment into the STH-</w:t>
      </w:r>
      <w:proofErr w:type="spellStart"/>
      <w:r>
        <w:t>Obs</w:t>
      </w:r>
      <w:proofErr w:type="spellEnd"/>
      <w:r>
        <w:t xml:space="preserve"> biobank.</w:t>
      </w:r>
      <w:r w:rsidRPr="00E5229C">
        <w:t xml:space="preserve"> </w:t>
      </w:r>
    </w:p>
    <w:p w14:paraId="348980AE" w14:textId="77777777" w:rsidR="002C3598" w:rsidRPr="00E5229C" w:rsidRDefault="002C3598" w:rsidP="009125D5">
      <w:pPr>
        <w:pStyle w:val="Body"/>
      </w:pPr>
    </w:p>
    <w:p w14:paraId="7F1D72A5" w14:textId="77777777" w:rsidR="009125D5" w:rsidRPr="00E5229C" w:rsidRDefault="009125D5" w:rsidP="009125D5">
      <w:pPr>
        <w:pStyle w:val="Heading3"/>
        <w:numPr>
          <w:ilvl w:val="2"/>
          <w:numId w:val="7"/>
        </w:numPr>
        <w:spacing w:before="80" w:after="80"/>
      </w:pPr>
      <w:bookmarkStart w:id="106" w:name="_Toc60773891"/>
      <w:r>
        <w:t xml:space="preserve">Total </w:t>
      </w:r>
      <w:r w:rsidRPr="00E5229C">
        <w:t>RNA</w:t>
      </w:r>
      <w:r>
        <w:t xml:space="preserve"> Isolation from Whole Blood</w:t>
      </w:r>
      <w:bookmarkEnd w:id="106"/>
    </w:p>
    <w:p w14:paraId="324665AA" w14:textId="77777777" w:rsidR="00C4467D" w:rsidRDefault="009125D5" w:rsidP="009125D5">
      <w:pPr>
        <w:pStyle w:val="Body"/>
      </w:pPr>
      <w:r>
        <w:t xml:space="preserve">Total whole blood RNA was extracted from Tempus RNA storage </w:t>
      </w:r>
      <w:proofErr w:type="spellStart"/>
      <w:r>
        <w:t>vacutubes</w:t>
      </w:r>
      <w:proofErr w:type="spellEnd"/>
      <w:r>
        <w:t xml:space="preserve"> (Applied Biosystems, U.S.A.) using the Maxwell miRNA Tissue kit on the Maxwell 16 automated purification platform (Promega, U.S.A.) according to manufacturer’s instructions. Briefly, the contents of Tempus tube were decanted into a 50ml Falcon tube and topped up with 1x sterile PBS (VWR, U.S.A.) to a total volume of 12.5 ml, vortexed (high, 1 minute) and centrifuged (4000 g, 30 minutes). The supernatant was </w:t>
      </w:r>
      <w:proofErr w:type="gramStart"/>
      <w:r>
        <w:t>discarded</w:t>
      </w:r>
      <w:proofErr w:type="gramEnd"/>
      <w:r>
        <w:t xml:space="preserve"> and the tubes placed upside down on paper towels to dry (1 minute). Homogenisation </w:t>
      </w:r>
      <w:r>
        <w:lastRenderedPageBreak/>
        <w:t xml:space="preserve">solution is prepared in advance by adding 20 µl of thio-1-glycerol to 200µl homogenisation buffer and chilling. 200µl of prepared homogenisation buffer was added to the tube and vortexed. Sequentially 200µl of lysis buffer and 15µl of proteinase k were added, gently vortexed and incubated (15 minutes, room temperature). </w:t>
      </w:r>
    </w:p>
    <w:p w14:paraId="00C9CA92" w14:textId="0AC3B2A7" w:rsidR="00C4467D" w:rsidRDefault="00C4467D" w:rsidP="009125D5">
      <w:pPr>
        <w:pStyle w:val="Body"/>
      </w:pPr>
      <w:r>
        <w:t xml:space="preserve">To prepare the Maxwell extraction system; </w:t>
      </w:r>
      <w:r w:rsidR="009125D5">
        <w:t xml:space="preserve">75µl of RNase/DNase free water was added to the elution tube and placed in the Maxwell 16 loading rack, along with an extraction cartridge. The foil was removed from the cartridge and blue DNase 1 added to the well 4 on the cartridge (coloured yellow), and clean RNase/DNase free magnet sheaths added to well 7 on the cartridge. </w:t>
      </w:r>
    </w:p>
    <w:p w14:paraId="27C42BF0" w14:textId="0A7DA0E9" w:rsidR="009125D5" w:rsidRDefault="009125D5" w:rsidP="009125D5">
      <w:pPr>
        <w:pStyle w:val="Body"/>
      </w:pPr>
      <w:r>
        <w:t xml:space="preserve">Following </w:t>
      </w:r>
      <w:r w:rsidR="00C4467D">
        <w:t xml:space="preserve">sample’s </w:t>
      </w:r>
      <w:r w:rsidR="004704D1">
        <w:t>proteinase K</w:t>
      </w:r>
      <w:r>
        <w:t xml:space="preserve"> incubation, the entire 400µl of solution in the 50ml Falcon was transferred to well 1 on the extraction cartridge and the loading rack placed into the Maxwell 16 ready for extraction. The miRNA program was selected, after 1 hour 23 minutes the eluted RNA was stored at -80ºC.</w:t>
      </w:r>
    </w:p>
    <w:p w14:paraId="1092AF83" w14:textId="77777777" w:rsidR="00A32BA1" w:rsidRPr="00E5229C" w:rsidRDefault="00A32BA1" w:rsidP="009125D5">
      <w:pPr>
        <w:pStyle w:val="Body"/>
      </w:pPr>
    </w:p>
    <w:p w14:paraId="2BD663BD" w14:textId="77777777" w:rsidR="009125D5" w:rsidRPr="00E5229C" w:rsidRDefault="009125D5" w:rsidP="009125D5">
      <w:pPr>
        <w:pStyle w:val="Heading3"/>
        <w:numPr>
          <w:ilvl w:val="2"/>
          <w:numId w:val="7"/>
        </w:numPr>
        <w:spacing w:before="80" w:after="80"/>
      </w:pPr>
      <w:bookmarkStart w:id="107" w:name="_Toc60773892"/>
      <w:r>
        <w:t xml:space="preserve">Total </w:t>
      </w:r>
      <w:r w:rsidRPr="00E5229C">
        <w:t>RNA</w:t>
      </w:r>
      <w:r>
        <w:t xml:space="preserve"> Isolation from Plasma</w:t>
      </w:r>
      <w:bookmarkEnd w:id="107"/>
    </w:p>
    <w:p w14:paraId="5ABD236C" w14:textId="295D5C02" w:rsidR="009125D5" w:rsidRPr="00882640" w:rsidRDefault="009125D5" w:rsidP="009125D5">
      <w:pPr>
        <w:pStyle w:val="BodyText1"/>
        <w:numPr>
          <w:ilvl w:val="0"/>
          <w:numId w:val="0"/>
        </w:numPr>
        <w:spacing w:line="480" w:lineRule="auto"/>
        <w:jc w:val="both"/>
        <w:rPr>
          <w:rFonts w:ascii="TUOS Blake" w:hAnsi="TUOS Blake"/>
        </w:rPr>
      </w:pPr>
      <w:r w:rsidRPr="00882640">
        <w:rPr>
          <w:rFonts w:ascii="TUOS Blake" w:hAnsi="TUOS Blake"/>
        </w:rPr>
        <w:t xml:space="preserve">Total RNA </w:t>
      </w:r>
      <w:r>
        <w:rPr>
          <w:rFonts w:ascii="TUOS Blake" w:hAnsi="TUOS Blake"/>
        </w:rPr>
        <w:t>was</w:t>
      </w:r>
      <w:r w:rsidRPr="00882640">
        <w:rPr>
          <w:rFonts w:ascii="TUOS Blake" w:hAnsi="TUOS Blake"/>
        </w:rPr>
        <w:t xml:space="preserve"> extracted </w:t>
      </w:r>
      <w:r>
        <w:rPr>
          <w:rFonts w:ascii="TUOS Blake" w:hAnsi="TUOS Blake"/>
        </w:rPr>
        <w:t>from plasma using</w:t>
      </w:r>
      <w:r w:rsidRPr="00882640">
        <w:rPr>
          <w:rFonts w:ascii="TUOS Blake" w:hAnsi="TUOS Blake"/>
        </w:rPr>
        <w:t xml:space="preserve"> the total RNA slurry format extraction kit (</w:t>
      </w:r>
      <w:proofErr w:type="spellStart"/>
      <w:r w:rsidRPr="00882640">
        <w:rPr>
          <w:rFonts w:ascii="TUOS Blake" w:hAnsi="TUOS Blake"/>
        </w:rPr>
        <w:t>Norgen</w:t>
      </w:r>
      <w:proofErr w:type="spellEnd"/>
      <w:r w:rsidRPr="00882640">
        <w:rPr>
          <w:rFonts w:ascii="TUOS Blake" w:hAnsi="TUOS Blake"/>
        </w:rPr>
        <w:t xml:space="preserve"> </w:t>
      </w:r>
      <w:proofErr w:type="spellStart"/>
      <w:r w:rsidRPr="00882640">
        <w:rPr>
          <w:rFonts w:ascii="TUOS Blake" w:hAnsi="TUOS Blake"/>
        </w:rPr>
        <w:t>Biotek</w:t>
      </w:r>
      <w:proofErr w:type="spellEnd"/>
      <w:r w:rsidRPr="00882640">
        <w:rPr>
          <w:rFonts w:ascii="TUOS Blake" w:hAnsi="TUOS Blake"/>
        </w:rPr>
        <w:t xml:space="preserve"> Corp. Canada).</w:t>
      </w:r>
      <w:r>
        <w:rPr>
          <w:rFonts w:ascii="TUOS Blake" w:hAnsi="TUOS Blake"/>
        </w:rPr>
        <w:t xml:space="preserve"> Prior to experimental start </w:t>
      </w:r>
      <w:r w:rsidRPr="00882640">
        <w:rPr>
          <w:rFonts w:ascii="TUOS Blake" w:hAnsi="TUOS Blake"/>
        </w:rPr>
        <w:t xml:space="preserve">solution Slurry C2 and Lysis Buffer A were </w:t>
      </w:r>
      <w:r>
        <w:rPr>
          <w:rFonts w:ascii="TUOS Blake" w:hAnsi="TUOS Blake"/>
        </w:rPr>
        <w:t>prepared by incubation</w:t>
      </w:r>
      <w:r w:rsidRPr="00882640">
        <w:rPr>
          <w:rFonts w:ascii="TUOS Blake" w:hAnsi="TUOS Blake"/>
        </w:rPr>
        <w:t xml:space="preserve"> </w:t>
      </w:r>
      <w:r>
        <w:rPr>
          <w:rFonts w:ascii="TUOS Blake" w:hAnsi="TUOS Blake"/>
        </w:rPr>
        <w:t>(</w:t>
      </w:r>
      <w:r w:rsidRPr="00882640">
        <w:rPr>
          <w:rFonts w:ascii="TUOS Blake" w:hAnsi="TUOS Blake"/>
        </w:rPr>
        <w:t>60ºC</w:t>
      </w:r>
      <w:r>
        <w:rPr>
          <w:rFonts w:ascii="TUOS Blake" w:hAnsi="TUOS Blake"/>
        </w:rPr>
        <w:t>, 20 minutes)</w:t>
      </w:r>
      <w:r w:rsidRPr="00882640">
        <w:rPr>
          <w:rFonts w:ascii="TUOS Blake" w:hAnsi="TUOS Blake"/>
        </w:rPr>
        <w:t xml:space="preserve">. </w:t>
      </w:r>
      <w:r>
        <w:rPr>
          <w:rFonts w:ascii="TUOS Blake" w:hAnsi="TUOS Blake"/>
        </w:rPr>
        <w:t>To</w:t>
      </w:r>
      <w:r w:rsidRPr="00882640">
        <w:rPr>
          <w:rFonts w:ascii="TUOS Blake" w:hAnsi="TUOS Blake"/>
        </w:rPr>
        <w:t xml:space="preserve"> a 50ml</w:t>
      </w:r>
      <w:r>
        <w:rPr>
          <w:rFonts w:ascii="TUOS Blake" w:hAnsi="TUOS Blake"/>
        </w:rPr>
        <w:t xml:space="preserve"> Falcon</w:t>
      </w:r>
      <w:r w:rsidRPr="00882640">
        <w:rPr>
          <w:rFonts w:ascii="TUOS Blake" w:hAnsi="TUOS Blake"/>
        </w:rPr>
        <w:t xml:space="preserve"> tube 200</w:t>
      </w:r>
      <w:r>
        <w:rPr>
          <w:rFonts w:ascii="TUOS Blake" w:hAnsi="TUOS Blake"/>
        </w:rPr>
        <w:t xml:space="preserve"> </w:t>
      </w:r>
      <w:r w:rsidRPr="00882640">
        <w:rPr>
          <w:rFonts w:ascii="TUOS Blake" w:hAnsi="TUOS Blake"/>
        </w:rPr>
        <w:t>µl of Slurry C, 1800</w:t>
      </w:r>
      <w:r>
        <w:rPr>
          <w:rFonts w:ascii="TUOS Blake" w:hAnsi="TUOS Blake"/>
        </w:rPr>
        <w:t xml:space="preserve"> </w:t>
      </w:r>
      <w:r w:rsidRPr="00882640">
        <w:rPr>
          <w:rFonts w:ascii="TUOS Blake" w:hAnsi="TUOS Blake"/>
        </w:rPr>
        <w:t>µl of Lysis Buffer A, 20</w:t>
      </w:r>
      <w:r>
        <w:rPr>
          <w:rFonts w:ascii="TUOS Blake" w:hAnsi="TUOS Blake"/>
        </w:rPr>
        <w:t xml:space="preserve"> </w:t>
      </w:r>
      <w:r w:rsidRPr="00882640">
        <w:rPr>
          <w:rFonts w:ascii="TUOS Blake" w:hAnsi="TUOS Blake"/>
        </w:rPr>
        <w:t>µl of 2</w:t>
      </w:r>
      <w:r>
        <w:rPr>
          <w:rFonts w:ascii="TUOS Blake" w:hAnsi="TUOS Blake"/>
        </w:rPr>
        <w:t xml:space="preserve"> </w:t>
      </w:r>
      <w:r w:rsidRPr="00882640">
        <w:rPr>
          <w:rFonts w:ascii="TUOS Blake" w:hAnsi="TUOS Blake"/>
        </w:rPr>
        <w:t>M DTT and 500</w:t>
      </w:r>
      <w:r>
        <w:rPr>
          <w:rFonts w:ascii="TUOS Blake" w:hAnsi="TUOS Blake"/>
        </w:rPr>
        <w:t xml:space="preserve"> </w:t>
      </w:r>
      <w:r w:rsidRPr="00882640">
        <w:rPr>
          <w:rFonts w:ascii="TUOS Blake" w:hAnsi="TUOS Blake"/>
        </w:rPr>
        <w:t>µl of plasma were sequentially</w:t>
      </w:r>
      <w:r>
        <w:rPr>
          <w:rFonts w:ascii="TUOS Blake" w:hAnsi="TUOS Blake"/>
        </w:rPr>
        <w:t xml:space="preserve"> added</w:t>
      </w:r>
      <w:r w:rsidRPr="00882640">
        <w:rPr>
          <w:rFonts w:ascii="TUOS Blake" w:hAnsi="TUOS Blake"/>
        </w:rPr>
        <w:t xml:space="preserve">. The solution was </w:t>
      </w:r>
      <w:r>
        <w:rPr>
          <w:rFonts w:ascii="TUOS Blake" w:hAnsi="TUOS Blake"/>
        </w:rPr>
        <w:t xml:space="preserve">mixed by </w:t>
      </w:r>
      <w:r w:rsidRPr="00882640">
        <w:rPr>
          <w:rFonts w:ascii="TUOS Blake" w:hAnsi="TUOS Blake"/>
        </w:rPr>
        <w:t>vortex</w:t>
      </w:r>
      <w:r>
        <w:rPr>
          <w:rFonts w:ascii="TUOS Blake" w:hAnsi="TUOS Blake"/>
        </w:rPr>
        <w:t xml:space="preserve"> (high,</w:t>
      </w:r>
      <w:r w:rsidR="00D32366">
        <w:rPr>
          <w:rFonts w:ascii="TUOS Blake" w:hAnsi="TUOS Blake"/>
        </w:rPr>
        <w:t xml:space="preserve"> </w:t>
      </w:r>
      <w:r w:rsidRPr="00882640">
        <w:rPr>
          <w:rFonts w:ascii="TUOS Blake" w:hAnsi="TUOS Blake"/>
        </w:rPr>
        <w:t>15 seconds</w:t>
      </w:r>
      <w:r>
        <w:rPr>
          <w:rFonts w:ascii="TUOS Blake" w:hAnsi="TUOS Blake"/>
        </w:rPr>
        <w:t>)</w:t>
      </w:r>
      <w:r w:rsidRPr="00882640">
        <w:rPr>
          <w:rFonts w:ascii="TUOS Blake" w:hAnsi="TUOS Blake"/>
        </w:rPr>
        <w:t xml:space="preserve"> and incubated </w:t>
      </w:r>
      <w:r>
        <w:rPr>
          <w:rFonts w:ascii="TUOS Blake" w:hAnsi="TUOS Blake"/>
        </w:rPr>
        <w:t>(</w:t>
      </w:r>
      <w:r w:rsidRPr="00882640">
        <w:rPr>
          <w:rFonts w:ascii="TUOS Blake" w:hAnsi="TUOS Blake"/>
        </w:rPr>
        <w:t>60ºC</w:t>
      </w:r>
      <w:r>
        <w:rPr>
          <w:rFonts w:ascii="TUOS Blake" w:hAnsi="TUOS Blake"/>
        </w:rPr>
        <w:t>, 10 minutes)</w:t>
      </w:r>
      <w:r w:rsidRPr="00882640">
        <w:rPr>
          <w:rFonts w:ascii="TUOS Blake" w:hAnsi="TUOS Blake"/>
        </w:rPr>
        <w:t>. 3</w:t>
      </w:r>
      <w:r>
        <w:rPr>
          <w:rFonts w:ascii="TUOS Blake" w:hAnsi="TUOS Blake"/>
        </w:rPr>
        <w:t xml:space="preserve"> </w:t>
      </w:r>
      <w:r w:rsidRPr="00882640">
        <w:rPr>
          <w:rFonts w:ascii="TUOS Blake" w:hAnsi="TUOS Blake"/>
        </w:rPr>
        <w:t xml:space="preserve">mL of 100% ethanol was added and </w:t>
      </w:r>
      <w:r>
        <w:rPr>
          <w:rFonts w:ascii="TUOS Blake" w:hAnsi="TUOS Blake"/>
        </w:rPr>
        <w:t>mixed</w:t>
      </w:r>
      <w:r w:rsidRPr="00882640">
        <w:rPr>
          <w:rFonts w:ascii="TUOS Blake" w:hAnsi="TUOS Blake"/>
        </w:rPr>
        <w:t xml:space="preserve"> </w:t>
      </w:r>
      <w:r>
        <w:rPr>
          <w:rFonts w:ascii="TUOS Blake" w:hAnsi="TUOS Blake"/>
        </w:rPr>
        <w:t>by vortex</w:t>
      </w:r>
      <w:r w:rsidRPr="00882640">
        <w:rPr>
          <w:rFonts w:ascii="TUOS Blake" w:hAnsi="TUOS Blake"/>
        </w:rPr>
        <w:t xml:space="preserve"> for 15 seconds and </w:t>
      </w:r>
      <w:r w:rsidR="00DC0C71" w:rsidRPr="00882640">
        <w:rPr>
          <w:rFonts w:ascii="TUOS Blake" w:hAnsi="TUOS Blake"/>
        </w:rPr>
        <w:t xml:space="preserve">centrifuged </w:t>
      </w:r>
      <w:r w:rsidR="00DC0C71">
        <w:rPr>
          <w:rFonts w:ascii="TUOS Blake" w:hAnsi="TUOS Blake"/>
        </w:rPr>
        <w:t>(</w:t>
      </w:r>
      <w:r>
        <w:rPr>
          <w:rFonts w:ascii="TUOS Blake" w:hAnsi="TUOS Blake"/>
        </w:rPr>
        <w:t>30 seconds, 1000 rpm)</w:t>
      </w:r>
      <w:r w:rsidRPr="00882640">
        <w:rPr>
          <w:rFonts w:ascii="TUOS Blake" w:hAnsi="TUOS Blake"/>
        </w:rPr>
        <w:t xml:space="preserve">. </w:t>
      </w:r>
      <w:r>
        <w:rPr>
          <w:rFonts w:ascii="TUOS Blake" w:hAnsi="TUOS Blake"/>
        </w:rPr>
        <w:t>S</w:t>
      </w:r>
      <w:r w:rsidRPr="00882640">
        <w:rPr>
          <w:rFonts w:ascii="TUOS Blake" w:hAnsi="TUOS Blake"/>
        </w:rPr>
        <w:t xml:space="preserve">upernatant was </w:t>
      </w:r>
      <w:r>
        <w:rPr>
          <w:rFonts w:ascii="TUOS Blake" w:hAnsi="TUOS Blake"/>
        </w:rPr>
        <w:t>discarded</w:t>
      </w:r>
      <w:r w:rsidRPr="00882640">
        <w:rPr>
          <w:rFonts w:ascii="TUOS Blake" w:hAnsi="TUOS Blake"/>
        </w:rPr>
        <w:t xml:space="preserve"> and 300</w:t>
      </w:r>
      <w:r>
        <w:rPr>
          <w:rFonts w:ascii="TUOS Blake" w:hAnsi="TUOS Blake"/>
        </w:rPr>
        <w:t xml:space="preserve"> </w:t>
      </w:r>
      <w:r w:rsidRPr="00882640">
        <w:rPr>
          <w:rFonts w:ascii="TUOS Blake" w:hAnsi="TUOS Blake"/>
        </w:rPr>
        <w:t>µl of Lysis Buffer A was added to the slurry pelle</w:t>
      </w:r>
      <w:r>
        <w:rPr>
          <w:rFonts w:ascii="TUOS Blake" w:hAnsi="TUOS Blake"/>
        </w:rPr>
        <w:t>t, mixed by vortex</w:t>
      </w:r>
      <w:r w:rsidRPr="00882640">
        <w:rPr>
          <w:rFonts w:ascii="TUOS Blake" w:hAnsi="TUOS Blake"/>
        </w:rPr>
        <w:t xml:space="preserve"> and incubated </w:t>
      </w:r>
      <w:r>
        <w:rPr>
          <w:rFonts w:ascii="TUOS Blake" w:hAnsi="TUOS Blake"/>
        </w:rPr>
        <w:t>(</w:t>
      </w:r>
      <w:r w:rsidRPr="00882640">
        <w:rPr>
          <w:rFonts w:ascii="TUOS Blake" w:hAnsi="TUOS Blake"/>
        </w:rPr>
        <w:t>60ºC</w:t>
      </w:r>
      <w:r>
        <w:rPr>
          <w:rFonts w:ascii="TUOS Blake" w:hAnsi="TUOS Blake"/>
        </w:rPr>
        <w:t xml:space="preserve">, </w:t>
      </w:r>
      <w:r w:rsidRPr="00882640">
        <w:rPr>
          <w:rFonts w:ascii="TUOS Blake" w:hAnsi="TUOS Blake"/>
        </w:rPr>
        <w:t>10 minutes</w:t>
      </w:r>
      <w:r>
        <w:rPr>
          <w:rFonts w:ascii="TUOS Blake" w:hAnsi="TUOS Blake"/>
        </w:rPr>
        <w:t>)</w:t>
      </w:r>
      <w:r w:rsidRPr="00882640">
        <w:rPr>
          <w:rFonts w:ascii="TUOS Blake" w:hAnsi="TUOS Blake"/>
        </w:rPr>
        <w:t>. 300</w:t>
      </w:r>
      <w:r>
        <w:rPr>
          <w:rFonts w:ascii="TUOS Blake" w:hAnsi="TUOS Blake"/>
        </w:rPr>
        <w:t xml:space="preserve"> </w:t>
      </w:r>
      <w:r w:rsidRPr="00882640">
        <w:rPr>
          <w:rFonts w:ascii="TUOS Blake" w:hAnsi="TUOS Blake"/>
        </w:rPr>
        <w:t>µl of 100% ethanol was added and the mixture and</w:t>
      </w:r>
      <w:r>
        <w:rPr>
          <w:rFonts w:ascii="TUOS Blake" w:hAnsi="TUOS Blake"/>
        </w:rPr>
        <w:t xml:space="preserve"> mixed by vortex</w:t>
      </w:r>
      <w:r w:rsidRPr="00882640">
        <w:rPr>
          <w:rFonts w:ascii="TUOS Blake" w:hAnsi="TUOS Blake"/>
        </w:rPr>
        <w:t xml:space="preserve"> for </w:t>
      </w:r>
      <w:r w:rsidRPr="00882640">
        <w:rPr>
          <w:rFonts w:ascii="TUOS Blake" w:hAnsi="TUOS Blake"/>
        </w:rPr>
        <w:lastRenderedPageBreak/>
        <w:t xml:space="preserve">15 seconds. </w:t>
      </w:r>
      <w:r>
        <w:rPr>
          <w:rFonts w:ascii="TUOS Blake" w:hAnsi="TUOS Blake"/>
        </w:rPr>
        <w:t>Up to a maximum of 60</w:t>
      </w:r>
      <w:r w:rsidRPr="00882640">
        <w:rPr>
          <w:rFonts w:ascii="TUOS Blake" w:hAnsi="TUOS Blake"/>
        </w:rPr>
        <w:t>0</w:t>
      </w:r>
      <w:r>
        <w:rPr>
          <w:rFonts w:ascii="TUOS Blake" w:hAnsi="TUOS Blake"/>
        </w:rPr>
        <w:t xml:space="preserve"> </w:t>
      </w:r>
      <w:r w:rsidRPr="00882640">
        <w:rPr>
          <w:rFonts w:ascii="TUOS Blake" w:hAnsi="TUOS Blake"/>
        </w:rPr>
        <w:t xml:space="preserve">µl of solution was transferred to a mini filter spin column with collection tube and centrifuged </w:t>
      </w:r>
      <w:r>
        <w:rPr>
          <w:rFonts w:ascii="TUOS Blake" w:hAnsi="TUOS Blake"/>
        </w:rPr>
        <w:t>(10</w:t>
      </w:r>
      <w:r w:rsidRPr="00882640">
        <w:rPr>
          <w:rFonts w:ascii="TUOS Blake" w:hAnsi="TUOS Blake"/>
        </w:rPr>
        <w:t>,000</w:t>
      </w:r>
      <w:r>
        <w:rPr>
          <w:rFonts w:ascii="TUOS Blake" w:hAnsi="TUOS Blake"/>
        </w:rPr>
        <w:t xml:space="preserve"> rpm, 1 minute)</w:t>
      </w:r>
      <w:r w:rsidRPr="00882640">
        <w:rPr>
          <w:rFonts w:ascii="TUOS Blake" w:hAnsi="TUOS Blake"/>
        </w:rPr>
        <w:t xml:space="preserve"> and the flow</w:t>
      </w:r>
      <w:r>
        <w:rPr>
          <w:rFonts w:ascii="TUOS Blake" w:hAnsi="TUOS Blake"/>
        </w:rPr>
        <w:t>-</w:t>
      </w:r>
      <w:r w:rsidRPr="00882640">
        <w:rPr>
          <w:rFonts w:ascii="TUOS Blake" w:hAnsi="TUOS Blake"/>
        </w:rPr>
        <w:t xml:space="preserve">through discarded. This was repeated with </w:t>
      </w:r>
      <w:r>
        <w:rPr>
          <w:rFonts w:ascii="TUOS Blake" w:hAnsi="TUOS Blake"/>
        </w:rPr>
        <w:t>the remaining solution</w:t>
      </w:r>
      <w:r w:rsidRPr="00882640">
        <w:rPr>
          <w:rFonts w:ascii="TUOS Blake" w:hAnsi="TUOS Blake"/>
        </w:rPr>
        <w:t xml:space="preserve">. </w:t>
      </w:r>
      <w:r>
        <w:rPr>
          <w:rFonts w:ascii="TUOS Blake" w:hAnsi="TUOS Blake"/>
        </w:rPr>
        <w:t>The column</w:t>
      </w:r>
      <w:r w:rsidRPr="00882640">
        <w:rPr>
          <w:rFonts w:ascii="TUOS Blake" w:hAnsi="TUOS Blake"/>
        </w:rPr>
        <w:t xml:space="preserve"> </w:t>
      </w:r>
      <w:r>
        <w:rPr>
          <w:rFonts w:ascii="TUOS Blake" w:hAnsi="TUOS Blake"/>
        </w:rPr>
        <w:t>was washed by addition of 400µl of Wash Solution A and</w:t>
      </w:r>
      <w:r w:rsidRPr="00882640">
        <w:rPr>
          <w:rFonts w:ascii="TUOS Blake" w:hAnsi="TUOS Blake"/>
        </w:rPr>
        <w:t xml:space="preserve"> centrifuged</w:t>
      </w:r>
      <w:r>
        <w:rPr>
          <w:rFonts w:ascii="TUOS Blake" w:hAnsi="TUOS Blake"/>
        </w:rPr>
        <w:t xml:space="preserve"> (10,000 rpm, 1 minute)</w:t>
      </w:r>
      <w:r w:rsidRPr="00882640">
        <w:rPr>
          <w:rFonts w:ascii="TUOS Blake" w:hAnsi="TUOS Blake"/>
        </w:rPr>
        <w:t xml:space="preserve"> the flow</w:t>
      </w:r>
      <w:r>
        <w:rPr>
          <w:rFonts w:ascii="TUOS Blake" w:hAnsi="TUOS Blake"/>
        </w:rPr>
        <w:t>-</w:t>
      </w:r>
      <w:r w:rsidRPr="00882640">
        <w:rPr>
          <w:rFonts w:ascii="TUOS Blake" w:hAnsi="TUOS Blake"/>
        </w:rPr>
        <w:t>through</w:t>
      </w:r>
      <w:r>
        <w:rPr>
          <w:rFonts w:ascii="TUOS Blake" w:hAnsi="TUOS Blake"/>
        </w:rPr>
        <w:t xml:space="preserve"> was</w:t>
      </w:r>
      <w:r w:rsidRPr="00882640">
        <w:rPr>
          <w:rFonts w:ascii="TUOS Blake" w:hAnsi="TUOS Blake"/>
        </w:rPr>
        <w:t xml:space="preserve"> discarded. </w:t>
      </w:r>
      <w:r>
        <w:rPr>
          <w:rFonts w:ascii="TUOS Blake" w:hAnsi="TUOS Blake"/>
        </w:rPr>
        <w:t>This wash was repeated</w:t>
      </w:r>
      <w:r w:rsidRPr="00882640">
        <w:rPr>
          <w:rFonts w:ascii="TUOS Blake" w:hAnsi="TUOS Blake"/>
        </w:rPr>
        <w:t xml:space="preserve"> for a total of 3 washes. T</w:t>
      </w:r>
      <w:r>
        <w:rPr>
          <w:rFonts w:ascii="TUOS Blake" w:hAnsi="TUOS Blake"/>
        </w:rPr>
        <w:t>he</w:t>
      </w:r>
      <w:r w:rsidRPr="00882640">
        <w:rPr>
          <w:rFonts w:ascii="TUOS Blake" w:hAnsi="TUOS Blake"/>
        </w:rPr>
        <w:t xml:space="preserve"> column was </w:t>
      </w:r>
      <w:r>
        <w:rPr>
          <w:rFonts w:ascii="TUOS Blake" w:hAnsi="TUOS Blake"/>
        </w:rPr>
        <w:t>dried by centrifugation (14,000 rpm, 3 minutes)</w:t>
      </w:r>
      <w:r w:rsidRPr="00882640">
        <w:rPr>
          <w:rFonts w:ascii="TUOS Blake" w:hAnsi="TUOS Blake"/>
        </w:rPr>
        <w:t>. The column was transferred to a</w:t>
      </w:r>
      <w:r>
        <w:rPr>
          <w:rFonts w:ascii="TUOS Blake" w:hAnsi="TUOS Blake"/>
        </w:rPr>
        <w:t xml:space="preserve"> new</w:t>
      </w:r>
      <w:r w:rsidRPr="00882640">
        <w:rPr>
          <w:rFonts w:ascii="TUOS Blake" w:hAnsi="TUOS Blake"/>
        </w:rPr>
        <w:t xml:space="preserve"> DNase/RNase free 1.5ml </w:t>
      </w:r>
      <w:r>
        <w:rPr>
          <w:rFonts w:ascii="TUOS Blake" w:hAnsi="TUOS Blake"/>
        </w:rPr>
        <w:t xml:space="preserve">Eppendorf. RNA elution was performed by addition of </w:t>
      </w:r>
      <w:r w:rsidRPr="00882640">
        <w:rPr>
          <w:rFonts w:ascii="TUOS Blake" w:hAnsi="TUOS Blake"/>
        </w:rPr>
        <w:t>100</w:t>
      </w:r>
      <w:r>
        <w:rPr>
          <w:rFonts w:ascii="TUOS Blake" w:hAnsi="TUOS Blake"/>
        </w:rPr>
        <w:t xml:space="preserve"> </w:t>
      </w:r>
      <w:r w:rsidRPr="00882640">
        <w:rPr>
          <w:rFonts w:ascii="TUOS Blake" w:hAnsi="TUOS Blake"/>
        </w:rPr>
        <w:t xml:space="preserve">µl of Elution Solution A </w:t>
      </w:r>
      <w:r>
        <w:rPr>
          <w:rFonts w:ascii="TUOS Blake" w:hAnsi="TUOS Blake"/>
        </w:rPr>
        <w:t>and</w:t>
      </w:r>
      <w:r w:rsidRPr="00882640">
        <w:rPr>
          <w:rFonts w:ascii="TUOS Blake" w:hAnsi="TUOS Blake"/>
        </w:rPr>
        <w:t xml:space="preserve"> </w:t>
      </w:r>
      <w:r>
        <w:rPr>
          <w:rFonts w:ascii="TUOS Blake" w:hAnsi="TUOS Blake"/>
        </w:rPr>
        <w:t>centrifugation</w:t>
      </w:r>
      <w:r w:rsidRPr="00882640">
        <w:rPr>
          <w:rFonts w:ascii="TUOS Blake" w:hAnsi="TUOS Blake"/>
        </w:rPr>
        <w:t xml:space="preserve"> </w:t>
      </w:r>
      <w:r>
        <w:rPr>
          <w:rFonts w:ascii="TUOS Blake" w:hAnsi="TUOS Blake"/>
        </w:rPr>
        <w:t>(2,000 rpm, 2 minutes</w:t>
      </w:r>
      <w:r w:rsidRPr="00882640">
        <w:rPr>
          <w:rFonts w:ascii="TUOS Blake" w:hAnsi="TUOS Blake"/>
        </w:rPr>
        <w:t xml:space="preserve"> followed by</w:t>
      </w:r>
      <w:r>
        <w:rPr>
          <w:rFonts w:ascii="TUOS Blake" w:hAnsi="TUOS Blake"/>
        </w:rPr>
        <w:t xml:space="preserve"> 14,000 rpm, 3 minutes)</w:t>
      </w:r>
      <w:r w:rsidRPr="00882640">
        <w:rPr>
          <w:rFonts w:ascii="TUOS Blake" w:hAnsi="TUOS Blake"/>
        </w:rPr>
        <w:t>. The</w:t>
      </w:r>
      <w:r>
        <w:rPr>
          <w:rFonts w:ascii="TUOS Blake" w:hAnsi="TUOS Blake"/>
        </w:rPr>
        <w:t xml:space="preserve"> </w:t>
      </w:r>
      <w:r w:rsidRPr="00882640">
        <w:rPr>
          <w:rFonts w:ascii="TUOS Blake" w:hAnsi="TUOS Blake"/>
        </w:rPr>
        <w:t>column</w:t>
      </w:r>
      <w:r>
        <w:rPr>
          <w:rFonts w:ascii="TUOS Blake" w:hAnsi="TUOS Blake"/>
        </w:rPr>
        <w:t xml:space="preserve"> was</w:t>
      </w:r>
      <w:r w:rsidRPr="00882640">
        <w:rPr>
          <w:rFonts w:ascii="TUOS Blake" w:hAnsi="TUOS Blake"/>
        </w:rPr>
        <w:t xml:space="preserve"> </w:t>
      </w:r>
      <w:proofErr w:type="gramStart"/>
      <w:r w:rsidRPr="00882640">
        <w:rPr>
          <w:rFonts w:ascii="TUOS Blake" w:hAnsi="TUOS Blake"/>
        </w:rPr>
        <w:t>discarded</w:t>
      </w:r>
      <w:proofErr w:type="gramEnd"/>
      <w:r w:rsidRPr="00882640">
        <w:rPr>
          <w:rFonts w:ascii="TUOS Blake" w:hAnsi="TUOS Blake"/>
        </w:rPr>
        <w:t xml:space="preserve"> </w:t>
      </w:r>
      <w:r>
        <w:rPr>
          <w:rFonts w:ascii="TUOS Blake" w:hAnsi="TUOS Blake"/>
        </w:rPr>
        <w:t xml:space="preserve">and </w:t>
      </w:r>
      <w:r w:rsidRPr="00882640">
        <w:rPr>
          <w:rFonts w:ascii="TUOS Blake" w:hAnsi="TUOS Blake"/>
        </w:rPr>
        <w:t xml:space="preserve">RNA </w:t>
      </w:r>
      <w:r>
        <w:rPr>
          <w:rFonts w:ascii="TUOS Blake" w:hAnsi="TUOS Blake"/>
        </w:rPr>
        <w:t>stored at -80ºC</w:t>
      </w:r>
      <w:r w:rsidRPr="00882640">
        <w:rPr>
          <w:rFonts w:ascii="TUOS Blake" w:hAnsi="TUOS Blake"/>
        </w:rPr>
        <w:t xml:space="preserve">. </w:t>
      </w:r>
    </w:p>
    <w:p w14:paraId="2504D74E" w14:textId="77777777" w:rsidR="009125D5" w:rsidRPr="0091002D" w:rsidRDefault="009125D5" w:rsidP="009125D5">
      <w:pPr>
        <w:spacing w:line="480" w:lineRule="auto"/>
        <w:rPr>
          <w:rFonts w:eastAsia="TUOS Blake" w:hAnsi="TUOS Blake" w:cs="TUOS Blake"/>
        </w:rPr>
      </w:pPr>
    </w:p>
    <w:p w14:paraId="45C4827C" w14:textId="77777777" w:rsidR="009125D5" w:rsidRDefault="009125D5" w:rsidP="009125D5">
      <w:pPr>
        <w:pStyle w:val="Heading2"/>
        <w:numPr>
          <w:ilvl w:val="2"/>
          <w:numId w:val="7"/>
        </w:numPr>
        <w:spacing w:before="120" w:after="120" w:line="480" w:lineRule="auto"/>
      </w:pPr>
      <w:bookmarkStart w:id="108" w:name="_Toc246745622"/>
      <w:bookmarkStart w:id="109" w:name="_Toc297817825"/>
      <w:bookmarkStart w:id="110" w:name="_Toc297818250"/>
      <w:bookmarkStart w:id="111" w:name="_Toc297818559"/>
      <w:bookmarkStart w:id="112" w:name="_Ref300242003"/>
      <w:bookmarkStart w:id="113" w:name="_Toc60773893"/>
      <w:r>
        <w:t>Concentration of Plasma RNA</w:t>
      </w:r>
      <w:bookmarkEnd w:id="108"/>
      <w:bookmarkEnd w:id="109"/>
      <w:bookmarkEnd w:id="110"/>
      <w:bookmarkEnd w:id="111"/>
      <w:bookmarkEnd w:id="112"/>
      <w:bookmarkEnd w:id="113"/>
    </w:p>
    <w:p w14:paraId="1ECE9CE6" w14:textId="77777777" w:rsidR="009125D5" w:rsidRPr="00045EEF" w:rsidRDefault="009125D5" w:rsidP="009125D5">
      <w:pPr>
        <w:pStyle w:val="BodyText1"/>
        <w:numPr>
          <w:ilvl w:val="0"/>
          <w:numId w:val="0"/>
        </w:numPr>
        <w:spacing w:line="480" w:lineRule="auto"/>
        <w:jc w:val="both"/>
        <w:rPr>
          <w:rFonts w:ascii="TUOS Blake" w:hAnsi="TUOS Blake"/>
        </w:rPr>
      </w:pPr>
      <w:r w:rsidRPr="00882640">
        <w:rPr>
          <w:rFonts w:ascii="TUOS Blake" w:hAnsi="TUOS Blake"/>
        </w:rPr>
        <w:t>The initial 100</w:t>
      </w:r>
      <w:r>
        <w:rPr>
          <w:rFonts w:ascii="TUOS Blake" w:hAnsi="TUOS Blake"/>
        </w:rPr>
        <w:t xml:space="preserve"> </w:t>
      </w:r>
      <w:r w:rsidRPr="00882640">
        <w:rPr>
          <w:rFonts w:ascii="TUOS Blake" w:hAnsi="TUOS Blake"/>
        </w:rPr>
        <w:t>µl elu</w:t>
      </w:r>
      <w:r>
        <w:rPr>
          <w:rFonts w:ascii="TUOS Blake" w:hAnsi="TUOS Blake"/>
        </w:rPr>
        <w:t>a</w:t>
      </w:r>
      <w:r w:rsidRPr="00882640">
        <w:rPr>
          <w:rFonts w:ascii="TUOS Blake" w:hAnsi="TUOS Blake"/>
        </w:rPr>
        <w:t>te of RNA was concentrated to 11.5</w:t>
      </w:r>
      <w:r>
        <w:rPr>
          <w:rFonts w:ascii="TUOS Blake" w:hAnsi="TUOS Blake"/>
        </w:rPr>
        <w:t xml:space="preserve"> </w:t>
      </w:r>
      <w:r w:rsidRPr="00882640">
        <w:rPr>
          <w:rFonts w:ascii="TUOS Blake" w:hAnsi="TUOS Blake"/>
        </w:rPr>
        <w:t xml:space="preserve">µl </w:t>
      </w:r>
      <w:r>
        <w:rPr>
          <w:rFonts w:ascii="TUOS Blake" w:hAnsi="TUOS Blake"/>
        </w:rPr>
        <w:t>with</w:t>
      </w:r>
      <w:r w:rsidRPr="00882640">
        <w:rPr>
          <w:rFonts w:ascii="TUOS Blake" w:hAnsi="TUOS Blake"/>
        </w:rPr>
        <w:t xml:space="preserve"> the </w:t>
      </w:r>
      <w:r>
        <w:rPr>
          <w:rFonts w:ascii="TUOS Blake" w:hAnsi="TUOS Blake"/>
        </w:rPr>
        <w:t>RNA Clean and Concentrate</w:t>
      </w:r>
      <w:r w:rsidRPr="00882640">
        <w:rPr>
          <w:rFonts w:ascii="TUOS Blake" w:hAnsi="TUOS Blake"/>
        </w:rPr>
        <w:t>-5 kit</w:t>
      </w:r>
      <w:r>
        <w:rPr>
          <w:rFonts w:ascii="TUOS Blake" w:hAnsi="TUOS Blake"/>
        </w:rPr>
        <w:t xml:space="preserve"> (</w:t>
      </w:r>
      <w:proofErr w:type="spellStart"/>
      <w:r>
        <w:rPr>
          <w:rFonts w:ascii="TUOS Blake" w:hAnsi="TUOS Blake"/>
        </w:rPr>
        <w:t>Zymo</w:t>
      </w:r>
      <w:proofErr w:type="spellEnd"/>
      <w:r>
        <w:rPr>
          <w:rFonts w:ascii="TUOS Blake" w:hAnsi="TUOS Blake"/>
        </w:rPr>
        <w:t xml:space="preserve"> Research Cop, U.S.A.)</w:t>
      </w:r>
      <w:r w:rsidRPr="00882640">
        <w:rPr>
          <w:rFonts w:ascii="TUOS Blake" w:hAnsi="TUOS Blake"/>
        </w:rPr>
        <w:t>. 200</w:t>
      </w:r>
      <w:r>
        <w:rPr>
          <w:rFonts w:ascii="TUOS Blake" w:hAnsi="TUOS Blake"/>
        </w:rPr>
        <w:t xml:space="preserve"> </w:t>
      </w:r>
      <w:r w:rsidRPr="00882640">
        <w:rPr>
          <w:rFonts w:ascii="TUOS Blake" w:hAnsi="TUOS Blake"/>
        </w:rPr>
        <w:t>µl of RNA Binding Buffer was added to the 100</w:t>
      </w:r>
      <w:r>
        <w:rPr>
          <w:rFonts w:ascii="TUOS Blake" w:hAnsi="TUOS Blake"/>
        </w:rPr>
        <w:t xml:space="preserve"> </w:t>
      </w:r>
      <w:r w:rsidRPr="00882640">
        <w:rPr>
          <w:rFonts w:ascii="TUOS Blake" w:hAnsi="TUOS Blake"/>
        </w:rPr>
        <w:t>µl elu</w:t>
      </w:r>
      <w:r>
        <w:rPr>
          <w:rFonts w:ascii="TUOS Blake" w:hAnsi="TUOS Blake"/>
        </w:rPr>
        <w:t>a</w:t>
      </w:r>
      <w:r w:rsidRPr="00882640">
        <w:rPr>
          <w:rFonts w:ascii="TUOS Blake" w:hAnsi="TUOS Blake"/>
        </w:rPr>
        <w:t xml:space="preserve">te and </w:t>
      </w:r>
      <w:r>
        <w:rPr>
          <w:rFonts w:ascii="TUOS Blake" w:hAnsi="TUOS Blake"/>
        </w:rPr>
        <w:t>mixed by vortex</w:t>
      </w:r>
      <w:r w:rsidRPr="00882640">
        <w:rPr>
          <w:rFonts w:ascii="TUOS Blake" w:hAnsi="TUOS Blake"/>
        </w:rPr>
        <w:t xml:space="preserve">. </w:t>
      </w:r>
      <w:r>
        <w:rPr>
          <w:rFonts w:ascii="TUOS Blake" w:hAnsi="TUOS Blake"/>
        </w:rPr>
        <w:t xml:space="preserve">300µl of 100% ethanol was added, mixed by pipetting </w:t>
      </w:r>
      <w:r w:rsidRPr="00882640">
        <w:rPr>
          <w:rFonts w:ascii="TUOS Blake" w:hAnsi="TUOS Blake"/>
        </w:rPr>
        <w:t xml:space="preserve">and </w:t>
      </w:r>
      <w:r>
        <w:rPr>
          <w:rFonts w:ascii="TUOS Blake" w:hAnsi="TUOS Blake"/>
        </w:rPr>
        <w:t xml:space="preserve">transferred to the spin </w:t>
      </w:r>
      <w:r w:rsidRPr="00882640">
        <w:rPr>
          <w:rFonts w:ascii="TUOS Blake" w:hAnsi="TUOS Blake"/>
        </w:rPr>
        <w:t>column</w:t>
      </w:r>
      <w:r>
        <w:rPr>
          <w:rFonts w:ascii="TUOS Blake" w:hAnsi="TUOS Blake"/>
        </w:rPr>
        <w:t xml:space="preserve"> and</w:t>
      </w:r>
      <w:r w:rsidRPr="00882640">
        <w:rPr>
          <w:rFonts w:ascii="TUOS Blake" w:hAnsi="TUOS Blake"/>
        </w:rPr>
        <w:t xml:space="preserve"> centrifuged</w:t>
      </w:r>
      <w:r>
        <w:rPr>
          <w:rFonts w:ascii="TUOS Blake" w:hAnsi="TUOS Blake"/>
        </w:rPr>
        <w:t xml:space="preserve"> (10,000 rpm, 30 seconds)</w:t>
      </w:r>
      <w:r w:rsidRPr="00882640">
        <w:rPr>
          <w:rFonts w:ascii="TUOS Blake" w:hAnsi="TUOS Blake"/>
        </w:rPr>
        <w:t>. 400</w:t>
      </w:r>
      <w:r>
        <w:rPr>
          <w:rFonts w:ascii="TUOS Blake" w:hAnsi="TUOS Blake"/>
        </w:rPr>
        <w:t xml:space="preserve"> </w:t>
      </w:r>
      <w:r w:rsidRPr="00882640">
        <w:rPr>
          <w:rFonts w:ascii="TUOS Blake" w:hAnsi="TUOS Blake"/>
        </w:rPr>
        <w:t xml:space="preserve">µl of RNA Prep Buffer was added </w:t>
      </w:r>
      <w:r>
        <w:rPr>
          <w:rFonts w:ascii="TUOS Blake" w:hAnsi="TUOS Blake"/>
        </w:rPr>
        <w:t>a</w:t>
      </w:r>
      <w:r w:rsidRPr="00882640">
        <w:rPr>
          <w:rFonts w:ascii="TUOS Blake" w:hAnsi="TUOS Blake"/>
        </w:rPr>
        <w:t xml:space="preserve">nd centrifuged </w:t>
      </w:r>
      <w:r>
        <w:rPr>
          <w:rFonts w:ascii="TUOS Blake" w:hAnsi="TUOS Blake"/>
        </w:rPr>
        <w:t>(10,000 rpm, 30 seconds)</w:t>
      </w:r>
      <w:r w:rsidRPr="00882640">
        <w:rPr>
          <w:rFonts w:ascii="TUOS Blake" w:hAnsi="TUOS Blake"/>
        </w:rPr>
        <w:t xml:space="preserve">. The column was then washed twice </w:t>
      </w:r>
      <w:r>
        <w:rPr>
          <w:rFonts w:ascii="TUOS Blake" w:hAnsi="TUOS Blake"/>
        </w:rPr>
        <w:t>by addition of</w:t>
      </w:r>
      <w:r w:rsidRPr="00882640">
        <w:rPr>
          <w:rFonts w:ascii="TUOS Blake" w:hAnsi="TUOS Blake"/>
        </w:rPr>
        <w:t xml:space="preserve"> 700</w:t>
      </w:r>
      <w:r>
        <w:rPr>
          <w:rFonts w:ascii="TUOS Blake" w:hAnsi="TUOS Blake"/>
        </w:rPr>
        <w:t xml:space="preserve"> </w:t>
      </w:r>
      <w:r w:rsidRPr="00882640">
        <w:rPr>
          <w:rFonts w:ascii="TUOS Blake" w:hAnsi="TUOS Blake"/>
        </w:rPr>
        <w:t xml:space="preserve">µl and </w:t>
      </w:r>
      <w:r>
        <w:rPr>
          <w:rFonts w:ascii="TUOS Blake" w:hAnsi="TUOS Blake"/>
        </w:rPr>
        <w:t>centrifugation</w:t>
      </w:r>
      <w:r w:rsidRPr="00882640">
        <w:rPr>
          <w:rFonts w:ascii="TUOS Blake" w:hAnsi="TUOS Blake"/>
        </w:rPr>
        <w:t xml:space="preserve"> </w:t>
      </w:r>
      <w:r>
        <w:rPr>
          <w:rFonts w:ascii="TUOS Blake" w:hAnsi="TUOS Blake"/>
        </w:rPr>
        <w:t>(10,000 rpm, 30 seconds)</w:t>
      </w:r>
      <w:r w:rsidRPr="00882640">
        <w:rPr>
          <w:rFonts w:ascii="TUOS Blake" w:hAnsi="TUOS Blake"/>
        </w:rPr>
        <w:t>. Flow</w:t>
      </w:r>
      <w:r>
        <w:rPr>
          <w:rFonts w:ascii="TUOS Blake" w:hAnsi="TUOS Blake"/>
        </w:rPr>
        <w:t>-</w:t>
      </w:r>
      <w:r w:rsidRPr="00882640">
        <w:rPr>
          <w:rFonts w:ascii="TUOS Blake" w:hAnsi="TUOS Blake"/>
        </w:rPr>
        <w:t>through was discarded</w:t>
      </w:r>
      <w:r>
        <w:rPr>
          <w:rFonts w:ascii="TUOS Blake" w:hAnsi="TUOS Blake"/>
        </w:rPr>
        <w:t>,</w:t>
      </w:r>
      <w:r w:rsidRPr="00882640">
        <w:rPr>
          <w:rFonts w:ascii="TUOS Blake" w:hAnsi="TUOS Blake"/>
        </w:rPr>
        <w:t xml:space="preserve"> </w:t>
      </w:r>
      <w:r>
        <w:rPr>
          <w:rFonts w:ascii="TUOS Blake" w:hAnsi="TUOS Blake"/>
        </w:rPr>
        <w:t>a</w:t>
      </w:r>
      <w:r w:rsidRPr="00882640">
        <w:rPr>
          <w:rFonts w:ascii="TUOS Blake" w:hAnsi="TUOS Blake"/>
        </w:rPr>
        <w:t xml:space="preserve"> </w:t>
      </w:r>
      <w:r>
        <w:rPr>
          <w:rFonts w:ascii="TUOS Blake" w:hAnsi="TUOS Blake"/>
        </w:rPr>
        <w:t>final</w:t>
      </w:r>
      <w:r w:rsidRPr="00882640">
        <w:rPr>
          <w:rFonts w:ascii="TUOS Blake" w:hAnsi="TUOS Blake"/>
        </w:rPr>
        <w:t xml:space="preserve"> wash </w:t>
      </w:r>
      <w:r>
        <w:rPr>
          <w:rFonts w:ascii="TUOS Blake" w:hAnsi="TUOS Blake"/>
        </w:rPr>
        <w:t>was performed with</w:t>
      </w:r>
      <w:r w:rsidRPr="00882640">
        <w:rPr>
          <w:rFonts w:ascii="TUOS Blake" w:hAnsi="TUOS Blake"/>
        </w:rPr>
        <w:t xml:space="preserve"> 400</w:t>
      </w:r>
      <w:r>
        <w:rPr>
          <w:rFonts w:ascii="TUOS Blake" w:hAnsi="TUOS Blake"/>
        </w:rPr>
        <w:t xml:space="preserve"> </w:t>
      </w:r>
      <w:r w:rsidRPr="00882640">
        <w:rPr>
          <w:rFonts w:ascii="TUOS Blake" w:hAnsi="TUOS Blake"/>
        </w:rPr>
        <w:t>µl of wash buffer</w:t>
      </w:r>
      <w:r>
        <w:rPr>
          <w:rFonts w:ascii="TUOS Blake" w:hAnsi="TUOS Blake"/>
        </w:rPr>
        <w:t xml:space="preserve"> followed by centrifugation (10,000 rpm, 30 seconds)</w:t>
      </w:r>
      <w:r w:rsidRPr="00882640">
        <w:rPr>
          <w:rFonts w:ascii="TUOS Blake" w:hAnsi="TUOS Blake"/>
        </w:rPr>
        <w:t xml:space="preserve">. </w:t>
      </w:r>
      <w:r>
        <w:rPr>
          <w:rFonts w:ascii="TUOS Blake" w:hAnsi="TUOS Blake"/>
        </w:rPr>
        <w:t xml:space="preserve">The </w:t>
      </w:r>
      <w:r w:rsidRPr="00882640">
        <w:rPr>
          <w:rFonts w:ascii="TUOS Blake" w:hAnsi="TUOS Blake"/>
        </w:rPr>
        <w:t xml:space="preserve">column was </w:t>
      </w:r>
      <w:r>
        <w:rPr>
          <w:rFonts w:ascii="TUOS Blake" w:hAnsi="TUOS Blake"/>
        </w:rPr>
        <w:t>dried by centrifugation</w:t>
      </w:r>
      <w:r w:rsidRPr="00882640">
        <w:rPr>
          <w:rFonts w:ascii="TUOS Blake" w:hAnsi="TUOS Blake"/>
        </w:rPr>
        <w:t xml:space="preserve"> </w:t>
      </w:r>
      <w:r>
        <w:rPr>
          <w:rFonts w:ascii="TUOS Blake" w:hAnsi="TUOS Blake"/>
        </w:rPr>
        <w:t>(10,000 rpm, 1 minute)</w:t>
      </w:r>
      <w:r w:rsidRPr="00882640">
        <w:rPr>
          <w:rFonts w:ascii="TUOS Blake" w:hAnsi="TUOS Blake"/>
        </w:rPr>
        <w:t>. 11.5</w:t>
      </w:r>
      <w:r>
        <w:rPr>
          <w:rFonts w:ascii="TUOS Blake" w:hAnsi="TUOS Blake"/>
        </w:rPr>
        <w:t xml:space="preserve"> </w:t>
      </w:r>
      <w:r w:rsidRPr="00882640">
        <w:rPr>
          <w:rFonts w:ascii="TUOS Blake" w:hAnsi="TUOS Blake"/>
        </w:rPr>
        <w:t>µl of DNase/RNase free water was then added</w:t>
      </w:r>
      <w:r>
        <w:rPr>
          <w:rFonts w:ascii="TUOS Blake" w:hAnsi="TUOS Blake"/>
        </w:rPr>
        <w:t xml:space="preserve"> directly</w:t>
      </w:r>
      <w:r w:rsidRPr="00882640">
        <w:rPr>
          <w:rFonts w:ascii="TUOS Blake" w:hAnsi="TUOS Blake"/>
        </w:rPr>
        <w:t xml:space="preserve"> to the </w:t>
      </w:r>
      <w:r>
        <w:rPr>
          <w:rFonts w:ascii="TUOS Blake" w:hAnsi="TUOS Blake"/>
        </w:rPr>
        <w:t>membrane</w:t>
      </w:r>
      <w:r w:rsidRPr="00882640">
        <w:rPr>
          <w:rFonts w:ascii="TUOS Blake" w:hAnsi="TUOS Blake"/>
        </w:rPr>
        <w:t xml:space="preserve"> and eluted by centrifugation </w:t>
      </w:r>
      <w:r>
        <w:rPr>
          <w:rFonts w:ascii="TUOS Blake" w:hAnsi="TUOS Blake"/>
        </w:rPr>
        <w:t>(10,000 rpm, 1 minute)</w:t>
      </w:r>
      <w:r w:rsidRPr="00882640">
        <w:rPr>
          <w:rFonts w:ascii="TUOS Blake" w:hAnsi="TUOS Blake"/>
        </w:rPr>
        <w:t>. The</w:t>
      </w:r>
      <w:r>
        <w:rPr>
          <w:rFonts w:ascii="TUOS Blake" w:hAnsi="TUOS Blake"/>
        </w:rPr>
        <w:t xml:space="preserve"> </w:t>
      </w:r>
      <w:r w:rsidRPr="00882640">
        <w:rPr>
          <w:rFonts w:ascii="TUOS Blake" w:hAnsi="TUOS Blake"/>
        </w:rPr>
        <w:t>column</w:t>
      </w:r>
      <w:r>
        <w:rPr>
          <w:rFonts w:ascii="TUOS Blake" w:hAnsi="TUOS Blake"/>
        </w:rPr>
        <w:t xml:space="preserve"> was</w:t>
      </w:r>
      <w:r w:rsidRPr="00882640">
        <w:rPr>
          <w:rFonts w:ascii="TUOS Blake" w:hAnsi="TUOS Blake"/>
        </w:rPr>
        <w:t xml:space="preserve"> </w:t>
      </w:r>
      <w:proofErr w:type="gramStart"/>
      <w:r w:rsidRPr="00882640">
        <w:rPr>
          <w:rFonts w:ascii="TUOS Blake" w:hAnsi="TUOS Blake"/>
        </w:rPr>
        <w:t>discarded</w:t>
      </w:r>
      <w:proofErr w:type="gramEnd"/>
      <w:r w:rsidRPr="00882640">
        <w:rPr>
          <w:rFonts w:ascii="TUOS Blake" w:hAnsi="TUOS Blake"/>
        </w:rPr>
        <w:t xml:space="preserve"> </w:t>
      </w:r>
      <w:r>
        <w:rPr>
          <w:rFonts w:ascii="TUOS Blake" w:hAnsi="TUOS Blake"/>
        </w:rPr>
        <w:t xml:space="preserve">and </w:t>
      </w:r>
      <w:r w:rsidRPr="00882640">
        <w:rPr>
          <w:rFonts w:ascii="TUOS Blake" w:hAnsi="TUOS Blake"/>
        </w:rPr>
        <w:t xml:space="preserve">RNA </w:t>
      </w:r>
      <w:r>
        <w:rPr>
          <w:rFonts w:ascii="TUOS Blake" w:hAnsi="TUOS Blake"/>
        </w:rPr>
        <w:t>stored at -80ºC.</w:t>
      </w:r>
    </w:p>
    <w:p w14:paraId="7765F2D3" w14:textId="77777777" w:rsidR="009125D5" w:rsidRDefault="009125D5" w:rsidP="009125D5">
      <w:pPr>
        <w:pStyle w:val="Heading3"/>
        <w:numPr>
          <w:ilvl w:val="2"/>
          <w:numId w:val="7"/>
        </w:numPr>
        <w:spacing w:before="80" w:after="80" w:line="480" w:lineRule="auto"/>
      </w:pPr>
      <w:bookmarkStart w:id="114" w:name="_Ref357619696"/>
      <w:bookmarkStart w:id="115" w:name="_Toc60773894"/>
      <w:r w:rsidRPr="00E5229C">
        <w:lastRenderedPageBreak/>
        <w:t>A</w:t>
      </w:r>
      <w:r>
        <w:t>ssessment of RNA Quality by Nanodrop</w:t>
      </w:r>
      <w:bookmarkEnd w:id="114"/>
      <w:bookmarkEnd w:id="115"/>
    </w:p>
    <w:p w14:paraId="1D218F9A" w14:textId="7A24AA9B" w:rsidR="009125D5" w:rsidRDefault="009125D5" w:rsidP="009125D5">
      <w:pPr>
        <w:pStyle w:val="BodyText1"/>
        <w:numPr>
          <w:ilvl w:val="0"/>
          <w:numId w:val="0"/>
        </w:numPr>
        <w:spacing w:line="480" w:lineRule="auto"/>
        <w:jc w:val="both"/>
        <w:rPr>
          <w:rFonts w:ascii="TUOS Blake" w:hAnsi="TUOS Blake"/>
        </w:rPr>
      </w:pPr>
      <w:r w:rsidRPr="00882640">
        <w:rPr>
          <w:rFonts w:ascii="TUOS Blake" w:hAnsi="TUOS Blake"/>
        </w:rPr>
        <w:t xml:space="preserve">RNA quality was measured by spectrophotometry (Nanodrop 1000, Thermo Scientific, UK). </w:t>
      </w:r>
      <w:r>
        <w:rPr>
          <w:rFonts w:ascii="TUOS Blake" w:hAnsi="TUOS Blake"/>
        </w:rPr>
        <w:t xml:space="preserve">The Nanodrop was blanked with 1.5 µl of </w:t>
      </w:r>
      <w:r w:rsidRPr="00882640">
        <w:rPr>
          <w:rFonts w:ascii="TUOS Blake" w:hAnsi="TUOS Blake"/>
        </w:rPr>
        <w:t>DNase/RNase free water</w:t>
      </w:r>
      <w:r>
        <w:rPr>
          <w:rFonts w:ascii="TUOS Blake" w:hAnsi="TUOS Blake"/>
        </w:rPr>
        <w:t xml:space="preserve"> and 1.5 µl of concentrated plasma or whole blood RNA </w:t>
      </w:r>
      <w:r w:rsidR="00C4467D">
        <w:rPr>
          <w:rFonts w:ascii="TUOS Blake" w:hAnsi="TUOS Blake"/>
        </w:rPr>
        <w:t xml:space="preserve">eluate </w:t>
      </w:r>
      <w:r>
        <w:rPr>
          <w:rFonts w:ascii="TUOS Blake" w:hAnsi="TUOS Blake"/>
        </w:rPr>
        <w:t xml:space="preserve">was added. Whole blood RNA concentration was </w:t>
      </w:r>
      <w:proofErr w:type="gramStart"/>
      <w:r>
        <w:rPr>
          <w:rFonts w:ascii="TUOS Blake" w:hAnsi="TUOS Blake"/>
        </w:rPr>
        <w:t>recorded</w:t>
      </w:r>
      <w:proofErr w:type="gramEnd"/>
      <w:r>
        <w:rPr>
          <w:rFonts w:ascii="TUOS Blake" w:hAnsi="TUOS Blake"/>
        </w:rPr>
        <w:t xml:space="preserve"> and quality assessed by 260/230 and 260/280 ratios. In </w:t>
      </w:r>
      <w:r w:rsidR="00C4467D">
        <w:rPr>
          <w:rFonts w:ascii="TUOS Blake" w:hAnsi="TUOS Blake"/>
        </w:rPr>
        <w:t>general,</w:t>
      </w:r>
      <w:r>
        <w:rPr>
          <w:rFonts w:ascii="TUOS Blake" w:hAnsi="TUOS Blake"/>
        </w:rPr>
        <w:t xml:space="preserve"> pure RNA has both 260 ratios at 2.0, however, samples within 1.8-2.2 can be considered to be high quality. It can be seen from </w:t>
      </w:r>
      <w:r>
        <w:rPr>
          <w:rFonts w:ascii="TUOS Blake" w:hAnsi="TUOS Blake"/>
        </w:rPr>
        <w:fldChar w:fldCharType="begin"/>
      </w:r>
      <w:r>
        <w:rPr>
          <w:rFonts w:ascii="TUOS Blake" w:hAnsi="TUOS Blake"/>
        </w:rPr>
        <w:instrText xml:space="preserve"> REF _Ref357692439 \h </w:instrText>
      </w:r>
      <w:r>
        <w:rPr>
          <w:rFonts w:ascii="TUOS Blake" w:hAnsi="TUOS Blake"/>
        </w:rPr>
      </w:r>
      <w:r>
        <w:rPr>
          <w:rFonts w:ascii="TUOS Blake" w:hAnsi="TUOS Blake"/>
        </w:rPr>
        <w:fldChar w:fldCharType="separate"/>
      </w:r>
      <w:r w:rsidR="00885DE4">
        <w:t xml:space="preserve">Figure </w:t>
      </w:r>
      <w:r w:rsidR="00885DE4">
        <w:rPr>
          <w:noProof/>
        </w:rPr>
        <w:t>2</w:t>
      </w:r>
      <w:r w:rsidR="00885DE4">
        <w:noBreakHyphen/>
      </w:r>
      <w:r w:rsidR="00885DE4">
        <w:rPr>
          <w:noProof/>
        </w:rPr>
        <w:t>1</w:t>
      </w:r>
      <w:r>
        <w:rPr>
          <w:rFonts w:ascii="TUOS Blake" w:hAnsi="TUOS Blake"/>
        </w:rPr>
        <w:fldChar w:fldCharType="end"/>
      </w:r>
      <w:r>
        <w:rPr>
          <w:rFonts w:ascii="TUOS Blake" w:hAnsi="TUOS Blake"/>
        </w:rPr>
        <w:t xml:space="preserve"> that the majority of samples fall within accepted quality ranges as the 260/280 is the most important of the two metrics when considering downstream applications, </w:t>
      </w:r>
      <w:r w:rsidR="00671957">
        <w:rPr>
          <w:rFonts w:ascii="TUOS Blake" w:hAnsi="TUOS Blake"/>
        </w:rPr>
        <w:t>as this is a measure of purity and higher numbers show that the samples have little contamination with proteins or phenols</w:t>
      </w:r>
      <w:r>
        <w:rPr>
          <w:rFonts w:ascii="TUOS Blake" w:hAnsi="TUOS Blake"/>
        </w:rPr>
        <w:t>, the 3 samples with 260/230 ratios above 2.2 are not of concern</w:t>
      </w:r>
      <w:r w:rsidR="00671957">
        <w:rPr>
          <w:rFonts w:ascii="TUOS Blake" w:hAnsi="TUOS Blake"/>
        </w:rPr>
        <w:t xml:space="preserve"> as this is commonly accepted to read above the 260/280 ratio and low numbers indicate contamination with carbohydrates</w:t>
      </w:r>
      <w:r>
        <w:rPr>
          <w:rFonts w:ascii="TUOS Blake" w:hAnsi="TUOS Blake"/>
        </w:rPr>
        <w:t xml:space="preserve">. </w:t>
      </w:r>
    </w:p>
    <w:p w14:paraId="2B8EBFAB" w14:textId="365BF1ED" w:rsidR="009125D5" w:rsidRDefault="009125D5" w:rsidP="009125D5">
      <w:pPr>
        <w:pStyle w:val="BodyText1"/>
        <w:numPr>
          <w:ilvl w:val="0"/>
          <w:numId w:val="0"/>
        </w:numPr>
        <w:spacing w:line="480" w:lineRule="auto"/>
        <w:jc w:val="both"/>
        <w:rPr>
          <w:rFonts w:ascii="TUOS Blake" w:hAnsi="TUOS Blake"/>
        </w:rPr>
      </w:pPr>
      <w:r>
        <w:rPr>
          <w:rFonts w:ascii="TUOS Blake" w:hAnsi="TUOS Blake"/>
          <w:noProof/>
        </w:rPr>
        <w:drawing>
          <wp:inline distT="0" distB="0" distL="0" distR="0" wp14:anchorId="7A7B23A1" wp14:editId="6112DB49">
            <wp:extent cx="5719445" cy="2608991"/>
            <wp:effectExtent l="0" t="0" r="0" b="7620"/>
            <wp:docPr id="11" name="Picture 11" descr="Macintosh HD:Users:jamesiremonger:Dropbox:MPhil:Thesis:R:Graphs:Tempus Nanodrop 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mesiremonger:Dropbox:MPhil:Thesis:R:Graphs:Tempus Nanodrop QC.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020" b="1"/>
                    <a:stretch/>
                  </pic:blipFill>
                  <pic:spPr bwMode="auto">
                    <a:xfrm>
                      <a:off x="0" y="0"/>
                      <a:ext cx="5719445" cy="260899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E5BC9DB" w14:textId="66C775DF" w:rsidR="009125D5" w:rsidRDefault="009125D5" w:rsidP="009125D5">
      <w:pPr>
        <w:pStyle w:val="Caption"/>
      </w:pPr>
      <w:bookmarkStart w:id="116" w:name="_Ref357692439"/>
      <w:bookmarkStart w:id="117" w:name="_Toc60597199"/>
      <w:r>
        <w:t xml:space="preserve">Figure </w:t>
      </w:r>
      <w:r w:rsidR="00864CF4">
        <w:fldChar w:fldCharType="begin"/>
      </w:r>
      <w:r w:rsidR="00864CF4">
        <w:instrText xml:space="preserve"> STYLEREF 1 \s </w:instrText>
      </w:r>
      <w:r w:rsidR="00864CF4">
        <w:fldChar w:fldCharType="separate"/>
      </w:r>
      <w:r w:rsidR="00885DE4">
        <w:rPr>
          <w:noProof/>
        </w:rPr>
        <w:t>2</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1</w:t>
      </w:r>
      <w:r w:rsidR="00864CF4">
        <w:fldChar w:fldCharType="end"/>
      </w:r>
      <w:bookmarkEnd w:id="116"/>
      <w:r>
        <w:t xml:space="preserve"> Metrics determined from Nanodrop data A) RNA concentration B) 260/280 ratio B) C)260/230 ratio</w:t>
      </w:r>
      <w:bookmarkEnd w:id="117"/>
    </w:p>
    <w:p w14:paraId="425B9C04" w14:textId="468CDB50" w:rsidR="009125D5" w:rsidRDefault="009125D5" w:rsidP="009125D5">
      <w:pPr>
        <w:pStyle w:val="BodyText1"/>
        <w:numPr>
          <w:ilvl w:val="0"/>
          <w:numId w:val="0"/>
        </w:numPr>
        <w:spacing w:line="480" w:lineRule="auto"/>
        <w:jc w:val="both"/>
        <w:rPr>
          <w:rFonts w:ascii="TUOS Blake" w:hAnsi="TUOS Blake"/>
        </w:rPr>
      </w:pPr>
      <w:r>
        <w:rPr>
          <w:rFonts w:ascii="TUOS Blake" w:hAnsi="TUOS Blake"/>
        </w:rPr>
        <w:lastRenderedPageBreak/>
        <w:t xml:space="preserve">The concentration of </w:t>
      </w:r>
      <w:r w:rsidRPr="00882640">
        <w:rPr>
          <w:rFonts w:ascii="TUOS Blake" w:hAnsi="TUOS Blake"/>
        </w:rPr>
        <w:t>RNA</w:t>
      </w:r>
      <w:r>
        <w:rPr>
          <w:rFonts w:ascii="TUOS Blake" w:hAnsi="TUOS Blake"/>
        </w:rPr>
        <w:t xml:space="preserve"> from plasma is undetectable by absorbance spectrophotometry. However, during initial experiments it was noticed that the majority of samples had a characteristic curve where a high absorbance would quickly drop close to baseline, arrays from these samples did not fail. A portion of samples had absorbance </w:t>
      </w:r>
      <w:proofErr w:type="spellStart"/>
      <w:r>
        <w:rPr>
          <w:rFonts w:ascii="TUOS Blake" w:hAnsi="TUOS Blake"/>
        </w:rPr>
        <w:t>spectras</w:t>
      </w:r>
      <w:proofErr w:type="spellEnd"/>
      <w:r>
        <w:rPr>
          <w:rFonts w:ascii="TUOS Blake" w:hAnsi="TUOS Blake"/>
        </w:rPr>
        <w:t xml:space="preserve"> with varying degrees of slope; these samples did not always have successful arrays. These slopes potentially indicating the presence of impurities, samples with a ‘high slope’ were highly likely to fail and samples with a ‘low slope’ were less likely. To retain more samples for testing only ‘high slope’ samples were removed from further testing. </w:t>
      </w:r>
      <w:r w:rsidRPr="00882640">
        <w:rPr>
          <w:rFonts w:ascii="TUOS Blake" w:hAnsi="TUOS Blake"/>
        </w:rPr>
        <w:t xml:space="preserve">Examples </w:t>
      </w:r>
      <w:r>
        <w:rPr>
          <w:rFonts w:ascii="TUOS Blake" w:hAnsi="TUOS Blake"/>
        </w:rPr>
        <w:t>of these traces</w:t>
      </w:r>
      <w:r w:rsidRPr="00882640">
        <w:rPr>
          <w:rFonts w:ascii="TUOS Blake" w:hAnsi="TUOS Blake"/>
        </w:rPr>
        <w:t xml:space="preserve"> are shown in </w:t>
      </w:r>
      <w:r>
        <w:rPr>
          <w:rFonts w:ascii="TUOS Blake" w:hAnsi="TUOS Blake"/>
        </w:rPr>
        <w:fldChar w:fldCharType="begin"/>
      </w:r>
      <w:r>
        <w:rPr>
          <w:rFonts w:ascii="TUOS Blake" w:hAnsi="TUOS Blake"/>
        </w:rPr>
        <w:instrText xml:space="preserve"> REF _Ref357619719 \h </w:instrText>
      </w:r>
      <w:r>
        <w:rPr>
          <w:rFonts w:ascii="TUOS Blake" w:hAnsi="TUOS Blake"/>
        </w:rPr>
      </w:r>
      <w:r>
        <w:rPr>
          <w:rFonts w:ascii="TUOS Blake" w:hAnsi="TUOS Blake"/>
        </w:rPr>
        <w:fldChar w:fldCharType="separate"/>
      </w:r>
      <w:r w:rsidR="00885DE4">
        <w:t xml:space="preserve">Figure </w:t>
      </w:r>
      <w:r w:rsidR="00885DE4">
        <w:rPr>
          <w:noProof/>
        </w:rPr>
        <w:t>2</w:t>
      </w:r>
      <w:r w:rsidR="00885DE4">
        <w:noBreakHyphen/>
      </w:r>
      <w:r w:rsidR="00885DE4">
        <w:rPr>
          <w:noProof/>
        </w:rPr>
        <w:t>2</w:t>
      </w:r>
      <w:r>
        <w:rPr>
          <w:rFonts w:ascii="TUOS Blake" w:hAnsi="TUOS Blake"/>
        </w:rPr>
        <w:fldChar w:fldCharType="end"/>
      </w:r>
    </w:p>
    <w:p w14:paraId="4F7D2DE7" w14:textId="77777777" w:rsidR="009125D5" w:rsidRPr="00882640" w:rsidRDefault="009125D5" w:rsidP="009125D5">
      <w:pPr>
        <w:pStyle w:val="BodyText1"/>
        <w:numPr>
          <w:ilvl w:val="0"/>
          <w:numId w:val="0"/>
        </w:numPr>
        <w:spacing w:line="480" w:lineRule="auto"/>
        <w:jc w:val="both"/>
        <w:rPr>
          <w:rFonts w:ascii="TUOS Blake" w:hAnsi="TUOS Blake"/>
        </w:rPr>
      </w:pPr>
      <w:r>
        <w:rPr>
          <w:rFonts w:ascii="TUOS Blake" w:hAnsi="TUOS Blake"/>
          <w:noProof/>
        </w:rPr>
        <w:lastRenderedPageBreak/>
        <w:drawing>
          <wp:inline distT="0" distB="0" distL="0" distR="0" wp14:anchorId="2B736CD7" wp14:editId="06234E79">
            <wp:extent cx="5746115" cy="6015355"/>
            <wp:effectExtent l="0" t="0" r="0" b="4445"/>
            <wp:docPr id="6" name="Picture 6" descr="Macintosh HD:Users:jamesiremonger:Dropbox:MPhil:Thesis:R:Graphs:Nanodrop Grap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iremonger:Dropbox:MPhil:Thesis:R:Graphs:Nanodrop Graph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115" cy="6015355"/>
                    </a:xfrm>
                    <a:prstGeom prst="rect">
                      <a:avLst/>
                    </a:prstGeom>
                    <a:noFill/>
                    <a:ln>
                      <a:noFill/>
                    </a:ln>
                  </pic:spPr>
                </pic:pic>
              </a:graphicData>
            </a:graphic>
          </wp:inline>
        </w:drawing>
      </w:r>
    </w:p>
    <w:p w14:paraId="1056D8B4" w14:textId="4FBEF2FA" w:rsidR="009125D5" w:rsidRPr="00E5229C" w:rsidRDefault="009125D5" w:rsidP="009125D5">
      <w:pPr>
        <w:pStyle w:val="Caption"/>
      </w:pPr>
      <w:bookmarkStart w:id="118" w:name="_Ref357619719"/>
      <w:bookmarkStart w:id="119" w:name="_Toc60597200"/>
      <w:r>
        <w:t xml:space="preserve">Figure </w:t>
      </w:r>
      <w:r w:rsidR="00864CF4">
        <w:fldChar w:fldCharType="begin"/>
      </w:r>
      <w:r w:rsidR="00864CF4">
        <w:instrText xml:space="preserve"> STYLEREF 1 \s </w:instrText>
      </w:r>
      <w:r w:rsidR="00864CF4">
        <w:fldChar w:fldCharType="separate"/>
      </w:r>
      <w:r w:rsidR="00885DE4">
        <w:rPr>
          <w:noProof/>
        </w:rPr>
        <w:t>2</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2</w:t>
      </w:r>
      <w:r w:rsidR="00864CF4">
        <w:fldChar w:fldCharType="end"/>
      </w:r>
      <w:bookmarkEnd w:id="118"/>
      <w:r>
        <w:t xml:space="preserve"> Nanodrop absorbance spectra from plasma RNA samples showing the overall (A), high purity samples (B), high sloping samples (C) and low sloping samples (D).</w:t>
      </w:r>
      <w:bookmarkEnd w:id="119"/>
    </w:p>
    <w:p w14:paraId="6EC42670" w14:textId="77777777" w:rsidR="009125D5" w:rsidRPr="00045EEF" w:rsidRDefault="009125D5" w:rsidP="009125D5">
      <w:pPr>
        <w:pStyle w:val="BodyText1"/>
        <w:numPr>
          <w:ilvl w:val="0"/>
          <w:numId w:val="0"/>
        </w:numPr>
        <w:spacing w:line="480" w:lineRule="auto"/>
        <w:jc w:val="both"/>
        <w:rPr>
          <w:rFonts w:ascii="TUOS Blake" w:hAnsi="TUOS Blake"/>
        </w:rPr>
      </w:pPr>
    </w:p>
    <w:p w14:paraId="7603879A" w14:textId="4826655A" w:rsidR="00A32BA1" w:rsidRDefault="00A32BA1">
      <w:pPr>
        <w:rPr>
          <w:rFonts w:eastAsia="TUOS Blake" w:hAnsi="TUOS Blake" w:cs="TUOS Blake"/>
        </w:rPr>
      </w:pPr>
      <w:r>
        <w:rPr>
          <w:rFonts w:eastAsia="TUOS Blake" w:hAnsi="TUOS Blake" w:cs="TUOS Blake"/>
        </w:rPr>
        <w:br w:type="page"/>
      </w:r>
    </w:p>
    <w:p w14:paraId="007614F6" w14:textId="77777777" w:rsidR="009125D5" w:rsidRDefault="009125D5" w:rsidP="009125D5">
      <w:pPr>
        <w:pStyle w:val="Heading3"/>
        <w:numPr>
          <w:ilvl w:val="1"/>
          <w:numId w:val="7"/>
        </w:numPr>
        <w:spacing w:before="80" w:after="80"/>
      </w:pPr>
      <w:bookmarkStart w:id="120" w:name="_Toc297818252"/>
      <w:bookmarkStart w:id="121" w:name="_Ref300242116"/>
      <w:bookmarkStart w:id="122" w:name="_Ref344043668"/>
      <w:bookmarkStart w:id="123" w:name="_Toc60773895"/>
      <w:r>
        <w:lastRenderedPageBreak/>
        <w:t>Global</w:t>
      </w:r>
      <w:r w:rsidRPr="00E5229C">
        <w:t xml:space="preserve"> microRNA </w:t>
      </w:r>
      <w:bookmarkEnd w:id="120"/>
      <w:bookmarkEnd w:id="121"/>
      <w:r>
        <w:t>Profiling; Array Processing, Quality Control, Data Analysis</w:t>
      </w:r>
      <w:bookmarkEnd w:id="122"/>
      <w:bookmarkEnd w:id="123"/>
    </w:p>
    <w:p w14:paraId="4D0ED824" w14:textId="77777777" w:rsidR="009125D5" w:rsidRPr="00E5229C" w:rsidRDefault="009125D5" w:rsidP="009125D5">
      <w:pPr>
        <w:rPr>
          <w:rFonts w:eastAsia="TUOS Blake" w:hAnsi="TUOS Blake" w:cs="TUOS Blake"/>
        </w:rPr>
      </w:pPr>
    </w:p>
    <w:p w14:paraId="4D86AE73" w14:textId="77777777" w:rsidR="009125D5" w:rsidRPr="006502EC" w:rsidRDefault="009125D5" w:rsidP="009125D5">
      <w:pPr>
        <w:pStyle w:val="Heading3"/>
        <w:numPr>
          <w:ilvl w:val="2"/>
          <w:numId w:val="7"/>
        </w:numPr>
        <w:spacing w:before="80" w:after="80" w:line="480" w:lineRule="auto"/>
      </w:pPr>
      <w:bookmarkStart w:id="124" w:name="_Toc60773896"/>
      <w:r w:rsidRPr="00E5229C">
        <w:t xml:space="preserve">Agilent microRNA Array </w:t>
      </w:r>
      <w:r>
        <w:t>Processing</w:t>
      </w:r>
      <w:bookmarkEnd w:id="124"/>
    </w:p>
    <w:p w14:paraId="42DF611F" w14:textId="6A00E36F" w:rsidR="009125D5" w:rsidRDefault="009125D5" w:rsidP="009125D5">
      <w:pPr>
        <w:pStyle w:val="Body"/>
      </w:pPr>
      <w:r>
        <w:t xml:space="preserve">Global </w:t>
      </w:r>
      <w:r w:rsidRPr="00882640">
        <w:t>miR</w:t>
      </w:r>
      <w:r w:rsidR="00596166">
        <w:t>NA</w:t>
      </w:r>
      <w:r w:rsidRPr="00882640">
        <w:t xml:space="preserve"> expression was </w:t>
      </w:r>
      <w:r>
        <w:t>investigated</w:t>
      </w:r>
      <w:r w:rsidRPr="00882640">
        <w:t xml:space="preserve"> using Agilent single colour miRNA arrays miRbase v.1</w:t>
      </w:r>
      <w:r>
        <w:t xml:space="preserve">9 (Agilent Technologies, UK) according to </w:t>
      </w:r>
      <w:r w:rsidRPr="00882640">
        <w:t>manufacture</w:t>
      </w:r>
      <w:r>
        <w:t>r’</w:t>
      </w:r>
      <w:r w:rsidRPr="00882640">
        <w:t xml:space="preserve">s instructions. </w:t>
      </w:r>
      <w:r>
        <w:t xml:space="preserve">To adjust for the low concentration of RNA in plasma samples </w:t>
      </w:r>
      <w:r w:rsidRPr="00882640">
        <w:t xml:space="preserve">the protocol was </w:t>
      </w:r>
      <w:proofErr w:type="gramStart"/>
      <w:r w:rsidRPr="00882640">
        <w:t>modified</w:t>
      </w:r>
      <w:r>
        <w:t xml:space="preserve"> accordingly;</w:t>
      </w:r>
      <w:proofErr w:type="gramEnd"/>
      <w:r w:rsidRPr="00882640">
        <w:t xml:space="preserve"> the</w:t>
      </w:r>
      <w:r>
        <w:t xml:space="preserve"> 1.3 µl of</w:t>
      </w:r>
      <w:r w:rsidRPr="00882640">
        <w:t xml:space="preserve"> spike in control was</w:t>
      </w:r>
      <w:r>
        <w:t xml:space="preserve"> not added, instead an </w:t>
      </w:r>
      <w:r w:rsidRPr="00882640">
        <w:t>additional 1.3</w:t>
      </w:r>
      <w:r>
        <w:t xml:space="preserve"> </w:t>
      </w:r>
      <w:r w:rsidRPr="00882640">
        <w:t>µl of RNA</w:t>
      </w:r>
      <w:r>
        <w:t xml:space="preserve"> was added. This gave a </w:t>
      </w:r>
      <w:r w:rsidRPr="00882640">
        <w:t>total of 3.3</w:t>
      </w:r>
      <w:r>
        <w:t xml:space="preserve"> </w:t>
      </w:r>
      <w:r w:rsidRPr="00882640">
        <w:t>µl</w:t>
      </w:r>
      <w:r>
        <w:t xml:space="preserve"> of RNA were labelled and hybridised,</w:t>
      </w:r>
      <w:r w:rsidRPr="00882640">
        <w:t xml:space="preserve"> instead of</w:t>
      </w:r>
      <w:r>
        <w:t xml:space="preserve"> the standard</w:t>
      </w:r>
      <w:r w:rsidRPr="00882640">
        <w:t xml:space="preserve"> 2</w:t>
      </w:r>
      <w:r>
        <w:t xml:space="preserve"> </w:t>
      </w:r>
      <w:r w:rsidRPr="00882640">
        <w:t>µl</w:t>
      </w:r>
      <w:r>
        <w:t xml:space="preserve"> of RNA</w:t>
      </w:r>
      <w:r w:rsidRPr="00882640">
        <w:t xml:space="preserve">. The spike in controls </w:t>
      </w:r>
      <w:r>
        <w:t>aid</w:t>
      </w:r>
      <w:r w:rsidRPr="00882640">
        <w:t xml:space="preserve"> troubleshooting a failed hybridization reaction and </w:t>
      </w:r>
      <w:r>
        <w:t>have</w:t>
      </w:r>
      <w:r w:rsidRPr="00882640">
        <w:t xml:space="preserve"> no impact on downstream analysis.</w:t>
      </w:r>
      <w:r>
        <w:t xml:space="preserve"> Furthermore, a successful hybridisation can be determined through various metrics discussed in </w:t>
      </w:r>
      <w:r>
        <w:fldChar w:fldCharType="begin"/>
      </w:r>
      <w:r>
        <w:instrText xml:space="preserve"> REF _Ref513052751 \r \h </w:instrText>
      </w:r>
      <w:r>
        <w:fldChar w:fldCharType="separate"/>
      </w:r>
      <w:r w:rsidR="00885DE4">
        <w:t>2.2.2</w:t>
      </w:r>
      <w:r>
        <w:fldChar w:fldCharType="end"/>
      </w:r>
      <w:r>
        <w:t xml:space="preserve">. Whole blood RNA was diluted to 50 g/µl and 2 µl was labelled in accordance with manufacturer’s instructions. </w:t>
      </w:r>
      <w:r w:rsidRPr="00882640">
        <w:t>Completed microarrays were scanned at 2</w:t>
      </w:r>
      <w:r>
        <w:t xml:space="preserve"> </w:t>
      </w:r>
      <w:r w:rsidRPr="00882640">
        <w:t xml:space="preserve">µm on an Agilent Technologies Scanner G2505C and spot intensities determined using Feature Extraction Software v12.0 (Agilent Technologies, UK) </w:t>
      </w:r>
    </w:p>
    <w:p w14:paraId="3BDA0F2E" w14:textId="77777777" w:rsidR="00A32BA1" w:rsidRPr="00E5229C" w:rsidRDefault="00A32BA1" w:rsidP="009125D5">
      <w:pPr>
        <w:pStyle w:val="Body"/>
      </w:pPr>
    </w:p>
    <w:p w14:paraId="0E9DB8F5" w14:textId="77777777" w:rsidR="009125D5" w:rsidRPr="006502EC" w:rsidRDefault="009125D5" w:rsidP="009125D5">
      <w:pPr>
        <w:pStyle w:val="Heading3"/>
        <w:numPr>
          <w:ilvl w:val="2"/>
          <w:numId w:val="7"/>
        </w:numPr>
        <w:spacing w:before="80" w:after="80"/>
      </w:pPr>
      <w:bookmarkStart w:id="125" w:name="_Ref513052751"/>
      <w:bookmarkStart w:id="126" w:name="_Toc60773897"/>
      <w:r>
        <w:t>Agilent microRNA Microa</w:t>
      </w:r>
      <w:r w:rsidRPr="00E5229C">
        <w:t xml:space="preserve">rray </w:t>
      </w:r>
      <w:r>
        <w:t>Pre-processing and Quality Control</w:t>
      </w:r>
      <w:bookmarkEnd w:id="125"/>
      <w:bookmarkEnd w:id="126"/>
    </w:p>
    <w:p w14:paraId="53CD488C" w14:textId="176BCDAB" w:rsidR="009125D5" w:rsidRPr="00541597" w:rsidRDefault="009125D5" w:rsidP="00541597">
      <w:pPr>
        <w:pStyle w:val="Body"/>
      </w:pPr>
      <w:r w:rsidRPr="00882640">
        <w:t xml:space="preserve">Data analysis was performed in the </w:t>
      </w:r>
      <w:r>
        <w:t>R</w:t>
      </w:r>
      <w:r w:rsidRPr="00882640">
        <w:t xml:space="preserve"> </w:t>
      </w:r>
      <w:r>
        <w:t xml:space="preserve">statistical programming environment </w:t>
      </w:r>
      <w:r w:rsidRPr="00882640">
        <w:t xml:space="preserve">(http://www.r-project.org/). Boxplots summarising the intensity distribution for each array were </w:t>
      </w:r>
      <w:r w:rsidRPr="00541597">
        <w:t xml:space="preserve">plotted and arrays with abnormally high or low signals were removed from further analysis </w:t>
      </w:r>
      <w:r w:rsidRPr="00541597">
        <w:fldChar w:fldCharType="begin"/>
      </w:r>
      <w:r w:rsidRPr="00541597">
        <w:instrText xml:space="preserve"> REF _Ref347000684 \h </w:instrText>
      </w:r>
      <w:r w:rsidR="00541597">
        <w:instrText xml:space="preserve"> \* MERGEFORMAT </w:instrText>
      </w:r>
      <w:r w:rsidRPr="00541597">
        <w:fldChar w:fldCharType="separate"/>
      </w:r>
      <w:r w:rsidR="00885DE4">
        <w:t>Figure 2</w:t>
      </w:r>
      <w:r w:rsidR="00885DE4">
        <w:noBreakHyphen/>
        <w:t>3</w:t>
      </w:r>
      <w:r w:rsidRPr="00541597">
        <w:fldChar w:fldCharType="end"/>
      </w:r>
      <w:r w:rsidRPr="00541597">
        <w:t>.</w:t>
      </w:r>
    </w:p>
    <w:p w14:paraId="05650FE2" w14:textId="77777777" w:rsidR="009125D5" w:rsidRDefault="009125D5" w:rsidP="009125D5">
      <w:pPr>
        <w:pStyle w:val="BodyText1"/>
        <w:numPr>
          <w:ilvl w:val="0"/>
          <w:numId w:val="0"/>
        </w:numPr>
        <w:spacing w:line="480" w:lineRule="auto"/>
        <w:jc w:val="both"/>
        <w:rPr>
          <w:rFonts w:ascii="TUOS Blake" w:hAnsi="TUOS Blake"/>
        </w:rPr>
      </w:pPr>
      <w:r>
        <w:rPr>
          <w:rFonts w:ascii="TUOS Blake" w:hAnsi="TUOS Blake"/>
          <w:noProof/>
        </w:rPr>
        <w:lastRenderedPageBreak/>
        <w:drawing>
          <wp:inline distT="0" distB="0" distL="0" distR="0" wp14:anchorId="13862DAF" wp14:editId="1D934F1E">
            <wp:extent cx="5746115" cy="3743960"/>
            <wp:effectExtent l="0" t="0" r="0" b="0"/>
            <wp:docPr id="1" name="Picture 1" descr="Macintosh HD:Users:jamesiremonger:Desktop:Screen Shot 2017-01-25 at 21.4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iremonger:Desktop:Screen Shot 2017-01-25 at 21.48.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115" cy="3743960"/>
                    </a:xfrm>
                    <a:prstGeom prst="rect">
                      <a:avLst/>
                    </a:prstGeom>
                    <a:noFill/>
                    <a:ln>
                      <a:noFill/>
                    </a:ln>
                  </pic:spPr>
                </pic:pic>
              </a:graphicData>
            </a:graphic>
          </wp:inline>
        </w:drawing>
      </w:r>
    </w:p>
    <w:p w14:paraId="111F0F98" w14:textId="16CFF60D" w:rsidR="009125D5" w:rsidRDefault="009125D5" w:rsidP="009125D5">
      <w:pPr>
        <w:pStyle w:val="Caption"/>
      </w:pPr>
      <w:bookmarkStart w:id="127" w:name="_Ref347000684"/>
      <w:bookmarkStart w:id="128" w:name="_Toc354233081"/>
      <w:bookmarkStart w:id="129" w:name="_Toc60597201"/>
      <w:r>
        <w:t xml:space="preserve">Figure </w:t>
      </w:r>
      <w:r w:rsidR="00864CF4">
        <w:fldChar w:fldCharType="begin"/>
      </w:r>
      <w:r w:rsidR="00864CF4">
        <w:instrText xml:space="preserve"> STYLEREF 1 \s </w:instrText>
      </w:r>
      <w:r w:rsidR="00864CF4">
        <w:fldChar w:fldCharType="separate"/>
      </w:r>
      <w:r w:rsidR="00885DE4">
        <w:rPr>
          <w:noProof/>
        </w:rPr>
        <w:t>2</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3</w:t>
      </w:r>
      <w:r w:rsidR="00864CF4">
        <w:fldChar w:fldCharType="end"/>
      </w:r>
      <w:bookmarkEnd w:id="127"/>
      <w:r>
        <w:t xml:space="preserve"> Boxplots demonstrating that arrays failing either due to under or over hybridization have clearly different data distributions that can be easily identified.</w:t>
      </w:r>
      <w:bookmarkEnd w:id="128"/>
      <w:bookmarkEnd w:id="129"/>
    </w:p>
    <w:p w14:paraId="47EEA94E" w14:textId="77777777" w:rsidR="00B72470" w:rsidRDefault="00B72470" w:rsidP="009125D5">
      <w:pPr>
        <w:pStyle w:val="Body"/>
      </w:pPr>
    </w:p>
    <w:p w14:paraId="6FA6006D" w14:textId="7A9C6935" w:rsidR="009125D5" w:rsidRDefault="009125D5" w:rsidP="009125D5">
      <w:pPr>
        <w:pStyle w:val="Body"/>
      </w:pPr>
      <w:r w:rsidRPr="00882640">
        <w:t>Data was normalis</w:t>
      </w:r>
      <w:r>
        <w:t>ed using the robust multi-</w:t>
      </w:r>
      <w:r w:rsidRPr="00882640">
        <w:t>array</w:t>
      </w:r>
      <w:r>
        <w:t xml:space="preserve"> (RMA)</w:t>
      </w:r>
      <w:r w:rsidRPr="00882640">
        <w:t xml:space="preserve"> method from the </w:t>
      </w:r>
      <w:r>
        <w:t xml:space="preserve">R </w:t>
      </w:r>
      <w:r w:rsidRPr="00882640">
        <w:t xml:space="preserve">package </w:t>
      </w:r>
      <w:proofErr w:type="spellStart"/>
      <w:r>
        <w:t>affy</w:t>
      </w:r>
      <w:proofErr w:type="spellEnd"/>
      <w:r>
        <w:t xml:space="preserve"> </w:t>
      </w:r>
      <w:r w:rsidRPr="00882640">
        <w:t xml:space="preserve">(Gautier et al., 2004). </w:t>
      </w:r>
      <w:r>
        <w:t xml:space="preserve">Briefly, RMA is a two-step process where arrays are first quantile normalised minimising inter-array variation followed by a </w:t>
      </w:r>
      <w:proofErr w:type="gramStart"/>
      <w:r>
        <w:t>median-polish</w:t>
      </w:r>
      <w:proofErr w:type="gramEnd"/>
      <w:r>
        <w:t xml:space="preserve"> to remove any intra-array spatial variations. </w:t>
      </w:r>
      <w:r w:rsidRPr="00882640">
        <w:t xml:space="preserve">The package </w:t>
      </w:r>
      <w:proofErr w:type="spellStart"/>
      <w:r w:rsidRPr="00882640">
        <w:t>AgiMicroRna</w:t>
      </w:r>
      <w:proofErr w:type="spellEnd"/>
      <w:r w:rsidRPr="00882640">
        <w:t xml:space="preserve"> </w:t>
      </w:r>
      <w:r w:rsidRPr="00882640">
        <w:fldChar w:fldCharType="begin"/>
      </w:r>
      <w:r w:rsidR="004E19A5">
        <w:instrText xml:space="preserve"> ADDIN PAPERS2_CITATIONS &lt;citation&gt;&lt;priority&gt;0&lt;/priority&gt;&lt;uuid&gt;FCDEBFE5-899B-4585-971B-FC85B03143D9&lt;/uuid&gt;&lt;publications&gt;&lt;publication&gt;&lt;subtype&gt;400&lt;/subtype&gt;&lt;publisher&gt;BioMed Central Ltd&lt;/publisher&gt;&lt;title&gt;Pre-processing and differential expression analysis of Agilent micr... - PubMed - NCBI&lt;/title&gt;&lt;url&gt;http://www.biomedcentral.com/1471-2164/12/64&lt;/url&gt;&lt;volume&gt;12&lt;/volume&gt;&lt;publication_date&gt;99201100001200000000200000&lt;/publication_date&gt;&lt;uuid&gt;CBE64E90-1AC9-497C-98F7-9A5CFA3BED59&lt;/uuid&gt;&lt;type&gt;400&lt;/type&gt;&lt;accepted_date&gt;99201101261200000000222000&lt;/accepted_date&gt;&lt;number&gt;1&lt;/number&gt;&lt;submission_date&gt;99201007131200000000222000&lt;/submission_date&gt;&lt;doi&gt;10.1186/1471-2164-12-64&lt;/doi&gt;&lt;institution&gt;Epidemiology, Atherothrombosis and Imaging Department, Centro Nacional de Investigaciones Cardiovasculares Carlos III, Melchor Fernández Almagro 3, E-28029 Madrid, Spain. plopez@cnic.es&lt;/institution&gt;&lt;startpage&gt;64&lt;/startpage&gt;&lt;bundle&gt;&lt;publication&gt;&lt;title&gt;BMC Genomics&lt;/title&gt;&lt;uuid&gt;10151639-B2BE-4658-BDDA-91A2788EFFC5&lt;/uuid&gt;&lt;subtype&gt;-100&lt;/subtype&gt;&lt;publisher&gt;BioMed Central Ltd&lt;/publisher&gt;&lt;type&gt;-100&lt;/type&gt;&lt;/publication&gt;&lt;/bundle&gt;&lt;authors&gt;&lt;author&gt;&lt;lastName&gt;López-Romero&lt;/lastName&gt;&lt;firstName&gt;Pedro&lt;/firstName&gt;&lt;/author&gt;&lt;/authors&gt;&lt;/publication&gt;&lt;/publications&gt;&lt;cites&gt;&lt;/cites&gt;&lt;/citation&gt;</w:instrText>
      </w:r>
      <w:r w:rsidRPr="00882640">
        <w:fldChar w:fldCharType="separate"/>
      </w:r>
      <w:r w:rsidR="00095567">
        <w:rPr>
          <w:rFonts w:eastAsiaTheme="minorEastAsia"/>
          <w:lang w:val="en-US"/>
        </w:rPr>
        <w:t>(López-Romero, 2011)</w:t>
      </w:r>
      <w:r w:rsidRPr="00882640">
        <w:fldChar w:fldCharType="end"/>
      </w:r>
      <w:r w:rsidRPr="00882640">
        <w:t xml:space="preserve"> was used to determine background expression from negative controls </w:t>
      </w:r>
      <w:r>
        <w:t>features</w:t>
      </w:r>
      <w:r w:rsidRPr="00882640">
        <w:t xml:space="preserve"> </w:t>
      </w:r>
      <w:r>
        <w:t>and</w:t>
      </w:r>
      <w:r w:rsidRPr="00882640">
        <w:t xml:space="preserve"> subtracted from all features.</w:t>
      </w:r>
      <w:r w:rsidR="005A2F40">
        <w:t xml:space="preserve"> Preliminary filtering was performed </w:t>
      </w:r>
      <w:r w:rsidR="00024D7B">
        <w:t xml:space="preserve">using the </w:t>
      </w:r>
      <w:r w:rsidR="005A2F40">
        <w:t xml:space="preserve">default settings </w:t>
      </w:r>
      <w:r w:rsidR="00024D7B">
        <w:t xml:space="preserve">in the function </w:t>
      </w:r>
      <w:proofErr w:type="spellStart"/>
      <w:proofErr w:type="gramStart"/>
      <w:r w:rsidR="00024D7B" w:rsidRPr="00024D7B">
        <w:rPr>
          <w:i/>
        </w:rPr>
        <w:t>filterMicroRna</w:t>
      </w:r>
      <w:proofErr w:type="spellEnd"/>
      <w:r w:rsidR="00024D7B" w:rsidRPr="00024D7B">
        <w:rPr>
          <w:i/>
        </w:rPr>
        <w:t>(</w:t>
      </w:r>
      <w:proofErr w:type="gramEnd"/>
      <w:r w:rsidR="00024D7B" w:rsidRPr="00024D7B">
        <w:rPr>
          <w:i/>
        </w:rPr>
        <w:t>)</w:t>
      </w:r>
      <w:r w:rsidR="00024D7B">
        <w:t xml:space="preserve"> this</w:t>
      </w:r>
      <w:r w:rsidR="005A2F40">
        <w:t xml:space="preserve"> </w:t>
      </w:r>
      <w:r w:rsidR="00024D7B">
        <w:t>removed</w:t>
      </w:r>
      <w:r w:rsidRPr="00882640">
        <w:t xml:space="preserve"> </w:t>
      </w:r>
      <w:proofErr w:type="spellStart"/>
      <w:r w:rsidRPr="00882640">
        <w:t>miRs</w:t>
      </w:r>
      <w:proofErr w:type="spellEnd"/>
      <w:r w:rsidRPr="00882640">
        <w:t xml:space="preserve"> with a low signa</w:t>
      </w:r>
      <w:r w:rsidR="00024D7B">
        <w:t xml:space="preserve">l </w:t>
      </w:r>
      <w:r w:rsidRPr="00882640">
        <w:t>intensity</w:t>
      </w:r>
      <w:r w:rsidR="00763F69">
        <w:t>,</w:t>
      </w:r>
      <w:r w:rsidRPr="00882640">
        <w:t xml:space="preserve"> </w:t>
      </w:r>
      <w:r w:rsidR="00D27F2C">
        <w:t>defined as</w:t>
      </w:r>
      <w:r w:rsidR="0068181A">
        <w:t xml:space="preserve"> </w:t>
      </w:r>
      <w:r w:rsidR="00F2487B">
        <w:t xml:space="preserve">requiring an </w:t>
      </w:r>
      <w:r w:rsidR="001C1F12">
        <w:t xml:space="preserve">expression </w:t>
      </w:r>
      <w:r w:rsidR="00F2487B">
        <w:t xml:space="preserve">level </w:t>
      </w:r>
      <w:r w:rsidR="001C1F12">
        <w:t>exceed</w:t>
      </w:r>
      <w:r w:rsidR="00F2487B">
        <w:t xml:space="preserve">ing </w:t>
      </w:r>
      <w:r w:rsidR="001C1F12">
        <w:t>1.5x the standard deviation of the array negative controls.</w:t>
      </w:r>
      <w:r w:rsidR="00F233C4">
        <w:t xml:space="preserve"> Additionally,</w:t>
      </w:r>
      <w:r w:rsidR="001C1F12">
        <w:t xml:space="preserve"> </w:t>
      </w:r>
      <w:proofErr w:type="spellStart"/>
      <w:r w:rsidR="00F233C4">
        <w:t>miRs</w:t>
      </w:r>
      <w:proofErr w:type="spellEnd"/>
      <w:r w:rsidR="00F233C4">
        <w:t xml:space="preserve"> with expression</w:t>
      </w:r>
      <w:r w:rsidR="001C1F12">
        <w:t xml:space="preserve"> </w:t>
      </w:r>
      <w:r w:rsidR="003A4599">
        <w:t xml:space="preserve">detectable above </w:t>
      </w:r>
      <w:r w:rsidR="00B04B0C">
        <w:t>the negative controls that were</w:t>
      </w:r>
      <w:r w:rsidR="00F233C4">
        <w:t xml:space="preserve"> only</w:t>
      </w:r>
      <w:r w:rsidR="00B04B0C">
        <w:t xml:space="preserve"> present in 10% or less</w:t>
      </w:r>
      <w:r w:rsidR="00F233C4">
        <w:t xml:space="preserve"> of samples</w:t>
      </w:r>
      <w:r w:rsidR="00B04B0C">
        <w:t xml:space="preserve"> </w:t>
      </w:r>
      <w:r w:rsidR="001C1F12">
        <w:t>were also</w:t>
      </w:r>
      <w:r w:rsidR="00D27F2C">
        <w:t xml:space="preserve"> filtered </w:t>
      </w:r>
      <w:r w:rsidR="00D27F2C">
        <w:lastRenderedPageBreak/>
        <w:t>out</w:t>
      </w:r>
      <w:r w:rsidR="00B04B0C">
        <w:t xml:space="preserve">. Following filtering </w:t>
      </w:r>
      <w:r w:rsidRPr="00812545">
        <w:t>393</w:t>
      </w:r>
      <w:r>
        <w:t xml:space="preserve"> plasma</w:t>
      </w:r>
      <w:r w:rsidRPr="00812545">
        <w:t xml:space="preserve"> </w:t>
      </w:r>
      <w:proofErr w:type="spellStart"/>
      <w:r w:rsidRPr="00812545">
        <w:t>miRs</w:t>
      </w:r>
      <w:proofErr w:type="spellEnd"/>
      <w:r>
        <w:t xml:space="preserve"> and 352 whole blood </w:t>
      </w:r>
      <w:proofErr w:type="spellStart"/>
      <w:r>
        <w:t>miRs</w:t>
      </w:r>
      <w:proofErr w:type="spellEnd"/>
      <w:r>
        <w:t xml:space="preserve"> for downstream analysis</w:t>
      </w:r>
      <w:r w:rsidRPr="00812545">
        <w:t>.</w:t>
      </w:r>
      <w:r>
        <w:t xml:space="preserve"> Additionally, </w:t>
      </w:r>
      <w:proofErr w:type="spellStart"/>
      <w:r>
        <w:t>miRs</w:t>
      </w:r>
      <w:proofErr w:type="spellEnd"/>
      <w:r>
        <w:t xml:space="preserve"> were then limited to those either qPCR </w:t>
      </w:r>
      <w:proofErr w:type="gramStart"/>
      <w:r>
        <w:t>wet-lab</w:t>
      </w:r>
      <w:proofErr w:type="gramEnd"/>
      <w:r>
        <w:t xml:space="preserve"> validated by </w:t>
      </w:r>
      <w:proofErr w:type="spellStart"/>
      <w:r>
        <w:t>Exiqon</w:t>
      </w:r>
      <w:proofErr w:type="spellEnd"/>
      <w:r>
        <w:t xml:space="preserve"> or deemed high confidence </w:t>
      </w:r>
      <w:proofErr w:type="spellStart"/>
      <w:r>
        <w:t>miRs</w:t>
      </w:r>
      <w:proofErr w:type="spellEnd"/>
      <w:r>
        <w:t xml:space="preserve"> in </w:t>
      </w:r>
      <w:proofErr w:type="spellStart"/>
      <w:r>
        <w:t>miRBase</w:t>
      </w:r>
      <w:proofErr w:type="spellEnd"/>
      <w:r>
        <w:t xml:space="preserve"> (v21.0). The pre-processing limits were in place so that subsequent analysis </w:t>
      </w:r>
      <w:r w:rsidR="007177EC">
        <w:t xml:space="preserve">was performed upon </w:t>
      </w:r>
      <w:proofErr w:type="spellStart"/>
      <w:r w:rsidR="007177EC">
        <w:t>miRs</w:t>
      </w:r>
      <w:proofErr w:type="spellEnd"/>
      <w:r w:rsidR="007177EC">
        <w:t xml:space="preserve"> that would </w:t>
      </w:r>
      <w:r w:rsidR="00BF3F0D">
        <w:t xml:space="preserve">likely </w:t>
      </w:r>
      <w:r w:rsidR="007177EC">
        <w:t xml:space="preserve">be present in the majority of samples </w:t>
      </w:r>
      <w:r w:rsidR="00136477">
        <w:t>and have g</w:t>
      </w:r>
      <w:r w:rsidR="007177EC">
        <w:t>ood overall expression</w:t>
      </w:r>
      <w:r w:rsidR="00136477">
        <w:t xml:space="preserve"> levels</w:t>
      </w:r>
      <w:r>
        <w:t xml:space="preserve">. Removing these left 210 plasma </w:t>
      </w:r>
      <w:proofErr w:type="spellStart"/>
      <w:r>
        <w:t>miRs</w:t>
      </w:r>
      <w:proofErr w:type="spellEnd"/>
      <w:r>
        <w:t xml:space="preserve"> and 229 whole blood </w:t>
      </w:r>
      <w:proofErr w:type="spellStart"/>
      <w:r>
        <w:t>miRs</w:t>
      </w:r>
      <w:proofErr w:type="spellEnd"/>
      <w:r>
        <w:t xml:space="preserve"> that </w:t>
      </w:r>
      <w:r w:rsidRPr="00812545">
        <w:t>were used in all downstream analysis</w:t>
      </w:r>
      <w:r>
        <w:t>. It should be noted that plasma and whole blood microarrays were normalised and processed separately.</w:t>
      </w:r>
    </w:p>
    <w:p w14:paraId="4E6B3701" w14:textId="77777777" w:rsidR="009125D5" w:rsidRPr="00812545" w:rsidRDefault="009125D5" w:rsidP="009125D5">
      <w:pPr>
        <w:pStyle w:val="Body"/>
      </w:pPr>
    </w:p>
    <w:p w14:paraId="022A004D" w14:textId="0D11DF8B" w:rsidR="009125D5" w:rsidRPr="00061356" w:rsidRDefault="009125D5" w:rsidP="00976C9E">
      <w:pPr>
        <w:pStyle w:val="Body"/>
      </w:pPr>
      <w:r>
        <w:t>For each set of analyses performed, s</w:t>
      </w:r>
      <w:r w:rsidRPr="00061356">
        <w:t xml:space="preserve">ubsets of data were then created containing only samples relevant to the specific classification problem being tested </w:t>
      </w:r>
      <w:r w:rsidRPr="00061356">
        <w:rPr>
          <w:highlight w:val="yellow"/>
        </w:rPr>
        <w:fldChar w:fldCharType="begin"/>
      </w:r>
      <w:r w:rsidRPr="00061356">
        <w:instrText xml:space="preserve"> REF _Ref344048180 \h </w:instrText>
      </w:r>
      <w:r>
        <w:rPr>
          <w:highlight w:val="yellow"/>
        </w:rPr>
        <w:instrText xml:space="preserve"> \* MERGEFORMAT </w:instrText>
      </w:r>
      <w:r w:rsidRPr="00061356">
        <w:rPr>
          <w:highlight w:val="yellow"/>
        </w:rPr>
      </w:r>
      <w:r w:rsidRPr="00061356">
        <w:rPr>
          <w:highlight w:val="yellow"/>
        </w:rPr>
        <w:fldChar w:fldCharType="separate"/>
      </w:r>
      <w:r w:rsidR="00885DE4">
        <w:t xml:space="preserve">Table </w:t>
      </w:r>
      <w:r w:rsidR="00885DE4">
        <w:rPr>
          <w:noProof/>
        </w:rPr>
        <w:t>2</w:t>
      </w:r>
      <w:r w:rsidR="00885DE4">
        <w:rPr>
          <w:noProof/>
        </w:rPr>
        <w:noBreakHyphen/>
        <w:t>1</w:t>
      </w:r>
      <w:r w:rsidRPr="00061356">
        <w:rPr>
          <w:highlight w:val="yellow"/>
        </w:rPr>
        <w:fldChar w:fldCharType="end"/>
      </w:r>
      <w:r w:rsidRPr="00061356">
        <w:t xml:space="preserve">. </w:t>
      </w:r>
    </w:p>
    <w:tbl>
      <w:tblPr>
        <w:tblStyle w:val="DefaultTableStyle"/>
        <w:tblW w:w="9638" w:type="dxa"/>
        <w:tblBorders>
          <w:insideV w:val="none" w:sz="0" w:space="0" w:color="auto"/>
        </w:tblBorders>
        <w:tblLook w:val="0660" w:firstRow="1" w:lastRow="1" w:firstColumn="0" w:lastColumn="0" w:noHBand="1" w:noVBand="1"/>
      </w:tblPr>
      <w:tblGrid>
        <w:gridCol w:w="2293"/>
        <w:gridCol w:w="2408"/>
        <w:gridCol w:w="819"/>
        <w:gridCol w:w="1856"/>
        <w:gridCol w:w="2262"/>
      </w:tblGrid>
      <w:tr w:rsidR="009125D5" w:rsidRPr="00882640" w14:paraId="16120927" w14:textId="77777777" w:rsidTr="000D1B2E">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bottom w:val="single" w:sz="4" w:space="0" w:color="auto"/>
            </w:tcBorders>
          </w:tcPr>
          <w:p w14:paraId="205A42C5" w14:textId="77777777" w:rsidR="009125D5" w:rsidRPr="00882640" w:rsidRDefault="009125D5" w:rsidP="000D1B2E">
            <w:pPr>
              <w:pStyle w:val="BodyText1"/>
              <w:spacing w:line="276" w:lineRule="auto"/>
              <w:jc w:val="both"/>
              <w:rPr>
                <w:rFonts w:ascii="TUOS Blake" w:hAnsi="TUOS Blake" w:cs="Times New Roman"/>
                <w:sz w:val="22"/>
              </w:rPr>
            </w:pPr>
            <w:r w:rsidRPr="00882640">
              <w:rPr>
                <w:rFonts w:ascii="TUOS Blake" w:hAnsi="TUOS Blake" w:cs="Times New Roman"/>
                <w:sz w:val="22"/>
              </w:rPr>
              <w:t>Comparison</w:t>
            </w:r>
          </w:p>
        </w:tc>
        <w:tc>
          <w:tcPr>
            <w:tcW w:w="0" w:type="auto"/>
            <w:tcBorders>
              <w:top w:val="single" w:sz="4" w:space="0" w:color="auto"/>
              <w:bottom w:val="single" w:sz="4" w:space="0" w:color="auto"/>
            </w:tcBorders>
          </w:tcPr>
          <w:p w14:paraId="41C04D45" w14:textId="77777777" w:rsidR="009125D5" w:rsidRPr="00882640" w:rsidRDefault="009125D5" w:rsidP="000D1B2E">
            <w:pPr>
              <w:pStyle w:val="BodyText1"/>
              <w:spacing w:line="276" w:lineRule="auto"/>
              <w:jc w:val="center"/>
              <w:rPr>
                <w:rFonts w:ascii="TUOS Blake" w:hAnsi="TUOS Blake" w:cs="Times New Roman"/>
                <w:sz w:val="22"/>
              </w:rPr>
            </w:pPr>
            <w:r w:rsidRPr="00882640">
              <w:rPr>
                <w:rFonts w:ascii="TUOS Blake" w:hAnsi="TUOS Blake" w:cs="Times New Roman"/>
                <w:sz w:val="22"/>
              </w:rPr>
              <w:t>Healthy Volunteer</w:t>
            </w:r>
          </w:p>
        </w:tc>
        <w:tc>
          <w:tcPr>
            <w:tcW w:w="0" w:type="auto"/>
            <w:tcBorders>
              <w:top w:val="single" w:sz="4" w:space="0" w:color="auto"/>
              <w:bottom w:val="single" w:sz="4" w:space="0" w:color="auto"/>
            </w:tcBorders>
          </w:tcPr>
          <w:p w14:paraId="09612869" w14:textId="77777777" w:rsidR="009125D5" w:rsidRPr="00882640" w:rsidRDefault="009125D5" w:rsidP="000D1B2E">
            <w:pPr>
              <w:pStyle w:val="BodyText1"/>
              <w:spacing w:line="276" w:lineRule="auto"/>
              <w:jc w:val="center"/>
              <w:rPr>
                <w:rFonts w:ascii="TUOS Blake" w:hAnsi="TUOS Blake" w:cs="Times New Roman"/>
                <w:sz w:val="22"/>
              </w:rPr>
            </w:pPr>
            <w:r w:rsidRPr="00882640">
              <w:rPr>
                <w:rFonts w:ascii="TUOS Blake" w:hAnsi="TUOS Blake" w:cs="Times New Roman"/>
                <w:sz w:val="22"/>
              </w:rPr>
              <w:t>IPAH</w:t>
            </w:r>
          </w:p>
        </w:tc>
        <w:tc>
          <w:tcPr>
            <w:tcW w:w="0" w:type="auto"/>
            <w:tcBorders>
              <w:top w:val="single" w:sz="4" w:space="0" w:color="auto"/>
              <w:bottom w:val="single" w:sz="4" w:space="0" w:color="auto"/>
            </w:tcBorders>
          </w:tcPr>
          <w:p w14:paraId="6F57FD89" w14:textId="77777777" w:rsidR="009125D5" w:rsidRPr="00882640" w:rsidRDefault="009125D5" w:rsidP="000D1B2E">
            <w:pPr>
              <w:pStyle w:val="BodyText1"/>
              <w:spacing w:line="276" w:lineRule="auto"/>
              <w:jc w:val="center"/>
              <w:rPr>
                <w:rFonts w:ascii="TUOS Blake" w:hAnsi="TUOS Blake" w:cs="Times New Roman"/>
                <w:sz w:val="22"/>
              </w:rPr>
            </w:pPr>
            <w:proofErr w:type="spellStart"/>
            <w:r w:rsidRPr="00882640">
              <w:rPr>
                <w:rFonts w:ascii="TUOS Blake" w:hAnsi="TUOS Blake" w:cs="Times New Roman"/>
                <w:sz w:val="22"/>
              </w:rPr>
              <w:t>SSc</w:t>
            </w:r>
            <w:proofErr w:type="spellEnd"/>
            <w:r w:rsidRPr="00882640">
              <w:rPr>
                <w:rFonts w:ascii="TUOS Blake" w:hAnsi="TUOS Blake" w:cs="Times New Roman"/>
                <w:sz w:val="22"/>
              </w:rPr>
              <w:t xml:space="preserve"> with PAH</w:t>
            </w:r>
          </w:p>
        </w:tc>
        <w:tc>
          <w:tcPr>
            <w:tcW w:w="0" w:type="auto"/>
            <w:tcBorders>
              <w:top w:val="single" w:sz="4" w:space="0" w:color="auto"/>
              <w:bottom w:val="single" w:sz="4" w:space="0" w:color="auto"/>
            </w:tcBorders>
          </w:tcPr>
          <w:p w14:paraId="1DA67638" w14:textId="77777777" w:rsidR="009125D5" w:rsidRPr="00882640" w:rsidRDefault="009125D5" w:rsidP="000D1B2E">
            <w:pPr>
              <w:pStyle w:val="BodyText1"/>
              <w:spacing w:line="276" w:lineRule="auto"/>
              <w:jc w:val="center"/>
              <w:rPr>
                <w:rFonts w:ascii="TUOS Blake" w:hAnsi="TUOS Blake" w:cs="Times New Roman"/>
                <w:sz w:val="22"/>
              </w:rPr>
            </w:pPr>
            <w:proofErr w:type="spellStart"/>
            <w:r w:rsidRPr="00882640">
              <w:rPr>
                <w:rFonts w:ascii="TUOS Blake" w:hAnsi="TUOS Blake" w:cs="Times New Roman"/>
                <w:sz w:val="22"/>
              </w:rPr>
              <w:t>SSc</w:t>
            </w:r>
            <w:proofErr w:type="spellEnd"/>
            <w:r w:rsidRPr="00882640">
              <w:rPr>
                <w:rFonts w:ascii="TUOS Blake" w:hAnsi="TUOS Blake" w:cs="Times New Roman"/>
                <w:sz w:val="22"/>
              </w:rPr>
              <w:t xml:space="preserve"> without PAH</w:t>
            </w:r>
          </w:p>
        </w:tc>
      </w:tr>
      <w:tr w:rsidR="009125D5" w:rsidRPr="00882640" w14:paraId="0452519B" w14:textId="77777777" w:rsidTr="000D1B2E">
        <w:tc>
          <w:tcPr>
            <w:tcW w:w="0" w:type="auto"/>
            <w:tcBorders>
              <w:top w:val="single" w:sz="4" w:space="0" w:color="auto"/>
            </w:tcBorders>
          </w:tcPr>
          <w:p w14:paraId="4CF5E998" w14:textId="77777777" w:rsidR="009125D5" w:rsidRPr="00882640" w:rsidRDefault="009125D5" w:rsidP="000D1B2E">
            <w:pPr>
              <w:pStyle w:val="BodyText1"/>
              <w:spacing w:line="276" w:lineRule="auto"/>
              <w:jc w:val="both"/>
              <w:rPr>
                <w:rFonts w:ascii="TUOS Blake" w:hAnsi="TUOS Blake" w:cs="Times New Roman"/>
                <w:sz w:val="22"/>
              </w:rPr>
            </w:pPr>
            <w:r>
              <w:rPr>
                <w:rFonts w:ascii="TUOS Blake" w:hAnsi="TUOS Blake" w:cs="Times New Roman"/>
                <w:sz w:val="22"/>
              </w:rPr>
              <w:t>IPAH f</w:t>
            </w:r>
            <w:r w:rsidRPr="00882640">
              <w:rPr>
                <w:rFonts w:ascii="TUOS Blake" w:hAnsi="TUOS Blake" w:cs="Times New Roman"/>
                <w:sz w:val="22"/>
              </w:rPr>
              <w:t>r</w:t>
            </w:r>
            <w:r>
              <w:rPr>
                <w:rFonts w:ascii="TUOS Blake" w:hAnsi="TUOS Blake" w:cs="Times New Roman"/>
                <w:sz w:val="22"/>
              </w:rPr>
              <w:t>o</w:t>
            </w:r>
            <w:r w:rsidRPr="00882640">
              <w:rPr>
                <w:rFonts w:ascii="TUOS Blake" w:hAnsi="TUOS Blake" w:cs="Times New Roman"/>
                <w:sz w:val="22"/>
              </w:rPr>
              <w:t>m HV</w:t>
            </w:r>
          </w:p>
        </w:tc>
        <w:tc>
          <w:tcPr>
            <w:tcW w:w="0" w:type="auto"/>
            <w:tcBorders>
              <w:top w:val="single" w:sz="4" w:space="0" w:color="auto"/>
            </w:tcBorders>
          </w:tcPr>
          <w:p w14:paraId="110F508D" w14:textId="77777777" w:rsidR="009125D5" w:rsidRPr="00882640" w:rsidRDefault="009125D5" w:rsidP="000D1B2E">
            <w:pPr>
              <w:pStyle w:val="BodyText1"/>
              <w:spacing w:line="276" w:lineRule="auto"/>
              <w:jc w:val="center"/>
              <w:rPr>
                <w:rFonts w:ascii="TUOS Blake" w:hAnsi="TUOS Blake" w:cs="Times New Roman"/>
                <w:sz w:val="22"/>
              </w:rPr>
            </w:pPr>
            <w:r w:rsidRPr="00882640">
              <w:rPr>
                <w:rFonts w:ascii="TUOS Blake" w:hAnsi="TUOS Blake" w:cs="Times New Roman"/>
                <w:sz w:val="22"/>
              </w:rPr>
              <w:t>33</w:t>
            </w:r>
          </w:p>
        </w:tc>
        <w:tc>
          <w:tcPr>
            <w:tcW w:w="0" w:type="auto"/>
            <w:tcBorders>
              <w:top w:val="single" w:sz="4" w:space="0" w:color="auto"/>
            </w:tcBorders>
          </w:tcPr>
          <w:p w14:paraId="1391ED05" w14:textId="77777777" w:rsidR="009125D5" w:rsidRPr="00882640" w:rsidRDefault="009125D5" w:rsidP="000D1B2E">
            <w:pPr>
              <w:pStyle w:val="BodyText1"/>
              <w:spacing w:line="276" w:lineRule="auto"/>
              <w:jc w:val="center"/>
              <w:rPr>
                <w:rFonts w:ascii="TUOS Blake" w:hAnsi="TUOS Blake" w:cs="Times New Roman"/>
                <w:sz w:val="22"/>
              </w:rPr>
            </w:pPr>
            <w:r w:rsidRPr="00882640">
              <w:rPr>
                <w:rFonts w:ascii="TUOS Blake" w:hAnsi="TUOS Blake" w:cs="Times New Roman"/>
                <w:sz w:val="22"/>
              </w:rPr>
              <w:t>46</w:t>
            </w:r>
          </w:p>
        </w:tc>
        <w:tc>
          <w:tcPr>
            <w:tcW w:w="0" w:type="auto"/>
            <w:tcBorders>
              <w:top w:val="single" w:sz="4" w:space="0" w:color="auto"/>
            </w:tcBorders>
          </w:tcPr>
          <w:p w14:paraId="603E8A58" w14:textId="77777777" w:rsidR="009125D5" w:rsidRPr="00882640" w:rsidRDefault="009125D5" w:rsidP="000D1B2E">
            <w:pPr>
              <w:pStyle w:val="BodyText1"/>
              <w:spacing w:line="276" w:lineRule="auto"/>
              <w:jc w:val="center"/>
              <w:rPr>
                <w:rFonts w:ascii="TUOS Blake" w:hAnsi="TUOS Blake" w:cs="Times New Roman"/>
                <w:sz w:val="22"/>
              </w:rPr>
            </w:pPr>
            <w:r w:rsidRPr="00882640">
              <w:rPr>
                <w:rFonts w:ascii="TUOS Blake" w:hAnsi="TUOS Blake" w:cs="Times New Roman"/>
                <w:sz w:val="22"/>
              </w:rPr>
              <w:t>.</w:t>
            </w:r>
          </w:p>
        </w:tc>
        <w:tc>
          <w:tcPr>
            <w:tcW w:w="0" w:type="auto"/>
            <w:tcBorders>
              <w:top w:val="single" w:sz="4" w:space="0" w:color="auto"/>
            </w:tcBorders>
          </w:tcPr>
          <w:p w14:paraId="5A4E2E47" w14:textId="77777777" w:rsidR="009125D5" w:rsidRPr="00882640" w:rsidRDefault="009125D5" w:rsidP="000D1B2E">
            <w:pPr>
              <w:pStyle w:val="BodyText1"/>
              <w:spacing w:line="276" w:lineRule="auto"/>
              <w:jc w:val="center"/>
              <w:rPr>
                <w:rFonts w:ascii="TUOS Blake" w:hAnsi="TUOS Blake" w:cs="Times New Roman"/>
                <w:sz w:val="22"/>
              </w:rPr>
            </w:pPr>
            <w:r w:rsidRPr="00882640">
              <w:rPr>
                <w:rFonts w:ascii="TUOS Blake" w:hAnsi="TUOS Blake" w:cs="Times New Roman"/>
                <w:sz w:val="22"/>
              </w:rPr>
              <w:t>.</w:t>
            </w:r>
          </w:p>
        </w:tc>
      </w:tr>
      <w:tr w:rsidR="009125D5" w:rsidRPr="00882640" w14:paraId="1D66D0B9" w14:textId="77777777" w:rsidTr="000D1B2E">
        <w:trPr>
          <w:cnfStyle w:val="010000000000" w:firstRow="0" w:lastRow="1" w:firstColumn="0" w:lastColumn="0" w:oddVBand="0" w:evenVBand="0" w:oddHBand="0" w:evenHBand="0" w:firstRowFirstColumn="0" w:firstRowLastColumn="0" w:lastRowFirstColumn="0" w:lastRowLastColumn="0"/>
        </w:trPr>
        <w:tc>
          <w:tcPr>
            <w:tcW w:w="0" w:type="auto"/>
          </w:tcPr>
          <w:p w14:paraId="65116BCB" w14:textId="77777777" w:rsidR="009125D5" w:rsidRPr="00882640" w:rsidRDefault="009125D5" w:rsidP="000D1B2E">
            <w:pPr>
              <w:pStyle w:val="BodyText1"/>
              <w:spacing w:line="276" w:lineRule="auto"/>
              <w:jc w:val="both"/>
              <w:rPr>
                <w:rFonts w:ascii="TUOS Blake" w:hAnsi="TUOS Blake" w:cs="Times New Roman"/>
                <w:b w:val="0"/>
                <w:sz w:val="22"/>
              </w:rPr>
            </w:pPr>
            <w:proofErr w:type="spellStart"/>
            <w:r w:rsidRPr="00882640">
              <w:rPr>
                <w:rFonts w:ascii="TUOS Blake" w:hAnsi="TUOS Blake" w:cs="Times New Roman"/>
                <w:b w:val="0"/>
                <w:sz w:val="22"/>
              </w:rPr>
              <w:t>SSc</w:t>
            </w:r>
            <w:proofErr w:type="spellEnd"/>
            <w:r w:rsidRPr="00882640">
              <w:rPr>
                <w:rFonts w:ascii="TUOS Blake" w:hAnsi="TUOS Blake" w:cs="Times New Roman"/>
                <w:b w:val="0"/>
                <w:sz w:val="22"/>
              </w:rPr>
              <w:t xml:space="preserve">-PAH from </w:t>
            </w:r>
            <w:proofErr w:type="spellStart"/>
            <w:r w:rsidRPr="00882640">
              <w:rPr>
                <w:rFonts w:ascii="TUOS Blake" w:hAnsi="TUOS Blake" w:cs="Times New Roman"/>
                <w:b w:val="0"/>
                <w:sz w:val="22"/>
              </w:rPr>
              <w:t>SSc</w:t>
            </w:r>
            <w:proofErr w:type="spellEnd"/>
          </w:p>
        </w:tc>
        <w:tc>
          <w:tcPr>
            <w:tcW w:w="0" w:type="auto"/>
          </w:tcPr>
          <w:p w14:paraId="68612555" w14:textId="77777777" w:rsidR="009125D5" w:rsidRPr="00882640" w:rsidRDefault="009125D5" w:rsidP="000D1B2E">
            <w:pPr>
              <w:pStyle w:val="BodyText1"/>
              <w:spacing w:line="276" w:lineRule="auto"/>
              <w:jc w:val="center"/>
              <w:rPr>
                <w:rFonts w:ascii="TUOS Blake" w:hAnsi="TUOS Blake" w:cs="Times New Roman"/>
                <w:b w:val="0"/>
                <w:sz w:val="22"/>
              </w:rPr>
            </w:pPr>
            <w:r w:rsidRPr="00882640">
              <w:rPr>
                <w:rFonts w:ascii="TUOS Blake" w:hAnsi="TUOS Blake" w:cs="Times New Roman"/>
                <w:b w:val="0"/>
                <w:sz w:val="22"/>
              </w:rPr>
              <w:t>.</w:t>
            </w:r>
          </w:p>
        </w:tc>
        <w:tc>
          <w:tcPr>
            <w:tcW w:w="0" w:type="auto"/>
          </w:tcPr>
          <w:p w14:paraId="71E21EDE" w14:textId="77777777" w:rsidR="009125D5" w:rsidRPr="00882640" w:rsidRDefault="009125D5" w:rsidP="000D1B2E">
            <w:pPr>
              <w:pStyle w:val="BodyText1"/>
              <w:spacing w:line="276" w:lineRule="auto"/>
              <w:jc w:val="center"/>
              <w:rPr>
                <w:rFonts w:ascii="TUOS Blake" w:hAnsi="TUOS Blake" w:cs="Times New Roman"/>
                <w:b w:val="0"/>
                <w:sz w:val="22"/>
              </w:rPr>
            </w:pPr>
            <w:r w:rsidRPr="00882640">
              <w:rPr>
                <w:rFonts w:ascii="TUOS Blake" w:hAnsi="TUOS Blake" w:cs="Times New Roman"/>
                <w:b w:val="0"/>
                <w:sz w:val="22"/>
              </w:rPr>
              <w:t>.</w:t>
            </w:r>
          </w:p>
        </w:tc>
        <w:tc>
          <w:tcPr>
            <w:tcW w:w="0" w:type="auto"/>
          </w:tcPr>
          <w:p w14:paraId="0AC7278F" w14:textId="77777777" w:rsidR="009125D5" w:rsidRPr="00882640" w:rsidRDefault="009125D5" w:rsidP="000D1B2E">
            <w:pPr>
              <w:pStyle w:val="BodyText1"/>
              <w:spacing w:line="276" w:lineRule="auto"/>
              <w:jc w:val="center"/>
              <w:rPr>
                <w:rFonts w:ascii="TUOS Blake" w:hAnsi="TUOS Blake" w:cs="Times New Roman"/>
                <w:b w:val="0"/>
                <w:sz w:val="22"/>
              </w:rPr>
            </w:pPr>
            <w:r w:rsidRPr="00882640">
              <w:rPr>
                <w:rFonts w:ascii="TUOS Blake" w:hAnsi="TUOS Blake" w:cs="Times New Roman"/>
                <w:b w:val="0"/>
                <w:sz w:val="22"/>
              </w:rPr>
              <w:t>18</w:t>
            </w:r>
          </w:p>
        </w:tc>
        <w:tc>
          <w:tcPr>
            <w:tcW w:w="0" w:type="auto"/>
          </w:tcPr>
          <w:p w14:paraId="154544A3" w14:textId="77777777" w:rsidR="009125D5" w:rsidRPr="00882640" w:rsidRDefault="009125D5" w:rsidP="000D1B2E">
            <w:pPr>
              <w:pStyle w:val="BodyText1"/>
              <w:spacing w:line="276" w:lineRule="auto"/>
              <w:jc w:val="center"/>
              <w:rPr>
                <w:rFonts w:ascii="TUOS Blake" w:hAnsi="TUOS Blake" w:cs="Times New Roman"/>
                <w:b w:val="0"/>
                <w:sz w:val="22"/>
              </w:rPr>
            </w:pPr>
            <w:r w:rsidRPr="00882640">
              <w:rPr>
                <w:rFonts w:ascii="TUOS Blake" w:hAnsi="TUOS Blake" w:cs="Times New Roman"/>
                <w:b w:val="0"/>
                <w:sz w:val="22"/>
              </w:rPr>
              <w:t>10</w:t>
            </w:r>
          </w:p>
        </w:tc>
      </w:tr>
    </w:tbl>
    <w:p w14:paraId="0C6202D5" w14:textId="652E1142" w:rsidR="009125D5" w:rsidRDefault="009125D5" w:rsidP="009125D5">
      <w:pPr>
        <w:pStyle w:val="Caption"/>
      </w:pPr>
      <w:bookmarkStart w:id="130" w:name="_Ref344048180"/>
      <w:bookmarkStart w:id="131" w:name="_Toc354233087"/>
      <w:bookmarkStart w:id="132" w:name="_Toc60597175"/>
      <w:r>
        <w:t xml:space="preserve">Table </w:t>
      </w:r>
      <w:r w:rsidR="004D7B97">
        <w:fldChar w:fldCharType="begin"/>
      </w:r>
      <w:r w:rsidR="004D7B97">
        <w:instrText xml:space="preserve"> STYLEREF 1 \s </w:instrText>
      </w:r>
      <w:r w:rsidR="004D7B97">
        <w:fldChar w:fldCharType="separate"/>
      </w:r>
      <w:r w:rsidR="00885DE4">
        <w:rPr>
          <w:noProof/>
        </w:rPr>
        <w:t>2</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1</w:t>
      </w:r>
      <w:r w:rsidR="004D7B97">
        <w:fldChar w:fldCharType="end"/>
      </w:r>
      <w:bookmarkEnd w:id="130"/>
      <w:r>
        <w:t xml:space="preserve"> Numbers of samples included in each biomarker discovery cohort.</w:t>
      </w:r>
      <w:bookmarkEnd w:id="131"/>
      <w:bookmarkEnd w:id="132"/>
    </w:p>
    <w:p w14:paraId="27134CA5" w14:textId="77777777" w:rsidR="009125D5" w:rsidRPr="00427F06" w:rsidRDefault="009125D5" w:rsidP="009125D5"/>
    <w:p w14:paraId="2A701050" w14:textId="77777777" w:rsidR="009125D5" w:rsidRDefault="009125D5" w:rsidP="009125D5">
      <w:pPr>
        <w:pStyle w:val="Heading3"/>
        <w:numPr>
          <w:ilvl w:val="1"/>
          <w:numId w:val="7"/>
        </w:numPr>
        <w:spacing w:before="80" w:after="80"/>
      </w:pPr>
      <w:bookmarkStart w:id="133" w:name="_Ref355278537"/>
      <w:bookmarkStart w:id="134" w:name="_Ref344043698"/>
      <w:bookmarkStart w:id="135" w:name="_Toc60773898"/>
      <w:r>
        <w:t>Differential Expression</w:t>
      </w:r>
      <w:bookmarkEnd w:id="133"/>
      <w:bookmarkEnd w:id="135"/>
      <w:r>
        <w:t xml:space="preserve"> </w:t>
      </w:r>
    </w:p>
    <w:p w14:paraId="4A4A0FD1" w14:textId="6BE259EA" w:rsidR="00846A38" w:rsidRDefault="009125D5" w:rsidP="009125D5">
      <w:pPr>
        <w:pStyle w:val="Body"/>
      </w:pPr>
      <w:r>
        <w:t xml:space="preserve">Differential expression was performed in R using the package Linear Models for Microarray Analysis (LIMMA) </w:t>
      </w:r>
      <w:r>
        <w:fldChar w:fldCharType="begin"/>
      </w:r>
      <w:r w:rsidR="004E19A5">
        <w:instrText xml:space="preserve"> ADDIN PAPERS2_CITATIONS &lt;citation&gt;&lt;priority&gt;0&lt;/priority&gt;&lt;uuid&gt;B4CBF00E-3177-4DAA-9735-496AAB0BD1C9&lt;/uuid&gt;&lt;publications&gt;&lt;publication&gt;&lt;subtype&gt;400&lt;/subtype&gt;&lt;title&gt;limma powers differential expression analyses for RNA-sequencing and microarray studies&lt;/title&gt;&lt;url&gt;http://nar.oxfordjournals.org/lookup/doi/10.1093/nar/gkv007&lt;/url&gt;&lt;volume&gt;43&lt;/volume&gt;&lt;publication_date&gt;99201504191200000000222000&lt;/publication_date&gt;&lt;uuid&gt;3064EE4E-AED0-430D-A514-66F91C962B8D&lt;/uuid&gt;&lt;type&gt;400&lt;/type&gt;&lt;number&gt;7&lt;/number&gt;&lt;doi&gt;10.1093/nar/gkv007&lt;/doi&gt;&lt;startpage&gt;e47&lt;/startpage&gt;&lt;endpage&gt;e47&lt;/endpage&gt;&lt;bundle&gt;&lt;publication&gt;&lt;title&gt;Nucleic acids research&lt;/title&gt;&lt;uuid&gt;9B359A5F-A417-47A8-BF20-92FA2490511E&lt;/uuid&gt;&lt;subtype&gt;-100&lt;/subtype&gt;&lt;type&gt;-100&lt;/type&gt;&lt;/publication&gt;&lt;/bundle&gt;&lt;authors&gt;&lt;author&gt;&lt;lastName&gt;Ritchie&lt;/lastName&gt;&lt;firstName&gt;M&lt;/firstName&gt;&lt;middleNames&gt;E&lt;/middleNames&gt;&lt;/author&gt;&lt;author&gt;&lt;lastName&gt;Phipson&lt;/lastName&gt;&lt;firstName&gt;B&lt;/firstName&gt;&lt;/author&gt;&lt;author&gt;&lt;lastName&gt;Wu&lt;/lastName&gt;&lt;firstName&gt;D&lt;/firstName&gt;&lt;/author&gt;&lt;author&gt;&lt;lastName&gt;Hu&lt;/lastName&gt;&lt;firstName&gt;Y&lt;/firstName&gt;&lt;/author&gt;&lt;author&gt;&lt;lastName&gt;Law&lt;/lastName&gt;&lt;firstName&gt;C&lt;/firstName&gt;&lt;middleNames&gt;W&lt;/middleNames&gt;&lt;/author&gt;&lt;author&gt;&lt;lastName&gt;Shi&lt;/lastName&gt;&lt;firstName&gt;W&lt;/firstName&gt;&lt;/author&gt;&lt;author&gt;&lt;lastName&gt;Smyth&lt;/lastName&gt;&lt;firstName&gt;G&lt;/firstName&gt;&lt;middleNames&gt;K&lt;/middleNames&gt;&lt;/author&gt;&lt;/authors&gt;&lt;/publication&gt;&lt;/publications&gt;&lt;cites&gt;&lt;/cites&gt;&lt;/citation&gt;</w:instrText>
      </w:r>
      <w:r>
        <w:fldChar w:fldCharType="separate"/>
      </w:r>
      <w:r w:rsidR="00095567">
        <w:rPr>
          <w:rFonts w:eastAsiaTheme="minorEastAsia"/>
          <w:lang w:val="en-US"/>
        </w:rPr>
        <w:t>(Ritchie et al., 2015)</w:t>
      </w:r>
      <w:r>
        <w:fldChar w:fldCharType="end"/>
      </w:r>
      <w:r>
        <w:t xml:space="preserve">. </w:t>
      </w:r>
    </w:p>
    <w:p w14:paraId="282E93A6" w14:textId="79A3592C" w:rsidR="009125D5" w:rsidRDefault="00846A38" w:rsidP="009125D5">
      <w:pPr>
        <w:pStyle w:val="Body"/>
      </w:pPr>
      <w:r>
        <w:t>Furthermore, t</w:t>
      </w:r>
      <w:r w:rsidR="009125D5">
        <w:t xml:space="preserve">o remove </w:t>
      </w:r>
      <w:proofErr w:type="spellStart"/>
      <w:r w:rsidR="009125D5">
        <w:t>miRs</w:t>
      </w:r>
      <w:proofErr w:type="spellEnd"/>
      <w:r w:rsidR="009125D5">
        <w:t xml:space="preserve"> with extremely low expression </w:t>
      </w:r>
      <w:proofErr w:type="spellStart"/>
      <w:r w:rsidR="009125D5">
        <w:t>miRs</w:t>
      </w:r>
      <w:proofErr w:type="spellEnd"/>
      <w:r w:rsidR="009125D5">
        <w:t xml:space="preserve"> with upper quartile expression &lt;3 </w:t>
      </w:r>
      <w:proofErr w:type="gramStart"/>
      <w:r w:rsidR="009125D5">
        <w:t>were</w:t>
      </w:r>
      <w:proofErr w:type="gramEnd"/>
      <w:r w:rsidR="009125D5">
        <w:t xml:space="preserve"> filtered out</w:t>
      </w:r>
      <w:r w:rsidR="009A7DD9">
        <w:t xml:space="preserve"> so that the majority of miRNAs had detectable expression levels</w:t>
      </w:r>
      <w:r w:rsidR="009125D5">
        <w:t xml:space="preserve">. </w:t>
      </w:r>
    </w:p>
    <w:p w14:paraId="1DE2FED4" w14:textId="77777777" w:rsidR="009125D5" w:rsidRPr="00061DE4" w:rsidRDefault="009125D5" w:rsidP="009125D5">
      <w:pPr>
        <w:pStyle w:val="Body"/>
      </w:pPr>
    </w:p>
    <w:p w14:paraId="2856D559" w14:textId="77777777" w:rsidR="009125D5" w:rsidRPr="00E5229C" w:rsidRDefault="009125D5" w:rsidP="009125D5">
      <w:pPr>
        <w:pStyle w:val="Heading3"/>
        <w:numPr>
          <w:ilvl w:val="1"/>
          <w:numId w:val="7"/>
        </w:numPr>
        <w:spacing w:before="80" w:after="80"/>
      </w:pPr>
      <w:bookmarkStart w:id="136" w:name="_Ref54450600"/>
      <w:bookmarkStart w:id="137" w:name="_Ref54450657"/>
      <w:bookmarkStart w:id="138" w:name="_Toc60773899"/>
      <w:r>
        <w:lastRenderedPageBreak/>
        <w:t>Identification of Biomarkers</w:t>
      </w:r>
      <w:bookmarkEnd w:id="134"/>
      <w:bookmarkEnd w:id="136"/>
      <w:bookmarkEnd w:id="137"/>
      <w:bookmarkEnd w:id="138"/>
    </w:p>
    <w:p w14:paraId="26437201" w14:textId="5EB61595" w:rsidR="009125D5" w:rsidRDefault="009125D5" w:rsidP="009125D5">
      <w:pPr>
        <w:pStyle w:val="Heading3"/>
        <w:numPr>
          <w:ilvl w:val="2"/>
          <w:numId w:val="7"/>
        </w:numPr>
        <w:spacing w:before="80" w:after="80"/>
      </w:pPr>
      <w:bookmarkStart w:id="139" w:name="_Toc60773900"/>
      <w:r>
        <w:t>Filtering</w:t>
      </w:r>
      <w:bookmarkEnd w:id="139"/>
    </w:p>
    <w:p w14:paraId="04794C76" w14:textId="477C93F7" w:rsidR="009125D5" w:rsidRPr="00E5229C" w:rsidRDefault="009125D5" w:rsidP="009125D5">
      <w:pPr>
        <w:pStyle w:val="BodyTextCaption"/>
      </w:pPr>
      <w:r>
        <w:t xml:space="preserve">Identification of biomarkers was performed by a multistep </w:t>
      </w:r>
      <w:r>
        <w:rPr>
          <w:rFonts w:hint="eastAsia"/>
        </w:rPr>
        <w:t>approac</w:t>
      </w:r>
      <w:r w:rsidR="00E2129F">
        <w:t>h</w:t>
      </w:r>
      <w:r>
        <w:t>. In order to minimize any misleading biomarkers from over-fitting, the number of potential targets was reduced</w:t>
      </w:r>
      <w:r w:rsidR="001E30FA">
        <w:t xml:space="preserve"> by filtering and feature selection</w:t>
      </w:r>
      <w:r w:rsidR="00B03C82">
        <w:t xml:space="preserve"> as discussed in </w:t>
      </w:r>
      <w:r w:rsidR="003B2B2E">
        <w:fldChar w:fldCharType="begin"/>
      </w:r>
      <w:r w:rsidR="003B2B2E">
        <w:instrText xml:space="preserve"> REF _Ref54451477 \r \h </w:instrText>
      </w:r>
      <w:r w:rsidR="003B2B2E">
        <w:fldChar w:fldCharType="separate"/>
      </w:r>
      <w:r w:rsidR="00885DE4">
        <w:t>1.7.2</w:t>
      </w:r>
      <w:r w:rsidR="003B2B2E">
        <w:fldChar w:fldCharType="end"/>
      </w:r>
      <w:r>
        <w:t xml:space="preserve">.  Initial filtering by ROC AUC and Spearman correlation was performed followed by feature selection and finally biomarker panel building. </w:t>
      </w:r>
    </w:p>
    <w:p w14:paraId="3C76F1E8" w14:textId="77777777" w:rsidR="009125D5" w:rsidRDefault="009125D5" w:rsidP="009125D5">
      <w:pPr>
        <w:pStyle w:val="Heading3"/>
        <w:numPr>
          <w:ilvl w:val="2"/>
          <w:numId w:val="7"/>
        </w:numPr>
        <w:spacing w:before="80" w:after="80"/>
      </w:pPr>
      <w:bookmarkStart w:id="140" w:name="_Toc60773901"/>
      <w:r>
        <w:t>Receiver Operator Characteristics</w:t>
      </w:r>
      <w:bookmarkEnd w:id="140"/>
    </w:p>
    <w:p w14:paraId="3A2B1D1C" w14:textId="77777777" w:rsidR="009125D5" w:rsidRPr="00CC2F50" w:rsidRDefault="009125D5" w:rsidP="009125D5">
      <w:pPr>
        <w:pStyle w:val="BodyTextCaption"/>
      </w:pPr>
      <w:r w:rsidRPr="00CC2F50">
        <w:t xml:space="preserve">The diagnostic </w:t>
      </w:r>
      <w:r>
        <w:t>potential</w:t>
      </w:r>
      <w:r w:rsidRPr="00CC2F50">
        <w:t xml:space="preserve"> of each individual </w:t>
      </w:r>
      <w:proofErr w:type="spellStart"/>
      <w:r w:rsidRPr="00CC2F50">
        <w:t>miR</w:t>
      </w:r>
      <w:proofErr w:type="spellEnd"/>
      <w:r w:rsidRPr="00CC2F50">
        <w:t xml:space="preserve"> was determined by ROC analysis using the R package </w:t>
      </w:r>
      <w:proofErr w:type="spellStart"/>
      <w:r w:rsidRPr="00CC2F50">
        <w:t>OptimalCutpoints</w:t>
      </w:r>
      <w:proofErr w:type="spellEnd"/>
      <w:r w:rsidRPr="00CC2F50">
        <w:t xml:space="preserve"> (Lopez-Raton et al., 2014). </w:t>
      </w:r>
      <w:proofErr w:type="spellStart"/>
      <w:r w:rsidRPr="00CC2F50">
        <w:t>miRs</w:t>
      </w:r>
      <w:proofErr w:type="spellEnd"/>
      <w:r w:rsidRPr="00CC2F50">
        <w:t xml:space="preserve"> with a ROC AUC &lt;0.65 were removed from further analysis. </w:t>
      </w:r>
    </w:p>
    <w:p w14:paraId="23088E1F" w14:textId="77777777" w:rsidR="009125D5" w:rsidRDefault="009125D5" w:rsidP="009125D5">
      <w:pPr>
        <w:pStyle w:val="Heading3"/>
        <w:numPr>
          <w:ilvl w:val="2"/>
          <w:numId w:val="7"/>
        </w:numPr>
        <w:spacing w:before="80" w:after="80"/>
      </w:pPr>
      <w:bookmarkStart w:id="141" w:name="_Toc60773902"/>
      <w:r>
        <w:t>Identification of Correlating miRNAs</w:t>
      </w:r>
      <w:bookmarkEnd w:id="141"/>
    </w:p>
    <w:p w14:paraId="1A40F1AA" w14:textId="77777777" w:rsidR="009125D5" w:rsidRPr="00CC2F50" w:rsidRDefault="009125D5" w:rsidP="009125D5">
      <w:pPr>
        <w:pStyle w:val="BodyTextCaption"/>
      </w:pPr>
      <w:r w:rsidRPr="00CC2F50">
        <w:t xml:space="preserve">Co-linear </w:t>
      </w:r>
      <w:proofErr w:type="spellStart"/>
      <w:r w:rsidRPr="00CC2F50">
        <w:t>miRs</w:t>
      </w:r>
      <w:proofErr w:type="spellEnd"/>
      <w:r w:rsidRPr="00CC2F50">
        <w:t xml:space="preserve"> were identified with an absolute Spearman correlation coefficient &gt;0.75.</w:t>
      </w:r>
      <w:r>
        <w:t xml:space="preserve"> Of the correlated </w:t>
      </w:r>
      <w:proofErr w:type="spellStart"/>
      <w:r>
        <w:t>miRs</w:t>
      </w:r>
      <w:proofErr w:type="spellEnd"/>
      <w:r>
        <w:t>,</w:t>
      </w:r>
      <w:r w:rsidRPr="00CC2F50">
        <w:t xml:space="preserve"> </w:t>
      </w:r>
      <w:proofErr w:type="gramStart"/>
      <w:r>
        <w:t>wet-lab</w:t>
      </w:r>
      <w:proofErr w:type="gramEnd"/>
      <w:r>
        <w:t xml:space="preserve"> validated </w:t>
      </w:r>
      <w:proofErr w:type="spellStart"/>
      <w:r>
        <w:t>miRs</w:t>
      </w:r>
      <w:proofErr w:type="spellEnd"/>
      <w:r>
        <w:t xml:space="preserve"> were prioritised to be retained. However, if further separation was required then </w:t>
      </w:r>
      <w:r w:rsidRPr="00CC2F50">
        <w:t>the</w:t>
      </w:r>
      <w:r>
        <w:t xml:space="preserve"> </w:t>
      </w:r>
      <w:proofErr w:type="spellStart"/>
      <w:r>
        <w:t>miR</w:t>
      </w:r>
      <w:proofErr w:type="spellEnd"/>
      <w:r>
        <w:t xml:space="preserve"> with the</w:t>
      </w:r>
      <w:r w:rsidRPr="00CC2F50">
        <w:t xml:space="preserve"> </w:t>
      </w:r>
      <w:r>
        <w:t>largest</w:t>
      </w:r>
      <w:r w:rsidRPr="00CC2F50">
        <w:t xml:space="preserve"> AUC </w:t>
      </w:r>
      <w:r>
        <w:t>was</w:t>
      </w:r>
      <w:r w:rsidRPr="00CC2F50">
        <w:t xml:space="preserve"> retained for final feature selection. </w:t>
      </w:r>
    </w:p>
    <w:p w14:paraId="4883B54A" w14:textId="77777777" w:rsidR="009125D5" w:rsidRDefault="009125D5" w:rsidP="009125D5">
      <w:pPr>
        <w:pStyle w:val="Heading3"/>
        <w:numPr>
          <w:ilvl w:val="2"/>
          <w:numId w:val="7"/>
        </w:numPr>
        <w:spacing w:before="80" w:after="80"/>
      </w:pPr>
      <w:bookmarkStart w:id="142" w:name="_Toc60773903"/>
      <w:r>
        <w:t>Feature Selection</w:t>
      </w:r>
      <w:bookmarkEnd w:id="142"/>
    </w:p>
    <w:p w14:paraId="7FCEAA00" w14:textId="77777777" w:rsidR="009125D5" w:rsidRPr="00CC2F50" w:rsidRDefault="009125D5" w:rsidP="009125D5">
      <w:pPr>
        <w:pStyle w:val="BodyTextCaption"/>
      </w:pPr>
      <w:r w:rsidRPr="0005401C">
        <w:t>Final feature selection was performed on the filtered data using Boruta and, where sufficient sample numbers allowed, the LASSO feature selection algorithms. Boruta features marked as “confirmed” were retained and</w:t>
      </w:r>
      <w:r>
        <w:t xml:space="preserve"> from</w:t>
      </w:r>
      <w:r w:rsidRPr="0005401C">
        <w:t xml:space="preserve"> LASSO features with a coefficient was &gt;0.00 were</w:t>
      </w:r>
      <w:r>
        <w:t xml:space="preserve"> retained</w:t>
      </w:r>
      <w:r w:rsidRPr="0005401C">
        <w:t>.</w:t>
      </w:r>
      <w:r w:rsidRPr="00CC2F50">
        <w:t xml:space="preserve"> </w:t>
      </w:r>
    </w:p>
    <w:p w14:paraId="365CC533" w14:textId="77777777" w:rsidR="009125D5" w:rsidRDefault="009125D5" w:rsidP="009125D5">
      <w:pPr>
        <w:pStyle w:val="Heading3"/>
        <w:numPr>
          <w:ilvl w:val="2"/>
          <w:numId w:val="7"/>
        </w:numPr>
        <w:spacing w:before="80" w:after="80"/>
      </w:pPr>
      <w:bookmarkStart w:id="143" w:name="_Ref349732895"/>
      <w:bookmarkStart w:id="144" w:name="_Toc60773904"/>
      <w:r>
        <w:t>Combining Features into Panels</w:t>
      </w:r>
      <w:bookmarkEnd w:id="143"/>
      <w:bookmarkEnd w:id="144"/>
    </w:p>
    <w:p w14:paraId="20061177" w14:textId="3D96124B" w:rsidR="009125D5" w:rsidRPr="00CC2F50" w:rsidRDefault="009125D5" w:rsidP="009125D5">
      <w:pPr>
        <w:pStyle w:val="Body"/>
      </w:pPr>
      <w:proofErr w:type="spellStart"/>
      <w:r w:rsidRPr="00CC2F50">
        <w:t>miRs</w:t>
      </w:r>
      <w:proofErr w:type="spellEnd"/>
      <w:r>
        <w:t xml:space="preserve"> were constructed</w:t>
      </w:r>
      <w:r w:rsidRPr="00CC2F50">
        <w:t xml:space="preserve"> into panels based upon their </w:t>
      </w:r>
      <w:r>
        <w:t>univariate diagnostic</w:t>
      </w:r>
      <w:r w:rsidRPr="00CC2F50">
        <w:t xml:space="preserve"> thresholds</w:t>
      </w:r>
      <w:r>
        <w:t xml:space="preserve"> as</w:t>
      </w:r>
      <w:r w:rsidRPr="00CC2F50">
        <w:t xml:space="preserve"> determined by ROC curve</w:t>
      </w:r>
      <w:r>
        <w:t xml:space="preserve"> analysis</w:t>
      </w:r>
      <w:r w:rsidRPr="00CC2F50">
        <w:t xml:space="preserve">. For each </w:t>
      </w:r>
      <w:proofErr w:type="spellStart"/>
      <w:r w:rsidRPr="00CC2F50">
        <w:t>miR</w:t>
      </w:r>
      <w:proofErr w:type="spellEnd"/>
      <w:r w:rsidRPr="00CC2F50">
        <w:t xml:space="preserve"> an expression threshold was </w:t>
      </w:r>
      <w:r w:rsidRPr="00CC2F50">
        <w:lastRenderedPageBreak/>
        <w:t>determined at the point of maximum sensitivity and</w:t>
      </w:r>
      <w:r>
        <w:t xml:space="preserve"> specificity</w:t>
      </w:r>
      <w:r w:rsidRPr="00CC2F50">
        <w:t xml:space="preserve">. A patient score was generated as </w:t>
      </w:r>
      <w:r>
        <w:t xml:space="preserve">the number of </w:t>
      </w:r>
      <w:proofErr w:type="spellStart"/>
      <w:r>
        <w:t>miRs</w:t>
      </w:r>
      <w:proofErr w:type="spellEnd"/>
      <w:r>
        <w:t xml:space="preserve"> </w:t>
      </w:r>
      <w:r w:rsidR="00D2660F">
        <w:t xml:space="preserve">within the panel </w:t>
      </w:r>
      <w:r>
        <w:t>exceeding this</w:t>
      </w:r>
      <w:r w:rsidRPr="00CC2F50">
        <w:t xml:space="preserve"> threshold.</w:t>
      </w:r>
    </w:p>
    <w:p w14:paraId="23D8D734" w14:textId="77777777" w:rsidR="009125D5" w:rsidRPr="00CC2F50" w:rsidRDefault="009125D5" w:rsidP="009125D5">
      <w:pPr>
        <w:pStyle w:val="Body"/>
      </w:pPr>
    </w:p>
    <w:p w14:paraId="50C4989E" w14:textId="1C50C0F0" w:rsidR="009125D5" w:rsidRPr="00E5229C" w:rsidRDefault="009125D5" w:rsidP="009125D5">
      <w:pPr>
        <w:pStyle w:val="Body"/>
      </w:pPr>
      <w:r w:rsidRPr="00CC2F50">
        <w:t xml:space="preserve">To find the best diagnostic panel all selected </w:t>
      </w:r>
      <w:proofErr w:type="spellStart"/>
      <w:r w:rsidRPr="00CC2F50">
        <w:t>miRs</w:t>
      </w:r>
      <w:proofErr w:type="spellEnd"/>
      <w:r w:rsidRPr="00CC2F50">
        <w:t xml:space="preserve"> were combined into exhaustive possible panel combinations containing between 2-5</w:t>
      </w:r>
      <w:r>
        <w:t xml:space="preserve"> </w:t>
      </w:r>
      <w:proofErr w:type="spellStart"/>
      <w:r w:rsidRPr="00CC2F50">
        <w:t>miRs</w:t>
      </w:r>
      <w:proofErr w:type="spellEnd"/>
      <w:r w:rsidRPr="00CC2F50">
        <w:t xml:space="preserve">. </w:t>
      </w:r>
      <w:r w:rsidR="00E2774F">
        <w:t xml:space="preserve">Panels were not built greater than 5 </w:t>
      </w:r>
      <w:proofErr w:type="spellStart"/>
      <w:r w:rsidR="00E2774F">
        <w:t>miRs</w:t>
      </w:r>
      <w:proofErr w:type="spellEnd"/>
      <w:r w:rsidR="00E2774F">
        <w:t xml:space="preserve"> due to the</w:t>
      </w:r>
      <w:r w:rsidR="00FB5309">
        <w:t xml:space="preserve"> increased</w:t>
      </w:r>
      <w:r w:rsidR="00E2774F">
        <w:t xml:space="preserve"> computation time required</w:t>
      </w:r>
      <w:r w:rsidR="00A07634">
        <w:t>,</w:t>
      </w:r>
      <w:r w:rsidR="00E2774F">
        <w:t xml:space="preserve"> </w:t>
      </w:r>
      <w:r w:rsidR="00A07634">
        <w:t xml:space="preserve">this made </w:t>
      </w:r>
      <w:r w:rsidR="00FB5309">
        <w:t>larger panels impractical to investigate</w:t>
      </w:r>
      <w:r w:rsidR="00905293">
        <w:t xml:space="preserve">. </w:t>
      </w:r>
      <w:r w:rsidRPr="00CC2F50">
        <w:t xml:space="preserve">Panels with a sensitivity and specificity of &gt;0.8 were subjected to k-fold cross-validation repeated 10 times. The value of k was selected as appropriate for </w:t>
      </w:r>
      <w:r>
        <w:t xml:space="preserve">the size of </w:t>
      </w:r>
      <w:r w:rsidRPr="00CC2F50">
        <w:t xml:space="preserve">each of the cohorts tested, for HV and IPAH a k of 10 was used and for the smaller </w:t>
      </w:r>
      <w:proofErr w:type="spellStart"/>
      <w:r w:rsidRPr="00CC2F50">
        <w:t>SSc</w:t>
      </w:r>
      <w:proofErr w:type="spellEnd"/>
      <w:r w:rsidRPr="00CC2F50">
        <w:t xml:space="preserve"> cohort</w:t>
      </w:r>
      <w:r w:rsidR="00D425FB" w:rsidRPr="00D425FB">
        <w:t xml:space="preserve"> </w:t>
      </w:r>
      <w:r w:rsidR="00D425FB" w:rsidRPr="00CC2F50">
        <w:t>a k of 3 was used</w:t>
      </w:r>
      <w:r w:rsidRPr="00CC2F50">
        <w:t>.</w:t>
      </w:r>
      <w:r>
        <w:t xml:space="preserve"> </w:t>
      </w:r>
      <w:r w:rsidRPr="00882640">
        <w:t>The resulting panels were assessed based on their sensitivity, specificity</w:t>
      </w:r>
      <w:r>
        <w:t>,</w:t>
      </w:r>
      <w:r w:rsidRPr="00882640">
        <w:t xml:space="preserve"> </w:t>
      </w:r>
      <w:r>
        <w:t>positive predictive value</w:t>
      </w:r>
      <w:r w:rsidRPr="00882640">
        <w:t xml:space="preserve"> and </w:t>
      </w:r>
      <w:r>
        <w:t>negative predictive value</w:t>
      </w:r>
      <w:r w:rsidRPr="00882640">
        <w:t>.</w:t>
      </w:r>
    </w:p>
    <w:p w14:paraId="211FBE1E" w14:textId="77777777" w:rsidR="009125D5" w:rsidRPr="00E5229C" w:rsidRDefault="009125D5" w:rsidP="009125D5">
      <w:pPr>
        <w:pStyle w:val="Heading3"/>
        <w:numPr>
          <w:ilvl w:val="1"/>
          <w:numId w:val="7"/>
        </w:numPr>
        <w:spacing w:before="80" w:after="80"/>
      </w:pPr>
      <w:bookmarkStart w:id="145" w:name="_Toc60773905"/>
      <w:r>
        <w:t>Quantification of miRNAs by qPCR</w:t>
      </w:r>
      <w:bookmarkEnd w:id="145"/>
      <w:r>
        <w:t xml:space="preserve"> </w:t>
      </w:r>
    </w:p>
    <w:p w14:paraId="59CD3AC5" w14:textId="77777777" w:rsidR="009125D5" w:rsidRDefault="009125D5" w:rsidP="009125D5">
      <w:pPr>
        <w:pStyle w:val="Body"/>
      </w:pPr>
      <w:r>
        <w:t xml:space="preserve">Quantification of target miRNAs levels was performed using the </w:t>
      </w:r>
      <w:proofErr w:type="spellStart"/>
      <w:r>
        <w:t>Exiqon</w:t>
      </w:r>
      <w:proofErr w:type="spellEnd"/>
      <w:r>
        <w:t xml:space="preserve"> (Denmark) </w:t>
      </w:r>
      <w:proofErr w:type="spellStart"/>
      <w:r>
        <w:t>miRCURY</w:t>
      </w:r>
      <w:proofErr w:type="spellEnd"/>
      <w:r>
        <w:t xml:space="preserve"> LNA SYBR Universal RT PCR system in a multi-step protocol detailed below.</w:t>
      </w:r>
    </w:p>
    <w:p w14:paraId="31548869" w14:textId="77777777" w:rsidR="009125D5" w:rsidRPr="00E5229C" w:rsidRDefault="009125D5" w:rsidP="009125D5">
      <w:pPr>
        <w:pStyle w:val="Heading3"/>
        <w:numPr>
          <w:ilvl w:val="2"/>
          <w:numId w:val="7"/>
        </w:numPr>
        <w:spacing w:before="80" w:after="80"/>
      </w:pPr>
      <w:bookmarkStart w:id="146" w:name="_Ref367556423"/>
      <w:bookmarkStart w:id="147" w:name="_Toc60773906"/>
      <w:r>
        <w:t>Complementary DNA Synthesis</w:t>
      </w:r>
      <w:bookmarkEnd w:id="146"/>
      <w:bookmarkEnd w:id="147"/>
    </w:p>
    <w:p w14:paraId="1301ECC1" w14:textId="7DD71B57" w:rsidR="009125D5" w:rsidRDefault="009125D5" w:rsidP="009125D5">
      <w:pPr>
        <w:pStyle w:val="Body"/>
      </w:pPr>
      <w:r>
        <w:t xml:space="preserve">MicroRNAs were reverse transcribed to complementary DNA (cDNA) with the Universal cDNA </w:t>
      </w:r>
      <w:proofErr w:type="spellStart"/>
      <w:r>
        <w:t>Snythesis</w:t>
      </w:r>
      <w:proofErr w:type="spellEnd"/>
      <w:r>
        <w:t xml:space="preserve"> Kit II (</w:t>
      </w:r>
      <w:proofErr w:type="spellStart"/>
      <w:r>
        <w:t>Exiqon</w:t>
      </w:r>
      <w:proofErr w:type="spellEnd"/>
      <w:r>
        <w:t xml:space="preserve">, Denmark). On ice, cDNA master mix was prepared according to </w:t>
      </w:r>
      <w:r>
        <w:fldChar w:fldCharType="begin"/>
      </w:r>
      <w:r>
        <w:instrText xml:space="preserve"> REF _Ref366866194 \h </w:instrText>
      </w:r>
      <w:r>
        <w:fldChar w:fldCharType="separate"/>
      </w:r>
      <w:r w:rsidR="00885DE4">
        <w:t xml:space="preserve">Table </w:t>
      </w:r>
      <w:r w:rsidR="00885DE4">
        <w:rPr>
          <w:noProof/>
        </w:rPr>
        <w:t>2</w:t>
      </w:r>
      <w:r w:rsidR="00885DE4">
        <w:noBreakHyphen/>
      </w:r>
      <w:r w:rsidR="00885DE4">
        <w:rPr>
          <w:noProof/>
        </w:rPr>
        <w:t>2</w:t>
      </w:r>
      <w:r>
        <w:fldChar w:fldCharType="end"/>
      </w:r>
      <w:r>
        <w:t xml:space="preserve"> and 8µl added to 2µl of RNA in a 0.2µl </w:t>
      </w:r>
      <w:r w:rsidR="00D425FB">
        <w:t>microfuge tube</w:t>
      </w:r>
      <w:r>
        <w:t>, mixed gently followed by brief centrifugation. The reaction was thermal cycled (Verity Thermal Cycler, Life Technologies UK) at 42ºC for 60 minutes, followed by 95ºC for 5 minutes and immediately chilled and held at 4ºC. An initial 1:8 stock dilution was performed by addition of 70µl of nuclease free water before being stored at -80ºC.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6"/>
        <w:gridCol w:w="2272"/>
        <w:gridCol w:w="2272"/>
      </w:tblGrid>
      <w:tr w:rsidR="009125D5" w14:paraId="7E210AE4" w14:textId="77777777" w:rsidTr="000D1B2E">
        <w:trPr>
          <w:trHeight w:val="534"/>
        </w:trPr>
        <w:tc>
          <w:tcPr>
            <w:tcW w:w="2320" w:type="dxa"/>
            <w:tcBorders>
              <w:top w:val="single" w:sz="4" w:space="0" w:color="auto"/>
              <w:bottom w:val="single" w:sz="4" w:space="0" w:color="auto"/>
            </w:tcBorders>
            <w:shd w:val="clear" w:color="auto" w:fill="F2F2F2" w:themeFill="background1" w:themeFillShade="F2"/>
            <w:vAlign w:val="center"/>
          </w:tcPr>
          <w:p w14:paraId="4BE45BF7" w14:textId="77777777" w:rsidR="009125D5" w:rsidRPr="003076B9"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b/>
              </w:rPr>
            </w:pPr>
            <w:r w:rsidRPr="003076B9">
              <w:rPr>
                <w:b/>
              </w:rPr>
              <w:lastRenderedPageBreak/>
              <w:t>Reagent</w:t>
            </w:r>
          </w:p>
        </w:tc>
        <w:tc>
          <w:tcPr>
            <w:tcW w:w="2320" w:type="dxa"/>
            <w:tcBorders>
              <w:top w:val="single" w:sz="4" w:space="0" w:color="auto"/>
              <w:bottom w:val="single" w:sz="4" w:space="0" w:color="auto"/>
            </w:tcBorders>
            <w:shd w:val="clear" w:color="auto" w:fill="F2F2F2" w:themeFill="background1" w:themeFillShade="F2"/>
            <w:vAlign w:val="center"/>
          </w:tcPr>
          <w:p w14:paraId="12A8E0E2" w14:textId="77777777" w:rsidR="009125D5" w:rsidRPr="003076B9"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b/>
              </w:rPr>
            </w:pPr>
            <w:r w:rsidRPr="003076B9">
              <w:rPr>
                <w:b/>
              </w:rPr>
              <w:t>Volume (µl)</w:t>
            </w:r>
          </w:p>
        </w:tc>
        <w:tc>
          <w:tcPr>
            <w:tcW w:w="2320" w:type="dxa"/>
            <w:tcBorders>
              <w:top w:val="single" w:sz="4" w:space="0" w:color="auto"/>
              <w:bottom w:val="single" w:sz="4" w:space="0" w:color="auto"/>
            </w:tcBorders>
            <w:shd w:val="clear" w:color="auto" w:fill="F2F2F2" w:themeFill="background1" w:themeFillShade="F2"/>
            <w:vAlign w:val="center"/>
          </w:tcPr>
          <w:p w14:paraId="73C802E2" w14:textId="77777777" w:rsidR="009125D5" w:rsidRPr="003076B9"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b/>
              </w:rPr>
            </w:pPr>
            <w:r>
              <w:rPr>
                <w:b/>
              </w:rPr>
              <w:t>x</w:t>
            </w:r>
            <w:r w:rsidRPr="003076B9">
              <w:rPr>
                <w:b/>
              </w:rPr>
              <w:t>5 (10% overage)</w:t>
            </w:r>
          </w:p>
        </w:tc>
        <w:tc>
          <w:tcPr>
            <w:tcW w:w="2320" w:type="dxa"/>
            <w:tcBorders>
              <w:top w:val="single" w:sz="4" w:space="0" w:color="auto"/>
              <w:bottom w:val="single" w:sz="4" w:space="0" w:color="auto"/>
            </w:tcBorders>
            <w:shd w:val="clear" w:color="auto" w:fill="F2F2F2" w:themeFill="background1" w:themeFillShade="F2"/>
            <w:vAlign w:val="center"/>
          </w:tcPr>
          <w:p w14:paraId="5B238E90" w14:textId="77777777" w:rsidR="009125D5" w:rsidRPr="003076B9"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b/>
              </w:rPr>
            </w:pPr>
            <w:r>
              <w:rPr>
                <w:b/>
              </w:rPr>
              <w:t>x</w:t>
            </w:r>
            <w:r w:rsidRPr="003076B9">
              <w:rPr>
                <w:b/>
              </w:rPr>
              <w:t>10 (10% overage)</w:t>
            </w:r>
          </w:p>
        </w:tc>
      </w:tr>
      <w:tr w:rsidR="009125D5" w14:paraId="0E6EF6B2" w14:textId="77777777" w:rsidTr="000D1B2E">
        <w:tc>
          <w:tcPr>
            <w:tcW w:w="2320" w:type="dxa"/>
            <w:tcBorders>
              <w:top w:val="single" w:sz="4" w:space="0" w:color="auto"/>
            </w:tcBorders>
            <w:vAlign w:val="center"/>
          </w:tcPr>
          <w:p w14:paraId="54ABD233"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5x Reaction Buffer</w:t>
            </w:r>
          </w:p>
        </w:tc>
        <w:tc>
          <w:tcPr>
            <w:tcW w:w="2320" w:type="dxa"/>
            <w:tcBorders>
              <w:top w:val="single" w:sz="4" w:space="0" w:color="auto"/>
            </w:tcBorders>
            <w:vAlign w:val="center"/>
          </w:tcPr>
          <w:p w14:paraId="5EABD4A7"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2</w:t>
            </w:r>
          </w:p>
        </w:tc>
        <w:tc>
          <w:tcPr>
            <w:tcW w:w="2320" w:type="dxa"/>
            <w:tcBorders>
              <w:top w:val="single" w:sz="4" w:space="0" w:color="auto"/>
            </w:tcBorders>
            <w:vAlign w:val="center"/>
          </w:tcPr>
          <w:p w14:paraId="0109FA9D"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11</w:t>
            </w:r>
          </w:p>
        </w:tc>
        <w:tc>
          <w:tcPr>
            <w:tcW w:w="2320" w:type="dxa"/>
            <w:tcBorders>
              <w:top w:val="single" w:sz="4" w:space="0" w:color="auto"/>
            </w:tcBorders>
            <w:vAlign w:val="center"/>
          </w:tcPr>
          <w:p w14:paraId="76E01ABF"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110</w:t>
            </w:r>
          </w:p>
        </w:tc>
      </w:tr>
      <w:tr w:rsidR="009125D5" w14:paraId="0C15DD37" w14:textId="77777777" w:rsidTr="000D1B2E">
        <w:tc>
          <w:tcPr>
            <w:tcW w:w="2320" w:type="dxa"/>
            <w:vAlign w:val="center"/>
          </w:tcPr>
          <w:p w14:paraId="51FAB97E"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Water</w:t>
            </w:r>
          </w:p>
        </w:tc>
        <w:tc>
          <w:tcPr>
            <w:tcW w:w="2320" w:type="dxa"/>
            <w:vAlign w:val="center"/>
          </w:tcPr>
          <w:p w14:paraId="1AAB04C5"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4.5</w:t>
            </w:r>
          </w:p>
        </w:tc>
        <w:tc>
          <w:tcPr>
            <w:tcW w:w="2320" w:type="dxa"/>
            <w:vAlign w:val="center"/>
          </w:tcPr>
          <w:p w14:paraId="2DE2C5EB"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24.75</w:t>
            </w:r>
          </w:p>
        </w:tc>
        <w:tc>
          <w:tcPr>
            <w:tcW w:w="2320" w:type="dxa"/>
            <w:vAlign w:val="center"/>
          </w:tcPr>
          <w:p w14:paraId="6FCFA5BB"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49.5</w:t>
            </w:r>
          </w:p>
        </w:tc>
      </w:tr>
      <w:tr w:rsidR="009125D5" w14:paraId="3863DE26" w14:textId="77777777" w:rsidTr="000D1B2E">
        <w:tc>
          <w:tcPr>
            <w:tcW w:w="2320" w:type="dxa"/>
            <w:vAlign w:val="center"/>
          </w:tcPr>
          <w:p w14:paraId="3DD43835"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Enzyme mix</w:t>
            </w:r>
          </w:p>
        </w:tc>
        <w:tc>
          <w:tcPr>
            <w:tcW w:w="2320" w:type="dxa"/>
            <w:vAlign w:val="center"/>
          </w:tcPr>
          <w:p w14:paraId="117D300F"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1</w:t>
            </w:r>
          </w:p>
        </w:tc>
        <w:tc>
          <w:tcPr>
            <w:tcW w:w="2320" w:type="dxa"/>
            <w:vAlign w:val="center"/>
          </w:tcPr>
          <w:p w14:paraId="0AA96B05"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5.5</w:t>
            </w:r>
          </w:p>
        </w:tc>
        <w:tc>
          <w:tcPr>
            <w:tcW w:w="2320" w:type="dxa"/>
            <w:vAlign w:val="center"/>
          </w:tcPr>
          <w:p w14:paraId="207B61CE"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11</w:t>
            </w:r>
          </w:p>
        </w:tc>
      </w:tr>
      <w:tr w:rsidR="009125D5" w14:paraId="1579618C" w14:textId="77777777" w:rsidTr="000D1B2E">
        <w:tc>
          <w:tcPr>
            <w:tcW w:w="2320" w:type="dxa"/>
            <w:tcBorders>
              <w:bottom w:val="single" w:sz="4" w:space="0" w:color="auto"/>
            </w:tcBorders>
            <w:vAlign w:val="center"/>
          </w:tcPr>
          <w:p w14:paraId="6A4E2820"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RNA spike in</w:t>
            </w:r>
          </w:p>
        </w:tc>
        <w:tc>
          <w:tcPr>
            <w:tcW w:w="2320" w:type="dxa"/>
            <w:tcBorders>
              <w:bottom w:val="single" w:sz="4" w:space="0" w:color="auto"/>
            </w:tcBorders>
            <w:vAlign w:val="center"/>
          </w:tcPr>
          <w:p w14:paraId="53664909"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0.5</w:t>
            </w:r>
          </w:p>
        </w:tc>
        <w:tc>
          <w:tcPr>
            <w:tcW w:w="2320" w:type="dxa"/>
            <w:tcBorders>
              <w:bottom w:val="single" w:sz="4" w:space="0" w:color="auto"/>
            </w:tcBorders>
            <w:vAlign w:val="center"/>
          </w:tcPr>
          <w:p w14:paraId="160CD050"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2.75</w:t>
            </w:r>
          </w:p>
        </w:tc>
        <w:tc>
          <w:tcPr>
            <w:tcW w:w="2320" w:type="dxa"/>
            <w:tcBorders>
              <w:bottom w:val="single" w:sz="4" w:space="0" w:color="auto"/>
            </w:tcBorders>
            <w:vAlign w:val="center"/>
          </w:tcPr>
          <w:p w14:paraId="04A05213"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5.5</w:t>
            </w:r>
          </w:p>
        </w:tc>
      </w:tr>
      <w:tr w:rsidR="009125D5" w14:paraId="311FEDA6" w14:textId="77777777" w:rsidTr="000D1B2E">
        <w:tc>
          <w:tcPr>
            <w:tcW w:w="2320" w:type="dxa"/>
            <w:tcBorders>
              <w:top w:val="single" w:sz="4" w:space="0" w:color="auto"/>
              <w:bottom w:val="single" w:sz="4" w:space="0" w:color="auto"/>
            </w:tcBorders>
            <w:vAlign w:val="center"/>
          </w:tcPr>
          <w:p w14:paraId="6C9FE5A3"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Total volume (µl)</w:t>
            </w:r>
          </w:p>
        </w:tc>
        <w:tc>
          <w:tcPr>
            <w:tcW w:w="2320" w:type="dxa"/>
            <w:tcBorders>
              <w:top w:val="single" w:sz="4" w:space="0" w:color="auto"/>
              <w:bottom w:val="single" w:sz="4" w:space="0" w:color="auto"/>
            </w:tcBorders>
            <w:vAlign w:val="center"/>
          </w:tcPr>
          <w:p w14:paraId="4D399DBE"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8</w:t>
            </w:r>
          </w:p>
        </w:tc>
        <w:tc>
          <w:tcPr>
            <w:tcW w:w="2320" w:type="dxa"/>
            <w:tcBorders>
              <w:top w:val="single" w:sz="4" w:space="0" w:color="auto"/>
              <w:bottom w:val="single" w:sz="4" w:space="0" w:color="auto"/>
            </w:tcBorders>
            <w:vAlign w:val="center"/>
          </w:tcPr>
          <w:p w14:paraId="366561DC"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44</w:t>
            </w:r>
          </w:p>
        </w:tc>
        <w:tc>
          <w:tcPr>
            <w:tcW w:w="2320" w:type="dxa"/>
            <w:tcBorders>
              <w:top w:val="single" w:sz="4" w:space="0" w:color="auto"/>
              <w:bottom w:val="single" w:sz="4" w:space="0" w:color="auto"/>
            </w:tcBorders>
            <w:vAlign w:val="center"/>
          </w:tcPr>
          <w:p w14:paraId="6A67F49C"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88</w:t>
            </w:r>
          </w:p>
        </w:tc>
      </w:tr>
    </w:tbl>
    <w:p w14:paraId="30ECBF24" w14:textId="37152094" w:rsidR="009125D5" w:rsidRDefault="009125D5" w:rsidP="009125D5">
      <w:pPr>
        <w:pStyle w:val="Body"/>
      </w:pPr>
      <w:bookmarkStart w:id="148" w:name="_Ref366866194"/>
      <w:bookmarkStart w:id="149" w:name="_Toc60597176"/>
      <w:r>
        <w:t xml:space="preserve">Table </w:t>
      </w:r>
      <w:r w:rsidR="004D7B97">
        <w:fldChar w:fldCharType="begin"/>
      </w:r>
      <w:r w:rsidR="004D7B97">
        <w:instrText xml:space="preserve"> STYLEREF 1 \s </w:instrText>
      </w:r>
      <w:r w:rsidR="004D7B97">
        <w:fldChar w:fldCharType="separate"/>
      </w:r>
      <w:r w:rsidR="00885DE4">
        <w:rPr>
          <w:noProof/>
        </w:rPr>
        <w:t>2</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2</w:t>
      </w:r>
      <w:r w:rsidR="004D7B97">
        <w:fldChar w:fldCharType="end"/>
      </w:r>
      <w:bookmarkEnd w:id="148"/>
      <w:r>
        <w:t xml:space="preserve"> Universal cDNA master mix with example calculations for 5 and 10 reactions.</w:t>
      </w:r>
      <w:bookmarkEnd w:id="149"/>
    </w:p>
    <w:p w14:paraId="06353ADD" w14:textId="5AB0962D" w:rsidR="00976C9E" w:rsidRDefault="00976C9E">
      <w:pPr>
        <w:rPr>
          <w:rFonts w:ascii="Helvetica" w:eastAsia="Helvetica" w:hAnsi="Helvetica" w:cs="Helvetica"/>
          <w:b/>
          <w:bCs/>
          <w:color w:val="000000"/>
          <w:bdr w:val="nil"/>
        </w:rPr>
      </w:pPr>
      <w:bookmarkStart w:id="150" w:name="_Ref367556474"/>
    </w:p>
    <w:p w14:paraId="056D86A6" w14:textId="6875B1DC" w:rsidR="009125D5" w:rsidRDefault="009125D5" w:rsidP="009125D5">
      <w:pPr>
        <w:pStyle w:val="Heading3"/>
        <w:numPr>
          <w:ilvl w:val="2"/>
          <w:numId w:val="7"/>
        </w:numPr>
        <w:spacing w:before="80" w:after="80"/>
      </w:pPr>
      <w:bookmarkStart w:id="151" w:name="_Toc60773907"/>
      <w:r>
        <w:t>Quantification of miRNAs by Real-Time PCR</w:t>
      </w:r>
      <w:bookmarkEnd w:id="150"/>
      <w:bookmarkEnd w:id="151"/>
    </w:p>
    <w:p w14:paraId="55D3351E" w14:textId="77777777" w:rsidR="009125D5" w:rsidRDefault="009125D5" w:rsidP="009125D5">
      <w:pPr>
        <w:pStyle w:val="Body"/>
      </w:pPr>
      <w:r>
        <w:t>Upon first use lyophilised</w:t>
      </w:r>
      <w:r w:rsidRPr="004502FB">
        <w:t xml:space="preserve"> </w:t>
      </w:r>
      <w:r>
        <w:t>LNA primers were reconstituted by addition of 20µl of nuclease free water and incubation on ice for 30 minutes prior to first use.</w:t>
      </w:r>
    </w:p>
    <w:p w14:paraId="22A99D30" w14:textId="77777777" w:rsidR="009125D5" w:rsidRDefault="009125D5" w:rsidP="009125D5">
      <w:pPr>
        <w:pStyle w:val="Body"/>
      </w:pPr>
    </w:p>
    <w:p w14:paraId="5FFFF362" w14:textId="77777777" w:rsidR="009125D5" w:rsidRDefault="009125D5" w:rsidP="009125D5">
      <w:pPr>
        <w:pStyle w:val="Body"/>
      </w:pPr>
      <w:r>
        <w:t>A working dilution of cDNA was made by diluting the stock cDNA 1:10 with nuclease free water as appropriate for the number of qPCR reactions required, for example an experiment of investigating 5 miRNAs ran in duplicate requires 4.5µl cDNA per reaction x 2 (duplicate) x 5 (</w:t>
      </w:r>
      <w:proofErr w:type="spellStart"/>
      <w:r>
        <w:t>miRs</w:t>
      </w:r>
      <w:proofErr w:type="spellEnd"/>
      <w:r>
        <w:t>) + 10% = 49.5 total working dilution.  Therefore</w:t>
      </w:r>
      <w:r w:rsidR="00D425FB">
        <w:t>,</w:t>
      </w:r>
      <w:r>
        <w:t xml:space="preserve"> 5µl of initial dilution would be added to 45µl of nuclease free water for a total of 50µl of cDNA at working dilution.</w:t>
      </w:r>
    </w:p>
    <w:p w14:paraId="7928D23C" w14:textId="77777777" w:rsidR="009125D5" w:rsidRDefault="009125D5" w:rsidP="009125D5">
      <w:pPr>
        <w:pStyle w:val="Body"/>
      </w:pPr>
    </w:p>
    <w:p w14:paraId="2E164D9F" w14:textId="2E5CB063" w:rsidR="009125D5" w:rsidRDefault="009125D5" w:rsidP="009125D5">
      <w:pPr>
        <w:pStyle w:val="Body"/>
      </w:pPr>
      <w:r>
        <w:t xml:space="preserve">Each miRNA investigated required an individual real-time PCR master mix. These were made according to </w:t>
      </w:r>
      <w:r>
        <w:fldChar w:fldCharType="begin"/>
      </w:r>
      <w:r>
        <w:instrText xml:space="preserve"> REF _Ref366868413 \h </w:instrText>
      </w:r>
      <w:r>
        <w:fldChar w:fldCharType="separate"/>
      </w:r>
      <w:r w:rsidR="00885DE4">
        <w:t xml:space="preserve">Table </w:t>
      </w:r>
      <w:r w:rsidR="00885DE4">
        <w:rPr>
          <w:noProof/>
        </w:rPr>
        <w:t>2</w:t>
      </w:r>
      <w:r w:rsidR="00885DE4">
        <w:noBreakHyphen/>
      </w:r>
      <w:r w:rsidR="00885DE4">
        <w:rPr>
          <w:noProof/>
        </w:rPr>
        <w:t>3</w:t>
      </w:r>
      <w:r>
        <w:fldChar w:fldCharType="end"/>
      </w:r>
      <w:r>
        <w:t>, gently vortexed and centrifuged and stored on ice and shielded from light.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2268"/>
        <w:gridCol w:w="2270"/>
        <w:gridCol w:w="2270"/>
      </w:tblGrid>
      <w:tr w:rsidR="009125D5" w14:paraId="1816C599" w14:textId="77777777" w:rsidTr="000D1B2E">
        <w:trPr>
          <w:trHeight w:val="534"/>
        </w:trPr>
        <w:tc>
          <w:tcPr>
            <w:tcW w:w="2320" w:type="dxa"/>
            <w:tcBorders>
              <w:top w:val="single" w:sz="4" w:space="0" w:color="auto"/>
              <w:bottom w:val="single" w:sz="4" w:space="0" w:color="auto"/>
            </w:tcBorders>
            <w:shd w:val="clear" w:color="auto" w:fill="F2F2F2" w:themeFill="background1" w:themeFillShade="F2"/>
            <w:vAlign w:val="center"/>
          </w:tcPr>
          <w:p w14:paraId="28AC9020" w14:textId="77777777" w:rsidR="009125D5" w:rsidRPr="003076B9"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b/>
              </w:rPr>
            </w:pPr>
            <w:r w:rsidRPr="003076B9">
              <w:rPr>
                <w:b/>
              </w:rPr>
              <w:lastRenderedPageBreak/>
              <w:t>Reagent</w:t>
            </w:r>
          </w:p>
        </w:tc>
        <w:tc>
          <w:tcPr>
            <w:tcW w:w="2320" w:type="dxa"/>
            <w:tcBorders>
              <w:top w:val="single" w:sz="4" w:space="0" w:color="auto"/>
              <w:bottom w:val="single" w:sz="4" w:space="0" w:color="auto"/>
            </w:tcBorders>
            <w:shd w:val="clear" w:color="auto" w:fill="F2F2F2" w:themeFill="background1" w:themeFillShade="F2"/>
            <w:vAlign w:val="center"/>
          </w:tcPr>
          <w:p w14:paraId="7F21DA69" w14:textId="77777777" w:rsidR="009125D5" w:rsidRPr="003076B9"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b/>
              </w:rPr>
            </w:pPr>
            <w:r w:rsidRPr="003076B9">
              <w:rPr>
                <w:b/>
              </w:rPr>
              <w:t>Volume (µl)</w:t>
            </w:r>
          </w:p>
        </w:tc>
        <w:tc>
          <w:tcPr>
            <w:tcW w:w="2320" w:type="dxa"/>
            <w:tcBorders>
              <w:top w:val="single" w:sz="4" w:space="0" w:color="auto"/>
              <w:bottom w:val="single" w:sz="4" w:space="0" w:color="auto"/>
            </w:tcBorders>
            <w:shd w:val="clear" w:color="auto" w:fill="F2F2F2" w:themeFill="background1" w:themeFillShade="F2"/>
            <w:vAlign w:val="center"/>
          </w:tcPr>
          <w:p w14:paraId="50C4F697" w14:textId="77777777" w:rsidR="009125D5" w:rsidRPr="003076B9"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b/>
              </w:rPr>
            </w:pPr>
            <w:r>
              <w:rPr>
                <w:b/>
              </w:rPr>
              <w:t xml:space="preserve">10 </w:t>
            </w:r>
            <w:proofErr w:type="spellStart"/>
            <w:r>
              <w:rPr>
                <w:b/>
              </w:rPr>
              <w:t>rxns</w:t>
            </w:r>
            <w:proofErr w:type="spellEnd"/>
            <w:r>
              <w:rPr>
                <w:b/>
              </w:rPr>
              <w:t xml:space="preserve"> + 10% </w:t>
            </w:r>
            <w:proofErr w:type="gramStart"/>
            <w:r>
              <w:rPr>
                <w:b/>
              </w:rPr>
              <w:t>overage</w:t>
            </w:r>
            <w:proofErr w:type="gramEnd"/>
            <w:r>
              <w:rPr>
                <w:b/>
              </w:rPr>
              <w:t xml:space="preserve"> (µl)</w:t>
            </w:r>
          </w:p>
        </w:tc>
        <w:tc>
          <w:tcPr>
            <w:tcW w:w="2320" w:type="dxa"/>
            <w:tcBorders>
              <w:top w:val="single" w:sz="4" w:space="0" w:color="auto"/>
              <w:bottom w:val="single" w:sz="4" w:space="0" w:color="auto"/>
            </w:tcBorders>
            <w:shd w:val="clear" w:color="auto" w:fill="F2F2F2" w:themeFill="background1" w:themeFillShade="F2"/>
            <w:vAlign w:val="center"/>
          </w:tcPr>
          <w:p w14:paraId="2F34CFDB" w14:textId="77777777" w:rsidR="009125D5" w:rsidRPr="003076B9"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b/>
              </w:rPr>
            </w:pPr>
            <w:r>
              <w:rPr>
                <w:b/>
              </w:rPr>
              <w:t xml:space="preserve">50 </w:t>
            </w:r>
            <w:proofErr w:type="spellStart"/>
            <w:r>
              <w:rPr>
                <w:b/>
              </w:rPr>
              <w:t>rxns</w:t>
            </w:r>
            <w:proofErr w:type="spellEnd"/>
            <w:r>
              <w:rPr>
                <w:b/>
              </w:rPr>
              <w:t xml:space="preserve"> + 10% </w:t>
            </w:r>
            <w:proofErr w:type="gramStart"/>
            <w:r>
              <w:rPr>
                <w:b/>
              </w:rPr>
              <w:t>overage</w:t>
            </w:r>
            <w:proofErr w:type="gramEnd"/>
            <w:r>
              <w:rPr>
                <w:b/>
              </w:rPr>
              <w:t xml:space="preserve"> (µl)</w:t>
            </w:r>
          </w:p>
        </w:tc>
      </w:tr>
      <w:tr w:rsidR="009125D5" w14:paraId="68F91F59" w14:textId="77777777" w:rsidTr="000D1B2E">
        <w:tc>
          <w:tcPr>
            <w:tcW w:w="2320" w:type="dxa"/>
            <w:tcBorders>
              <w:top w:val="single" w:sz="4" w:space="0" w:color="auto"/>
            </w:tcBorders>
            <w:vAlign w:val="center"/>
          </w:tcPr>
          <w:p w14:paraId="3CA74B89"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LNA primer Set</w:t>
            </w:r>
          </w:p>
        </w:tc>
        <w:tc>
          <w:tcPr>
            <w:tcW w:w="2320" w:type="dxa"/>
            <w:tcBorders>
              <w:top w:val="single" w:sz="4" w:space="0" w:color="auto"/>
            </w:tcBorders>
            <w:vAlign w:val="center"/>
          </w:tcPr>
          <w:p w14:paraId="79098F26"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0.5</w:t>
            </w:r>
          </w:p>
        </w:tc>
        <w:tc>
          <w:tcPr>
            <w:tcW w:w="2320" w:type="dxa"/>
            <w:tcBorders>
              <w:top w:val="single" w:sz="4" w:space="0" w:color="auto"/>
            </w:tcBorders>
            <w:vAlign w:val="center"/>
          </w:tcPr>
          <w:p w14:paraId="7EC59079"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5.5</w:t>
            </w:r>
          </w:p>
        </w:tc>
        <w:tc>
          <w:tcPr>
            <w:tcW w:w="2320" w:type="dxa"/>
            <w:tcBorders>
              <w:top w:val="single" w:sz="4" w:space="0" w:color="auto"/>
            </w:tcBorders>
            <w:vAlign w:val="center"/>
          </w:tcPr>
          <w:p w14:paraId="7C4472E8"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27.5</w:t>
            </w:r>
          </w:p>
        </w:tc>
      </w:tr>
      <w:tr w:rsidR="009125D5" w14:paraId="04671A13" w14:textId="77777777" w:rsidTr="000D1B2E">
        <w:tc>
          <w:tcPr>
            <w:tcW w:w="2320" w:type="dxa"/>
            <w:vAlign w:val="center"/>
          </w:tcPr>
          <w:p w14:paraId="383476EB"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 xml:space="preserve">2x </w:t>
            </w:r>
            <w:proofErr w:type="spellStart"/>
            <w:r>
              <w:t>ExiLENT</w:t>
            </w:r>
            <w:proofErr w:type="spellEnd"/>
            <w:r>
              <w:t xml:space="preserve"> SYBR Green Master Mix</w:t>
            </w:r>
          </w:p>
        </w:tc>
        <w:tc>
          <w:tcPr>
            <w:tcW w:w="2320" w:type="dxa"/>
            <w:vAlign w:val="center"/>
          </w:tcPr>
          <w:p w14:paraId="4FC2EA30"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5</w:t>
            </w:r>
          </w:p>
        </w:tc>
        <w:tc>
          <w:tcPr>
            <w:tcW w:w="2320" w:type="dxa"/>
            <w:vAlign w:val="center"/>
          </w:tcPr>
          <w:p w14:paraId="039F24F5"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550</w:t>
            </w:r>
          </w:p>
        </w:tc>
        <w:tc>
          <w:tcPr>
            <w:tcW w:w="2320" w:type="dxa"/>
            <w:vAlign w:val="center"/>
          </w:tcPr>
          <w:p w14:paraId="0B59859A"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275</w:t>
            </w:r>
          </w:p>
        </w:tc>
      </w:tr>
      <w:tr w:rsidR="009125D5" w14:paraId="6861193A" w14:textId="77777777" w:rsidTr="000D1B2E">
        <w:tc>
          <w:tcPr>
            <w:tcW w:w="2320" w:type="dxa"/>
            <w:tcBorders>
              <w:top w:val="single" w:sz="4" w:space="0" w:color="auto"/>
              <w:bottom w:val="single" w:sz="4" w:space="0" w:color="auto"/>
            </w:tcBorders>
            <w:vAlign w:val="center"/>
          </w:tcPr>
          <w:p w14:paraId="025FF611"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Total volume (µl)</w:t>
            </w:r>
          </w:p>
        </w:tc>
        <w:tc>
          <w:tcPr>
            <w:tcW w:w="2320" w:type="dxa"/>
            <w:tcBorders>
              <w:top w:val="single" w:sz="4" w:space="0" w:color="auto"/>
              <w:bottom w:val="single" w:sz="4" w:space="0" w:color="auto"/>
            </w:tcBorders>
            <w:vAlign w:val="center"/>
          </w:tcPr>
          <w:p w14:paraId="366F8F44"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5.5</w:t>
            </w:r>
          </w:p>
        </w:tc>
        <w:tc>
          <w:tcPr>
            <w:tcW w:w="2320" w:type="dxa"/>
            <w:tcBorders>
              <w:top w:val="single" w:sz="4" w:space="0" w:color="auto"/>
              <w:bottom w:val="single" w:sz="4" w:space="0" w:color="auto"/>
            </w:tcBorders>
            <w:vAlign w:val="center"/>
          </w:tcPr>
          <w:p w14:paraId="70D7FA2C"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555.5</w:t>
            </w:r>
          </w:p>
        </w:tc>
        <w:tc>
          <w:tcPr>
            <w:tcW w:w="2320" w:type="dxa"/>
            <w:tcBorders>
              <w:top w:val="single" w:sz="4" w:space="0" w:color="auto"/>
              <w:bottom w:val="single" w:sz="4" w:space="0" w:color="auto"/>
            </w:tcBorders>
            <w:vAlign w:val="center"/>
          </w:tcPr>
          <w:p w14:paraId="28A54BFE" w14:textId="77777777" w:rsidR="009125D5" w:rsidRDefault="009125D5"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pPr>
            <w:r>
              <w:t>302.5</w:t>
            </w:r>
          </w:p>
        </w:tc>
      </w:tr>
    </w:tbl>
    <w:p w14:paraId="7011AA9F" w14:textId="530E0A91" w:rsidR="009125D5" w:rsidRDefault="009125D5" w:rsidP="009125D5">
      <w:pPr>
        <w:pStyle w:val="Caption"/>
      </w:pPr>
      <w:bookmarkStart w:id="152" w:name="_Ref366868413"/>
      <w:bookmarkStart w:id="153" w:name="_Toc60597177"/>
      <w:r>
        <w:t xml:space="preserve">Table </w:t>
      </w:r>
      <w:r w:rsidR="004D7B97">
        <w:fldChar w:fldCharType="begin"/>
      </w:r>
      <w:r w:rsidR="004D7B97">
        <w:instrText xml:space="preserve"> STYLEREF 1 \s </w:instrText>
      </w:r>
      <w:r w:rsidR="004D7B97">
        <w:fldChar w:fldCharType="separate"/>
      </w:r>
      <w:r w:rsidR="00885DE4">
        <w:rPr>
          <w:noProof/>
        </w:rPr>
        <w:t>2</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3</w:t>
      </w:r>
      <w:r w:rsidR="004D7B97">
        <w:fldChar w:fldCharType="end"/>
      </w:r>
      <w:bookmarkEnd w:id="152"/>
      <w:r>
        <w:t xml:space="preserve"> Real-time PCR reaction master mix with examples for 10 and 50 reactions including 10% overage</w:t>
      </w:r>
      <w:bookmarkEnd w:id="153"/>
    </w:p>
    <w:p w14:paraId="47A6A0C6" w14:textId="77777777" w:rsidR="00F00562" w:rsidRPr="00F00562" w:rsidRDefault="00F00562" w:rsidP="00F00562"/>
    <w:p w14:paraId="70CB8CD2" w14:textId="77777777" w:rsidR="009125D5" w:rsidRDefault="009125D5" w:rsidP="009125D5">
      <w:pPr>
        <w:pStyle w:val="Body"/>
      </w:pPr>
      <w:r>
        <w:t xml:space="preserve">4.5µl of cDNA at working dilution was added to 5.5µl of miRNA specific real-time PCR master mix in duplicate to a </w:t>
      </w:r>
      <w:proofErr w:type="spellStart"/>
      <w:r>
        <w:t>MicroAmp</w:t>
      </w:r>
      <w:proofErr w:type="spellEnd"/>
      <w:r>
        <w:t xml:space="preserve"> Optical 384-well reaction plate (Applied </w:t>
      </w:r>
      <w:r w:rsidRPr="00002CB1">
        <w:t>Biosystems</w:t>
      </w:r>
      <w:r>
        <w:t xml:space="preserve">, UK) and sealed with </w:t>
      </w:r>
      <w:proofErr w:type="spellStart"/>
      <w:r>
        <w:t>MicroAmp</w:t>
      </w:r>
      <w:proofErr w:type="spellEnd"/>
      <w:r>
        <w:t xml:space="preserve"> Optical Adhesive Film (Applied Biosystems, UK), mixed and briefly spun to ensure the solution was at the bottom each well.</w:t>
      </w:r>
    </w:p>
    <w:p w14:paraId="4BE64641" w14:textId="77777777" w:rsidR="009125D5" w:rsidRDefault="009125D5" w:rsidP="009125D5">
      <w:pPr>
        <w:pStyle w:val="Body"/>
      </w:pPr>
      <w:r>
        <w:t xml:space="preserve">The real-time PCR reaction was performed using an ABI 7900HT Fast Real-Time PCR System (Applied Biosystems, CA) using the following </w:t>
      </w:r>
      <w:proofErr w:type="gramStart"/>
      <w:r>
        <w:t>conditions;</w:t>
      </w:r>
      <w:proofErr w:type="gramEnd"/>
      <w:r>
        <w:t xml:space="preserve"> initial denaturation at 95ºC for 10 minutes followed by 40 cycles of 95ºC for 10 seconds, 60ºC for 1 minute. After the final cycle a melt curve is performed, samples are denatured at 95ºC for 5 minutes then cooled at a rate of 1ºC per minute and the fluorescence recorded at each decreasing temperature.</w:t>
      </w:r>
    </w:p>
    <w:p w14:paraId="5C221017" w14:textId="77777777" w:rsidR="009125D5" w:rsidRDefault="009125D5" w:rsidP="009125D5">
      <w:pPr>
        <w:pStyle w:val="Body"/>
      </w:pPr>
    </w:p>
    <w:p w14:paraId="21D03273" w14:textId="77777777" w:rsidR="009125D5" w:rsidRDefault="009125D5" w:rsidP="009125D5">
      <w:pPr>
        <w:pStyle w:val="Heading3"/>
        <w:numPr>
          <w:ilvl w:val="2"/>
          <w:numId w:val="7"/>
        </w:numPr>
        <w:spacing w:before="80" w:after="80"/>
      </w:pPr>
      <w:bookmarkStart w:id="154" w:name="_Toc60773908"/>
      <w:r>
        <w:t>Data Analysis</w:t>
      </w:r>
      <w:bookmarkEnd w:id="154"/>
    </w:p>
    <w:p w14:paraId="4B2C356D" w14:textId="77777777" w:rsidR="009125D5" w:rsidRPr="00487092" w:rsidRDefault="009125D5" w:rsidP="009125D5">
      <w:pPr>
        <w:pStyle w:val="Body"/>
      </w:pPr>
      <w:r>
        <w:t xml:space="preserve">Quality control and data analysis was performed in R using tools from the packages ggplot2, reshape2, and </w:t>
      </w:r>
      <w:proofErr w:type="spellStart"/>
      <w:r>
        <w:t>tidyverse</w:t>
      </w:r>
      <w:proofErr w:type="spellEnd"/>
      <w:r>
        <w:t>.</w:t>
      </w:r>
    </w:p>
    <w:p w14:paraId="7A0A73A8" w14:textId="77777777" w:rsidR="009125D5" w:rsidRPr="00E5229C" w:rsidRDefault="009125D5" w:rsidP="009125D5">
      <w:pPr>
        <w:pStyle w:val="Heading3"/>
        <w:numPr>
          <w:ilvl w:val="3"/>
          <w:numId w:val="7"/>
        </w:numPr>
        <w:spacing w:before="80" w:after="80"/>
      </w:pPr>
      <w:bookmarkStart w:id="155" w:name="_Ref34558414"/>
      <w:bookmarkStart w:id="156" w:name="_Ref40728821"/>
      <w:bookmarkStart w:id="157" w:name="_Toc60773909"/>
      <w:r>
        <w:t>Quality control</w:t>
      </w:r>
      <w:bookmarkEnd w:id="155"/>
      <w:bookmarkEnd w:id="156"/>
      <w:bookmarkEnd w:id="157"/>
    </w:p>
    <w:p w14:paraId="7E03E4CB" w14:textId="77777777" w:rsidR="009125D5" w:rsidRDefault="009125D5" w:rsidP="009125D5">
      <w:pPr>
        <w:pStyle w:val="Body"/>
      </w:pPr>
      <w:r>
        <w:t xml:space="preserve">Non-template controls (NTC) were examined for any amplification. Amplification within the NTC is indicative of contamination or primer-primer amplification that may </w:t>
      </w:r>
      <w:r>
        <w:lastRenderedPageBreak/>
        <w:t>mask true expression values by artificially inflating them. As a guide NTCs with amplification within 5 cycles have little to no effect on the true expression value.  Only miRNAs with clear NTC’s or those &gt;5 cycles from any NTC were used.</w:t>
      </w:r>
    </w:p>
    <w:p w14:paraId="766D4E2F" w14:textId="77777777" w:rsidR="009125D5" w:rsidRDefault="009125D5" w:rsidP="009125D5">
      <w:pPr>
        <w:pStyle w:val="Body"/>
      </w:pPr>
    </w:p>
    <w:p w14:paraId="4490AC5D" w14:textId="77777777" w:rsidR="00885DE4" w:rsidRDefault="009125D5" w:rsidP="009125D5">
      <w:pPr>
        <w:pStyle w:val="Caption"/>
      </w:pPr>
      <w:r>
        <w:t xml:space="preserve">Melt curves were analysed for the presence of more than one peak as an indicator of undesired amplification. </w:t>
      </w:r>
      <w:proofErr w:type="gramStart"/>
      <w:r>
        <w:t>Example</w:t>
      </w:r>
      <w:proofErr w:type="gramEnd"/>
      <w:r>
        <w:t xml:space="preserve"> melt curves are shown in </w:t>
      </w:r>
      <w:r>
        <w:fldChar w:fldCharType="begin"/>
      </w:r>
      <w:r>
        <w:instrText xml:space="preserve"> REF _Ref519326495 \h </w:instrText>
      </w:r>
      <w:r>
        <w:fldChar w:fldCharType="separate"/>
      </w:r>
      <w:r w:rsidR="00885DE4">
        <w:rPr>
          <w:noProof/>
        </w:rPr>
        <w:drawing>
          <wp:inline distT="0" distB="0" distL="0" distR="0" wp14:anchorId="644C13B0" wp14:editId="559C20ED">
            <wp:extent cx="5764530" cy="4117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hods_dissociation_curves.pdf"/>
                    <pic:cNvPicPr/>
                  </pic:nvPicPr>
                  <pic:blipFill>
                    <a:blip r:embed="rId18"/>
                    <a:stretch>
                      <a:fillRect/>
                    </a:stretch>
                  </pic:blipFill>
                  <pic:spPr>
                    <a:xfrm>
                      <a:off x="0" y="0"/>
                      <a:ext cx="5764530" cy="4117340"/>
                    </a:xfrm>
                    <a:prstGeom prst="rect">
                      <a:avLst/>
                    </a:prstGeom>
                  </pic:spPr>
                </pic:pic>
              </a:graphicData>
            </a:graphic>
          </wp:inline>
        </w:drawing>
      </w:r>
    </w:p>
    <w:p w14:paraId="5A5D4673" w14:textId="61A803B4" w:rsidR="009125D5" w:rsidRDefault="00885DE4" w:rsidP="009125D5">
      <w:pPr>
        <w:pStyle w:val="Body"/>
      </w:pPr>
      <w:r>
        <w:t xml:space="preserve">Figure </w:t>
      </w:r>
      <w:r>
        <w:rPr>
          <w:noProof/>
        </w:rPr>
        <w:t>2</w:t>
      </w:r>
      <w:r>
        <w:noBreakHyphen/>
      </w:r>
      <w:r>
        <w:rPr>
          <w:noProof/>
        </w:rPr>
        <w:t>4</w:t>
      </w:r>
      <w:r w:rsidR="009125D5">
        <w:fldChar w:fldCharType="end"/>
      </w:r>
      <w:r w:rsidR="009125D5">
        <w:t xml:space="preserve"> where plot A and B show acceptable melt curves, C shows low amplitude products with varying maxima and D shows a peak to the left indicating the presence of secondary undesired amplification products.  </w:t>
      </w:r>
    </w:p>
    <w:p w14:paraId="67C413BD" w14:textId="77777777" w:rsidR="002D40DD" w:rsidRDefault="009125D5" w:rsidP="009125D5">
      <w:pPr>
        <w:pStyle w:val="Caption"/>
      </w:pPr>
      <w:bookmarkStart w:id="158" w:name="_Ref519326495"/>
      <w:r>
        <w:rPr>
          <w:noProof/>
        </w:rPr>
        <w:lastRenderedPageBreak/>
        <w:drawing>
          <wp:inline distT="0" distB="0" distL="0" distR="0" wp14:anchorId="374F02BF" wp14:editId="6D2932D9">
            <wp:extent cx="5764530" cy="4117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hods_dissociation_curves.pdf"/>
                    <pic:cNvPicPr/>
                  </pic:nvPicPr>
                  <pic:blipFill>
                    <a:blip r:embed="rId18"/>
                    <a:stretch>
                      <a:fillRect/>
                    </a:stretch>
                  </pic:blipFill>
                  <pic:spPr>
                    <a:xfrm>
                      <a:off x="0" y="0"/>
                      <a:ext cx="5764530" cy="4117340"/>
                    </a:xfrm>
                    <a:prstGeom prst="rect">
                      <a:avLst/>
                    </a:prstGeom>
                  </pic:spPr>
                </pic:pic>
              </a:graphicData>
            </a:graphic>
          </wp:inline>
        </w:drawing>
      </w:r>
    </w:p>
    <w:p w14:paraId="4764A0D7" w14:textId="14C3EBD0" w:rsidR="009125D5" w:rsidRPr="005B3BFE" w:rsidRDefault="009125D5" w:rsidP="009125D5">
      <w:pPr>
        <w:pStyle w:val="Caption"/>
      </w:pPr>
      <w:bookmarkStart w:id="159" w:name="_Toc60597202"/>
      <w:r>
        <w:t xml:space="preserve">Figure </w:t>
      </w:r>
      <w:r w:rsidR="00864CF4">
        <w:fldChar w:fldCharType="begin"/>
      </w:r>
      <w:r w:rsidR="00864CF4">
        <w:instrText xml:space="preserve"> STYLEREF 1 \s </w:instrText>
      </w:r>
      <w:r w:rsidR="00864CF4">
        <w:fldChar w:fldCharType="separate"/>
      </w:r>
      <w:r w:rsidR="00885DE4">
        <w:rPr>
          <w:noProof/>
        </w:rPr>
        <w:t>2</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4</w:t>
      </w:r>
      <w:r w:rsidR="00864CF4">
        <w:fldChar w:fldCharType="end"/>
      </w:r>
      <w:bookmarkEnd w:id="158"/>
      <w:r>
        <w:t xml:space="preserve"> Example dissociation curves for 4 </w:t>
      </w:r>
      <w:proofErr w:type="spellStart"/>
      <w:r>
        <w:t>miRs</w:t>
      </w:r>
      <w:proofErr w:type="spellEnd"/>
      <w:r>
        <w:t xml:space="preserve"> of varying quality. Individual qPCR reactions are shown in grey whilst the blue line is a loess best fit.</w:t>
      </w:r>
      <w:bookmarkEnd w:id="159"/>
    </w:p>
    <w:p w14:paraId="6E75BCDD" w14:textId="3086405A" w:rsidR="00E4064F" w:rsidRDefault="00E4064F">
      <w:pPr>
        <w:rPr>
          <w:rFonts w:ascii="TUOS Blake" w:eastAsia="TUOS Blake" w:hAnsi="TUOS Blake" w:cs="TUOS Blake"/>
          <w:color w:val="000000"/>
          <w:bdr w:val="nil"/>
        </w:rPr>
      </w:pPr>
      <w:r>
        <w:br w:type="page"/>
      </w:r>
    </w:p>
    <w:p w14:paraId="1D04FAE3" w14:textId="77777777" w:rsidR="00E4064F" w:rsidRPr="00E5229C" w:rsidRDefault="00E4064F" w:rsidP="00E4064F">
      <w:pPr>
        <w:pStyle w:val="Heading1"/>
        <w:numPr>
          <w:ilvl w:val="0"/>
          <w:numId w:val="7"/>
        </w:numPr>
        <w:spacing w:before="120" w:after="120"/>
      </w:pPr>
      <w:bookmarkStart w:id="160" w:name="_Toc60773910"/>
      <w:r>
        <w:lastRenderedPageBreak/>
        <w:t>Determining the Best Source of Circulating Biomarkers</w:t>
      </w:r>
      <w:r w:rsidRPr="00E5229C">
        <w:t xml:space="preserve"> of </w:t>
      </w:r>
      <w:r>
        <w:t>IPAH</w:t>
      </w:r>
      <w:bookmarkEnd w:id="160"/>
    </w:p>
    <w:p w14:paraId="63199B79" w14:textId="77777777" w:rsidR="00E4064F" w:rsidRPr="00E5229C" w:rsidRDefault="00E4064F" w:rsidP="00E4064F">
      <w:pPr>
        <w:pStyle w:val="Body"/>
      </w:pPr>
    </w:p>
    <w:p w14:paraId="686E55F5" w14:textId="77777777" w:rsidR="00E4064F" w:rsidRDefault="00E4064F" w:rsidP="00E4064F">
      <w:pPr>
        <w:pStyle w:val="Heading3"/>
        <w:numPr>
          <w:ilvl w:val="1"/>
          <w:numId w:val="7"/>
        </w:numPr>
        <w:spacing w:before="80" w:after="80"/>
      </w:pPr>
      <w:bookmarkStart w:id="161" w:name="_Toc60773911"/>
      <w:r>
        <w:t>Aims</w:t>
      </w:r>
      <w:bookmarkEnd w:id="161"/>
    </w:p>
    <w:p w14:paraId="66CFB287" w14:textId="633B1DCC" w:rsidR="00B843A8" w:rsidRDefault="00E4064F" w:rsidP="00B843A8">
      <w:pPr>
        <w:pStyle w:val="Body"/>
      </w:pPr>
      <w:r>
        <w:t xml:space="preserve">The Sheffield </w:t>
      </w:r>
      <w:r w:rsidR="00D16F4B">
        <w:t xml:space="preserve">Teaching Hospitals Observational Study into patients with </w:t>
      </w:r>
      <w:r>
        <w:t>Pulmonary Hypertension</w:t>
      </w:r>
      <w:r w:rsidR="00D16F4B">
        <w:t>, Cardiovascular disease and Lung disease (STH-</w:t>
      </w:r>
      <w:proofErr w:type="spellStart"/>
      <w:r w:rsidR="00D16F4B">
        <w:t>Obs</w:t>
      </w:r>
      <w:proofErr w:type="spellEnd"/>
      <w:r w:rsidR="00D16F4B">
        <w:t>)</w:t>
      </w:r>
      <w:r>
        <w:t xml:space="preserve"> collects and preserves various samples from patients and </w:t>
      </w:r>
      <w:r w:rsidR="00D16F4B">
        <w:t xml:space="preserve">healthy </w:t>
      </w:r>
      <w:r>
        <w:t>controls, including plasma, serum, whole blood, urine and DNA. This chapter aims to determine whether whole blood or a separated fraction, plasma, is the best source</w:t>
      </w:r>
      <w:r w:rsidR="00D16F4B" w:rsidRPr="00D16F4B">
        <w:t xml:space="preserve"> </w:t>
      </w:r>
      <w:r w:rsidR="00D16F4B">
        <w:t>for disease relevant biomarkers</w:t>
      </w:r>
      <w:r w:rsidR="004D269B">
        <w:t>.</w:t>
      </w:r>
    </w:p>
    <w:p w14:paraId="6BE49282" w14:textId="4900DDAD" w:rsidR="00E4064F" w:rsidRPr="00764E6F" w:rsidRDefault="00E4064F" w:rsidP="00E4064F">
      <w:pPr>
        <w:pStyle w:val="Body"/>
      </w:pPr>
    </w:p>
    <w:p w14:paraId="3AD584C1" w14:textId="77777777" w:rsidR="00E4064F" w:rsidRPr="00E5229C" w:rsidRDefault="00E4064F" w:rsidP="00E4064F">
      <w:pPr>
        <w:pStyle w:val="Heading3"/>
        <w:numPr>
          <w:ilvl w:val="1"/>
          <w:numId w:val="7"/>
        </w:numPr>
        <w:spacing w:before="80" w:after="80"/>
      </w:pPr>
      <w:bookmarkStart w:id="162" w:name="_Toc60773912"/>
      <w:r>
        <w:t>Introduction</w:t>
      </w:r>
      <w:bookmarkEnd w:id="162"/>
    </w:p>
    <w:p w14:paraId="51E7200A" w14:textId="740A2495" w:rsidR="00FB303B" w:rsidRDefault="00E4064F" w:rsidP="00E4064F">
      <w:pPr>
        <w:pStyle w:val="Body"/>
      </w:pPr>
      <w:r>
        <w:t xml:space="preserve">Blood based biomarkers offer advantages over current detection methods for PAH. Phlebotomy is easily performed at medical centres and sample preparation is typically straightforward. Tempus RNA collection tubes are advantageous as the RNA profile is preserved near-instantaneously during collection due to the action of the lysis and preservation agent present in the collection tubes. Tempus RNA can be extracted robotically offering simpler processing and minimising variation due to sample preparation. However, whole blood contains the miRNA from variety of leukocytes which may become a source of noise, masking disease specific signatures. Plasma is a source of miRNA with a potentially cleaner </w:t>
      </w:r>
      <w:proofErr w:type="gramStart"/>
      <w:r>
        <w:t>signal,</w:t>
      </w:r>
      <w:proofErr w:type="gramEnd"/>
      <w:r>
        <w:t xml:space="preserve"> however, RNA extraction yields are very low and sample preparation both following collection and for RNA extraction are more involved. </w:t>
      </w:r>
    </w:p>
    <w:p w14:paraId="442A646F" w14:textId="295BDD5A" w:rsidR="00FB303B" w:rsidRDefault="00FB303B" w:rsidP="00E4064F">
      <w:pPr>
        <w:pStyle w:val="Body"/>
      </w:pPr>
    </w:p>
    <w:p w14:paraId="7D9A8CF7" w14:textId="77777777" w:rsidR="00E4064F" w:rsidRDefault="00E4064F" w:rsidP="00E4064F">
      <w:pPr>
        <w:pStyle w:val="Heading3"/>
        <w:numPr>
          <w:ilvl w:val="1"/>
          <w:numId w:val="7"/>
        </w:numPr>
        <w:spacing w:before="80" w:after="80"/>
      </w:pPr>
      <w:bookmarkStart w:id="163" w:name="_Toc60773913"/>
      <w:r w:rsidRPr="00251997">
        <w:lastRenderedPageBreak/>
        <w:t>Sample Cohort</w:t>
      </w:r>
      <w:bookmarkEnd w:id="163"/>
    </w:p>
    <w:p w14:paraId="5FAF4A9F" w14:textId="5B7770E2" w:rsidR="00BC5859" w:rsidRDefault="00E4064F" w:rsidP="00E4064F">
      <w:pPr>
        <w:pStyle w:val="Body"/>
      </w:pPr>
      <w:r>
        <w:t xml:space="preserve">Patient cohort for determining between plasma and tempus samples is detail below </w:t>
      </w:r>
      <w:r w:rsidR="00D871DB">
        <w:fldChar w:fldCharType="begin"/>
      </w:r>
      <w:r w:rsidR="00D871DB">
        <w:instrText xml:space="preserve"> REF _Ref60691208 \h </w:instrText>
      </w:r>
      <w:r w:rsidR="00D871DB">
        <w:fldChar w:fldCharType="separate"/>
      </w:r>
      <w:r w:rsidR="00885DE4">
        <w:t xml:space="preserve">Table </w:t>
      </w:r>
      <w:r w:rsidR="00885DE4">
        <w:rPr>
          <w:noProof/>
        </w:rPr>
        <w:t>3</w:t>
      </w:r>
      <w:r w:rsidR="00885DE4">
        <w:noBreakHyphen/>
      </w:r>
      <w:r w:rsidR="00885DE4">
        <w:rPr>
          <w:noProof/>
        </w:rPr>
        <w:t>1</w:t>
      </w:r>
      <w:r w:rsidR="00D871DB">
        <w:fldChar w:fldCharType="end"/>
      </w:r>
      <w:r>
        <w:t xml:space="preserve">. </w:t>
      </w:r>
      <w:r w:rsidR="00BC5859">
        <w:t>The patients are well matched, with non-significance, in age, gender and ethnicity. IPAH patients are shown to have PAH from the appropriate values in the catheter based diagnostic measures.</w:t>
      </w:r>
    </w:p>
    <w:tbl>
      <w:tblPr>
        <w:tblStyle w:val="GridTable3-Accent5"/>
        <w:tblW w:w="0" w:type="auto"/>
        <w:tblLook w:val="04A0" w:firstRow="1" w:lastRow="0" w:firstColumn="1" w:lastColumn="0" w:noHBand="0" w:noVBand="1"/>
      </w:tblPr>
      <w:tblGrid>
        <w:gridCol w:w="3119"/>
        <w:gridCol w:w="2126"/>
        <w:gridCol w:w="2268"/>
        <w:gridCol w:w="1497"/>
      </w:tblGrid>
      <w:tr w:rsidR="00421161" w14:paraId="64447649" w14:textId="77777777" w:rsidTr="00B103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Pr>
          <w:p w14:paraId="11A044D8" w14:textId="77777777" w:rsidR="00421161" w:rsidRPr="00B10390" w:rsidRDefault="00421161" w:rsidP="00F27D55">
            <w:pPr>
              <w:rPr>
                <w:rFonts w:ascii="TUOS Blake" w:hAnsi="TUOS Blake"/>
                <w:b w:val="0"/>
                <w:bCs w:val="0"/>
                <w:sz w:val="22"/>
                <w:szCs w:val="22"/>
              </w:rPr>
            </w:pPr>
            <w:bookmarkStart w:id="164" w:name="_Ref21781598"/>
          </w:p>
        </w:tc>
        <w:tc>
          <w:tcPr>
            <w:tcW w:w="2126" w:type="dxa"/>
          </w:tcPr>
          <w:p w14:paraId="4C7DC4D2" w14:textId="77777777" w:rsidR="00421161" w:rsidRPr="00B10390" w:rsidRDefault="00421161" w:rsidP="00F27D55">
            <w:pPr>
              <w:cnfStyle w:val="100000000000" w:firstRow="1" w:lastRow="0" w:firstColumn="0" w:lastColumn="0" w:oddVBand="0" w:evenVBand="0" w:oddHBand="0" w:evenHBand="0" w:firstRowFirstColumn="0" w:firstRowLastColumn="0" w:lastRowFirstColumn="0" w:lastRowLastColumn="0"/>
              <w:rPr>
                <w:rFonts w:ascii="TUOS Blake" w:hAnsi="TUOS Blake"/>
                <w:sz w:val="22"/>
                <w:szCs w:val="22"/>
              </w:rPr>
            </w:pPr>
            <w:r w:rsidRPr="00B10390">
              <w:rPr>
                <w:rFonts w:ascii="TUOS Blake" w:hAnsi="TUOS Blake"/>
                <w:sz w:val="22"/>
                <w:szCs w:val="22"/>
              </w:rPr>
              <w:t>HV</w:t>
            </w:r>
          </w:p>
        </w:tc>
        <w:tc>
          <w:tcPr>
            <w:tcW w:w="2268" w:type="dxa"/>
          </w:tcPr>
          <w:p w14:paraId="0FF48887" w14:textId="77777777" w:rsidR="00421161" w:rsidRPr="00B10390" w:rsidRDefault="00421161" w:rsidP="00F27D55">
            <w:pPr>
              <w:cnfStyle w:val="100000000000" w:firstRow="1" w:lastRow="0" w:firstColumn="0" w:lastColumn="0" w:oddVBand="0" w:evenVBand="0" w:oddHBand="0" w:evenHBand="0" w:firstRowFirstColumn="0" w:firstRowLastColumn="0" w:lastRowFirstColumn="0" w:lastRowLastColumn="0"/>
              <w:rPr>
                <w:rFonts w:ascii="TUOS Blake" w:hAnsi="TUOS Blake"/>
                <w:sz w:val="22"/>
                <w:szCs w:val="22"/>
              </w:rPr>
            </w:pPr>
            <w:r w:rsidRPr="00B10390">
              <w:rPr>
                <w:rFonts w:ascii="TUOS Blake" w:hAnsi="TUOS Blake"/>
                <w:sz w:val="22"/>
                <w:szCs w:val="22"/>
              </w:rPr>
              <w:t>IPAH</w:t>
            </w:r>
          </w:p>
        </w:tc>
        <w:tc>
          <w:tcPr>
            <w:tcW w:w="1497" w:type="dxa"/>
          </w:tcPr>
          <w:p w14:paraId="33266D86" w14:textId="77777777" w:rsidR="00421161" w:rsidRPr="00B10390" w:rsidRDefault="00421161" w:rsidP="00F27D55">
            <w:pPr>
              <w:cnfStyle w:val="100000000000" w:firstRow="1" w:lastRow="0" w:firstColumn="0" w:lastColumn="0" w:oddVBand="0" w:evenVBand="0" w:oddHBand="0" w:evenHBand="0" w:firstRowFirstColumn="0" w:firstRowLastColumn="0" w:lastRowFirstColumn="0" w:lastRowLastColumn="0"/>
              <w:rPr>
                <w:rFonts w:ascii="TUOS Blake" w:hAnsi="TUOS Blake"/>
                <w:sz w:val="22"/>
                <w:szCs w:val="22"/>
              </w:rPr>
            </w:pPr>
            <w:r w:rsidRPr="00B10390">
              <w:rPr>
                <w:rFonts w:ascii="TUOS Blake" w:hAnsi="TUOS Blake"/>
                <w:sz w:val="22"/>
                <w:szCs w:val="22"/>
              </w:rPr>
              <w:t>p-value</w:t>
            </w:r>
          </w:p>
        </w:tc>
      </w:tr>
      <w:tr w:rsidR="00421161" w14:paraId="59D8FAA7" w14:textId="77777777" w:rsidTr="00B1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17AA8BC" w14:textId="77777777" w:rsidR="00421161" w:rsidRPr="00B10390" w:rsidRDefault="00421161" w:rsidP="00F27D55">
            <w:pPr>
              <w:rPr>
                <w:rFonts w:ascii="TUOS Blake" w:hAnsi="TUOS Blake"/>
                <w:b/>
                <w:bCs/>
                <w:i w:val="0"/>
                <w:iCs w:val="0"/>
                <w:sz w:val="22"/>
                <w:szCs w:val="22"/>
              </w:rPr>
            </w:pPr>
            <w:r w:rsidRPr="00B10390">
              <w:rPr>
                <w:rFonts w:ascii="TUOS Blake" w:hAnsi="TUOS Blake"/>
                <w:b/>
                <w:bCs/>
                <w:i w:val="0"/>
                <w:iCs w:val="0"/>
                <w:sz w:val="22"/>
                <w:szCs w:val="22"/>
              </w:rPr>
              <w:t>N</w:t>
            </w:r>
          </w:p>
        </w:tc>
        <w:tc>
          <w:tcPr>
            <w:tcW w:w="2126" w:type="dxa"/>
          </w:tcPr>
          <w:p w14:paraId="49A80272" w14:textId="77777777" w:rsidR="00421161" w:rsidRPr="00B10390" w:rsidRDefault="0042116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B10390">
              <w:rPr>
                <w:rFonts w:ascii="TUOS Blake" w:hAnsi="TUOS Blake"/>
                <w:sz w:val="22"/>
                <w:szCs w:val="22"/>
              </w:rPr>
              <w:t>19</w:t>
            </w:r>
          </w:p>
        </w:tc>
        <w:tc>
          <w:tcPr>
            <w:tcW w:w="2268" w:type="dxa"/>
          </w:tcPr>
          <w:p w14:paraId="4D72BA90" w14:textId="77777777" w:rsidR="00421161" w:rsidRPr="00B10390" w:rsidRDefault="0042116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B10390">
              <w:rPr>
                <w:rFonts w:ascii="TUOS Blake" w:hAnsi="TUOS Blake"/>
                <w:sz w:val="22"/>
                <w:szCs w:val="22"/>
              </w:rPr>
              <w:t>28</w:t>
            </w:r>
          </w:p>
        </w:tc>
        <w:tc>
          <w:tcPr>
            <w:tcW w:w="1497" w:type="dxa"/>
          </w:tcPr>
          <w:p w14:paraId="456BF669" w14:textId="77777777" w:rsidR="00421161" w:rsidRPr="00B10390" w:rsidRDefault="0042116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p>
        </w:tc>
      </w:tr>
      <w:tr w:rsidR="00421161" w14:paraId="37C4FBC2" w14:textId="77777777" w:rsidTr="00B10390">
        <w:tc>
          <w:tcPr>
            <w:cnfStyle w:val="001000000000" w:firstRow="0" w:lastRow="0" w:firstColumn="1" w:lastColumn="0" w:oddVBand="0" w:evenVBand="0" w:oddHBand="0" w:evenHBand="0" w:firstRowFirstColumn="0" w:firstRowLastColumn="0" w:lastRowFirstColumn="0" w:lastRowLastColumn="0"/>
            <w:tcW w:w="3119" w:type="dxa"/>
          </w:tcPr>
          <w:p w14:paraId="7414B0B5" w14:textId="495A1F4D" w:rsidR="00421161" w:rsidRPr="00B10390" w:rsidRDefault="00421161" w:rsidP="00F27D55">
            <w:pPr>
              <w:rPr>
                <w:rFonts w:ascii="TUOS Blake" w:hAnsi="TUOS Blake"/>
                <w:b/>
                <w:bCs/>
                <w:i w:val="0"/>
                <w:iCs w:val="0"/>
                <w:sz w:val="22"/>
                <w:szCs w:val="22"/>
              </w:rPr>
            </w:pPr>
            <w:r w:rsidRPr="00B10390">
              <w:rPr>
                <w:rFonts w:ascii="TUOS Blake" w:hAnsi="TUOS Blake"/>
                <w:b/>
                <w:bCs/>
                <w:i w:val="0"/>
                <w:iCs w:val="0"/>
                <w:sz w:val="22"/>
                <w:szCs w:val="22"/>
              </w:rPr>
              <w:t xml:space="preserve">Age </w:t>
            </w:r>
          </w:p>
        </w:tc>
        <w:tc>
          <w:tcPr>
            <w:tcW w:w="2126" w:type="dxa"/>
          </w:tcPr>
          <w:p w14:paraId="58CBFA00" w14:textId="77777777" w:rsidR="00421161" w:rsidRPr="00B10390" w:rsidRDefault="0042116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B10390">
              <w:rPr>
                <w:rFonts w:ascii="TUOS Blake" w:hAnsi="TUOS Blake"/>
                <w:color w:val="000000"/>
                <w:sz w:val="22"/>
                <w:szCs w:val="22"/>
              </w:rPr>
              <w:t>47.4 (35.2 - 55.8)</w:t>
            </w:r>
          </w:p>
        </w:tc>
        <w:tc>
          <w:tcPr>
            <w:tcW w:w="2268" w:type="dxa"/>
          </w:tcPr>
          <w:p w14:paraId="2442C1B8" w14:textId="77777777" w:rsidR="00421161" w:rsidRPr="00B10390" w:rsidRDefault="0042116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B10390">
              <w:rPr>
                <w:rFonts w:ascii="TUOS Blake" w:hAnsi="TUOS Blake"/>
                <w:color w:val="000000"/>
                <w:sz w:val="22"/>
                <w:szCs w:val="22"/>
              </w:rPr>
              <w:t>53.1 (46.7 - 65.1)</w:t>
            </w:r>
          </w:p>
        </w:tc>
        <w:tc>
          <w:tcPr>
            <w:tcW w:w="1497" w:type="dxa"/>
          </w:tcPr>
          <w:p w14:paraId="300E8304" w14:textId="77777777" w:rsidR="00421161" w:rsidRPr="00B10390" w:rsidRDefault="0042116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B10390">
              <w:rPr>
                <w:rFonts w:ascii="TUOS Blake" w:hAnsi="TUOS Blake"/>
                <w:sz w:val="22"/>
                <w:szCs w:val="22"/>
              </w:rPr>
              <w:t>NS</w:t>
            </w:r>
          </w:p>
        </w:tc>
      </w:tr>
      <w:tr w:rsidR="00421161" w14:paraId="5ED0DC96" w14:textId="77777777" w:rsidTr="00B1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AFB0A02" w14:textId="0B7EC00A" w:rsidR="00421161" w:rsidRPr="00B10390" w:rsidRDefault="00421161" w:rsidP="00F27D55">
            <w:pPr>
              <w:rPr>
                <w:rFonts w:ascii="TUOS Blake" w:hAnsi="TUOS Blake"/>
                <w:b/>
                <w:bCs/>
                <w:i w:val="0"/>
                <w:iCs w:val="0"/>
                <w:sz w:val="22"/>
                <w:szCs w:val="22"/>
              </w:rPr>
            </w:pPr>
            <w:r w:rsidRPr="00B10390">
              <w:rPr>
                <w:rFonts w:ascii="TUOS Blake" w:hAnsi="TUOS Blake"/>
                <w:b/>
                <w:bCs/>
                <w:i w:val="0"/>
                <w:iCs w:val="0"/>
                <w:sz w:val="22"/>
                <w:szCs w:val="22"/>
              </w:rPr>
              <w:t>Gender</w:t>
            </w:r>
            <w:r w:rsidR="00B10390">
              <w:rPr>
                <w:rFonts w:ascii="TUOS Blake" w:hAnsi="TUOS Blake"/>
                <w:b/>
                <w:bCs/>
                <w:i w:val="0"/>
                <w:iCs w:val="0"/>
                <w:sz w:val="22"/>
                <w:szCs w:val="22"/>
              </w:rPr>
              <w:t xml:space="preserve"> </w:t>
            </w:r>
            <w:r w:rsidRPr="00B10390">
              <w:rPr>
                <w:rFonts w:ascii="TUOS Blake" w:hAnsi="TUOS Blake"/>
                <w:b/>
                <w:bCs/>
                <w:i w:val="0"/>
                <w:iCs w:val="0"/>
                <w:sz w:val="22"/>
                <w:szCs w:val="22"/>
              </w:rPr>
              <w:t>(% Female)</w:t>
            </w:r>
          </w:p>
        </w:tc>
        <w:tc>
          <w:tcPr>
            <w:tcW w:w="2126" w:type="dxa"/>
          </w:tcPr>
          <w:p w14:paraId="2BBBC1F9" w14:textId="77777777" w:rsidR="00421161" w:rsidRPr="00B10390" w:rsidRDefault="0042116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B10390">
              <w:rPr>
                <w:rFonts w:ascii="TUOS Blake" w:hAnsi="TUOS Blake"/>
                <w:color w:val="000000"/>
                <w:sz w:val="22"/>
                <w:szCs w:val="22"/>
              </w:rPr>
              <w:t>58%</w:t>
            </w:r>
          </w:p>
        </w:tc>
        <w:tc>
          <w:tcPr>
            <w:tcW w:w="2268" w:type="dxa"/>
          </w:tcPr>
          <w:p w14:paraId="5D0D3FBA" w14:textId="77777777" w:rsidR="00421161" w:rsidRPr="00B10390" w:rsidRDefault="0042116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B10390">
              <w:rPr>
                <w:rFonts w:ascii="TUOS Blake" w:hAnsi="TUOS Blake"/>
                <w:color w:val="000000"/>
                <w:sz w:val="22"/>
                <w:szCs w:val="22"/>
              </w:rPr>
              <w:t>57%</w:t>
            </w:r>
          </w:p>
        </w:tc>
        <w:tc>
          <w:tcPr>
            <w:tcW w:w="1497" w:type="dxa"/>
          </w:tcPr>
          <w:p w14:paraId="6052AD57" w14:textId="77777777" w:rsidR="00421161" w:rsidRPr="00B10390" w:rsidRDefault="0042116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B10390">
              <w:rPr>
                <w:rFonts w:ascii="TUOS Blake" w:hAnsi="TUOS Blake"/>
                <w:sz w:val="22"/>
                <w:szCs w:val="22"/>
              </w:rPr>
              <w:t>NS</w:t>
            </w:r>
          </w:p>
        </w:tc>
      </w:tr>
      <w:tr w:rsidR="00421161" w14:paraId="49D8587C" w14:textId="77777777" w:rsidTr="00B10390">
        <w:tc>
          <w:tcPr>
            <w:cnfStyle w:val="001000000000" w:firstRow="0" w:lastRow="0" w:firstColumn="1" w:lastColumn="0" w:oddVBand="0" w:evenVBand="0" w:oddHBand="0" w:evenHBand="0" w:firstRowFirstColumn="0" w:firstRowLastColumn="0" w:lastRowFirstColumn="0" w:lastRowLastColumn="0"/>
            <w:tcW w:w="3119" w:type="dxa"/>
          </w:tcPr>
          <w:p w14:paraId="0DAB5B9C" w14:textId="24920F8D" w:rsidR="00421161" w:rsidRPr="00B10390" w:rsidRDefault="00421161" w:rsidP="00F27D55">
            <w:pPr>
              <w:rPr>
                <w:rFonts w:ascii="TUOS Blake" w:hAnsi="TUOS Blake"/>
                <w:b/>
                <w:bCs/>
                <w:i w:val="0"/>
                <w:iCs w:val="0"/>
                <w:sz w:val="22"/>
                <w:szCs w:val="22"/>
              </w:rPr>
            </w:pPr>
            <w:r w:rsidRPr="00B10390">
              <w:rPr>
                <w:rFonts w:ascii="TUOS Blake" w:hAnsi="TUOS Blake"/>
                <w:b/>
                <w:bCs/>
                <w:i w:val="0"/>
                <w:iCs w:val="0"/>
                <w:sz w:val="22"/>
                <w:szCs w:val="22"/>
              </w:rPr>
              <w:t>Ethnicity</w:t>
            </w:r>
            <w:r w:rsidR="00B10390">
              <w:rPr>
                <w:rFonts w:ascii="TUOS Blake" w:hAnsi="TUOS Blake"/>
                <w:b/>
                <w:bCs/>
                <w:i w:val="0"/>
                <w:iCs w:val="0"/>
                <w:sz w:val="22"/>
                <w:szCs w:val="22"/>
              </w:rPr>
              <w:t xml:space="preserve"> </w:t>
            </w:r>
            <w:r w:rsidRPr="00B10390">
              <w:rPr>
                <w:rFonts w:ascii="TUOS Blake" w:hAnsi="TUOS Blake"/>
                <w:b/>
                <w:bCs/>
                <w:i w:val="0"/>
                <w:iCs w:val="0"/>
                <w:sz w:val="22"/>
                <w:szCs w:val="22"/>
              </w:rPr>
              <w:t>(%</w:t>
            </w:r>
            <w:r w:rsidR="00B10390">
              <w:rPr>
                <w:rFonts w:ascii="TUOS Blake" w:hAnsi="TUOS Blake"/>
                <w:b/>
                <w:bCs/>
                <w:i w:val="0"/>
                <w:iCs w:val="0"/>
                <w:sz w:val="22"/>
                <w:szCs w:val="22"/>
              </w:rPr>
              <w:t xml:space="preserve"> </w:t>
            </w:r>
            <w:r w:rsidRPr="00B10390">
              <w:rPr>
                <w:rFonts w:ascii="TUOS Blake" w:hAnsi="TUOS Blake"/>
                <w:b/>
                <w:bCs/>
                <w:i w:val="0"/>
                <w:iCs w:val="0"/>
                <w:sz w:val="22"/>
                <w:szCs w:val="22"/>
              </w:rPr>
              <w:t>Caucasian)</w:t>
            </w:r>
          </w:p>
        </w:tc>
        <w:tc>
          <w:tcPr>
            <w:tcW w:w="2126" w:type="dxa"/>
          </w:tcPr>
          <w:p w14:paraId="01E61F7B" w14:textId="77777777" w:rsidR="00421161" w:rsidRPr="00B10390" w:rsidRDefault="0042116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B10390">
              <w:rPr>
                <w:rFonts w:ascii="TUOS Blake" w:hAnsi="TUOS Blake"/>
                <w:sz w:val="22"/>
                <w:szCs w:val="22"/>
              </w:rPr>
              <w:t>100%</w:t>
            </w:r>
          </w:p>
        </w:tc>
        <w:tc>
          <w:tcPr>
            <w:tcW w:w="2268" w:type="dxa"/>
          </w:tcPr>
          <w:p w14:paraId="745260D0" w14:textId="77777777" w:rsidR="00421161" w:rsidRPr="00B10390" w:rsidRDefault="0042116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B10390">
              <w:rPr>
                <w:rFonts w:ascii="TUOS Blake" w:hAnsi="TUOS Blake"/>
                <w:sz w:val="22"/>
                <w:szCs w:val="22"/>
              </w:rPr>
              <w:t>100%</w:t>
            </w:r>
          </w:p>
        </w:tc>
        <w:tc>
          <w:tcPr>
            <w:tcW w:w="1497" w:type="dxa"/>
          </w:tcPr>
          <w:p w14:paraId="1758EF13" w14:textId="77777777" w:rsidR="00421161" w:rsidRPr="00B10390" w:rsidRDefault="0042116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B10390">
              <w:rPr>
                <w:rFonts w:ascii="TUOS Blake" w:hAnsi="TUOS Blake"/>
                <w:sz w:val="22"/>
                <w:szCs w:val="22"/>
              </w:rPr>
              <w:t>NS</w:t>
            </w:r>
          </w:p>
        </w:tc>
      </w:tr>
      <w:tr w:rsidR="00421161" w14:paraId="10E5726B" w14:textId="77777777" w:rsidTr="00B1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BC769D0" w14:textId="77777777" w:rsidR="00421161" w:rsidRPr="00B10390" w:rsidRDefault="00421161" w:rsidP="00F27D55">
            <w:pPr>
              <w:rPr>
                <w:rFonts w:ascii="TUOS Blake" w:hAnsi="TUOS Blake"/>
                <w:b/>
                <w:bCs/>
                <w:i w:val="0"/>
                <w:iCs w:val="0"/>
                <w:sz w:val="22"/>
                <w:szCs w:val="22"/>
              </w:rPr>
            </w:pPr>
            <w:proofErr w:type="spellStart"/>
            <w:r w:rsidRPr="00B10390">
              <w:rPr>
                <w:rFonts w:ascii="TUOS Blake" w:hAnsi="TUOS Blake"/>
                <w:b/>
                <w:bCs/>
                <w:i w:val="0"/>
                <w:iCs w:val="0"/>
                <w:sz w:val="22"/>
                <w:szCs w:val="22"/>
              </w:rPr>
              <w:t>mPAP</w:t>
            </w:r>
            <w:proofErr w:type="spellEnd"/>
            <w:r w:rsidRPr="00B10390">
              <w:rPr>
                <w:rFonts w:ascii="TUOS Blake" w:hAnsi="TUOS Blake"/>
                <w:b/>
                <w:bCs/>
                <w:i w:val="0"/>
                <w:iCs w:val="0"/>
                <w:sz w:val="22"/>
                <w:szCs w:val="22"/>
              </w:rPr>
              <w:t xml:space="preserve"> (mmHg)</w:t>
            </w:r>
          </w:p>
        </w:tc>
        <w:tc>
          <w:tcPr>
            <w:tcW w:w="2126" w:type="dxa"/>
          </w:tcPr>
          <w:p w14:paraId="7C32FF17" w14:textId="77777777" w:rsidR="00421161" w:rsidRPr="00B10390" w:rsidRDefault="0042116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B10390">
              <w:rPr>
                <w:rFonts w:ascii="TUOS Blake" w:hAnsi="TUOS Blake"/>
                <w:sz w:val="22"/>
                <w:szCs w:val="22"/>
              </w:rPr>
              <w:t>-</w:t>
            </w:r>
          </w:p>
        </w:tc>
        <w:tc>
          <w:tcPr>
            <w:tcW w:w="2268" w:type="dxa"/>
          </w:tcPr>
          <w:p w14:paraId="4B710DD7" w14:textId="77777777" w:rsidR="00421161" w:rsidRPr="00B10390" w:rsidRDefault="00421161" w:rsidP="00F27D55">
            <w:pPr>
              <w:cnfStyle w:val="000000100000" w:firstRow="0" w:lastRow="0" w:firstColumn="0" w:lastColumn="0" w:oddVBand="0" w:evenVBand="0" w:oddHBand="1" w:evenHBand="0" w:firstRowFirstColumn="0" w:firstRowLastColumn="0" w:lastRowFirstColumn="0" w:lastRowLastColumn="0"/>
              <w:rPr>
                <w:rFonts w:ascii="TUOS Blake" w:hAnsi="TUOS Blake"/>
                <w:color w:val="000000"/>
                <w:sz w:val="22"/>
                <w:szCs w:val="22"/>
              </w:rPr>
            </w:pPr>
            <w:r w:rsidRPr="00B10390">
              <w:rPr>
                <w:rFonts w:ascii="TUOS Blake" w:hAnsi="TUOS Blake"/>
                <w:color w:val="000000"/>
                <w:sz w:val="22"/>
                <w:szCs w:val="22"/>
              </w:rPr>
              <w:t>57.3 (10.8)</w:t>
            </w:r>
          </w:p>
        </w:tc>
        <w:tc>
          <w:tcPr>
            <w:tcW w:w="1497" w:type="dxa"/>
          </w:tcPr>
          <w:p w14:paraId="4B2CCDF1" w14:textId="77777777" w:rsidR="00421161" w:rsidRPr="00B10390" w:rsidRDefault="0042116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B10390">
              <w:rPr>
                <w:rFonts w:ascii="TUOS Blake" w:hAnsi="TUOS Blake"/>
                <w:sz w:val="22"/>
                <w:szCs w:val="22"/>
              </w:rPr>
              <w:t>-</w:t>
            </w:r>
          </w:p>
        </w:tc>
      </w:tr>
      <w:tr w:rsidR="00421161" w14:paraId="6B125FED" w14:textId="77777777" w:rsidTr="00B10390">
        <w:tc>
          <w:tcPr>
            <w:cnfStyle w:val="001000000000" w:firstRow="0" w:lastRow="0" w:firstColumn="1" w:lastColumn="0" w:oddVBand="0" w:evenVBand="0" w:oddHBand="0" w:evenHBand="0" w:firstRowFirstColumn="0" w:firstRowLastColumn="0" w:lastRowFirstColumn="0" w:lastRowLastColumn="0"/>
            <w:tcW w:w="3119" w:type="dxa"/>
          </w:tcPr>
          <w:p w14:paraId="4D631A82" w14:textId="38E3ED1D" w:rsidR="00421161" w:rsidRPr="00B10390" w:rsidRDefault="00421161" w:rsidP="00F27D55">
            <w:pPr>
              <w:rPr>
                <w:rFonts w:ascii="TUOS Blake" w:hAnsi="TUOS Blake"/>
                <w:b/>
                <w:bCs/>
                <w:i w:val="0"/>
                <w:iCs w:val="0"/>
                <w:sz w:val="22"/>
                <w:szCs w:val="22"/>
              </w:rPr>
            </w:pPr>
            <w:r w:rsidRPr="00B10390">
              <w:rPr>
                <w:rFonts w:ascii="TUOS Blake" w:hAnsi="TUOS Blake"/>
                <w:b/>
                <w:bCs/>
                <w:i w:val="0"/>
                <w:iCs w:val="0"/>
                <w:sz w:val="22"/>
                <w:szCs w:val="22"/>
              </w:rPr>
              <w:t>PVR</w:t>
            </w:r>
            <w:r w:rsidR="00B10390">
              <w:rPr>
                <w:rFonts w:ascii="TUOS Blake" w:hAnsi="TUOS Blake"/>
                <w:b/>
                <w:bCs/>
                <w:i w:val="0"/>
                <w:iCs w:val="0"/>
                <w:sz w:val="22"/>
                <w:szCs w:val="22"/>
              </w:rPr>
              <w:t xml:space="preserve"> </w:t>
            </w:r>
            <w:r w:rsidRPr="00B10390">
              <w:rPr>
                <w:rFonts w:ascii="TUOS Blake" w:hAnsi="TUOS Blake"/>
                <w:b/>
                <w:bCs/>
                <w:i w:val="0"/>
                <w:iCs w:val="0"/>
                <w:sz w:val="22"/>
                <w:szCs w:val="22"/>
              </w:rPr>
              <w:t>(</w:t>
            </w:r>
            <w:proofErr w:type="spellStart"/>
            <w:r w:rsidRPr="00B10390">
              <w:rPr>
                <w:rFonts w:ascii="TUOS Blake" w:hAnsi="TUOS Blake"/>
                <w:b/>
                <w:bCs/>
                <w:i w:val="0"/>
                <w:iCs w:val="0"/>
                <w:sz w:val="22"/>
                <w:szCs w:val="22"/>
              </w:rPr>
              <w:t>Dynes.s</w:t>
            </w:r>
            <w:proofErr w:type="spellEnd"/>
            <w:r w:rsidRPr="00B10390">
              <w:rPr>
                <w:rFonts w:ascii="TUOS Blake" w:hAnsi="TUOS Blake"/>
                <w:b/>
                <w:bCs/>
                <w:i w:val="0"/>
                <w:iCs w:val="0"/>
                <w:sz w:val="22"/>
                <w:szCs w:val="22"/>
              </w:rPr>
              <w:t>/cm</w:t>
            </w:r>
            <w:r w:rsidRPr="00B10390">
              <w:rPr>
                <w:rFonts w:ascii="TUOS Blake" w:hAnsi="TUOS Blake"/>
                <w:b/>
                <w:bCs/>
                <w:i w:val="0"/>
                <w:iCs w:val="0"/>
                <w:sz w:val="22"/>
                <w:szCs w:val="22"/>
                <w:vertAlign w:val="superscript"/>
              </w:rPr>
              <w:t>5</w:t>
            </w:r>
            <w:r w:rsidRPr="00B10390">
              <w:rPr>
                <w:rFonts w:ascii="TUOS Blake" w:hAnsi="TUOS Blake"/>
                <w:b/>
                <w:bCs/>
                <w:i w:val="0"/>
                <w:iCs w:val="0"/>
                <w:sz w:val="22"/>
                <w:szCs w:val="22"/>
              </w:rPr>
              <w:t>)</w:t>
            </w:r>
          </w:p>
        </w:tc>
        <w:tc>
          <w:tcPr>
            <w:tcW w:w="2126" w:type="dxa"/>
          </w:tcPr>
          <w:p w14:paraId="6DFCCA6F" w14:textId="77777777" w:rsidR="00421161" w:rsidRPr="00B10390" w:rsidRDefault="0042116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B10390">
              <w:rPr>
                <w:rFonts w:ascii="TUOS Blake" w:hAnsi="TUOS Blake"/>
                <w:sz w:val="22"/>
                <w:szCs w:val="22"/>
              </w:rPr>
              <w:t>-</w:t>
            </w:r>
          </w:p>
        </w:tc>
        <w:tc>
          <w:tcPr>
            <w:tcW w:w="2268" w:type="dxa"/>
          </w:tcPr>
          <w:p w14:paraId="15EF0308" w14:textId="77777777" w:rsidR="00421161" w:rsidRPr="00B10390" w:rsidRDefault="00421161" w:rsidP="00F27D55">
            <w:pPr>
              <w:cnfStyle w:val="000000000000" w:firstRow="0" w:lastRow="0" w:firstColumn="0" w:lastColumn="0" w:oddVBand="0" w:evenVBand="0" w:oddHBand="0" w:evenHBand="0" w:firstRowFirstColumn="0" w:firstRowLastColumn="0" w:lastRowFirstColumn="0" w:lastRowLastColumn="0"/>
              <w:rPr>
                <w:rFonts w:ascii="TUOS Blake" w:hAnsi="TUOS Blake"/>
                <w:color w:val="000000"/>
                <w:sz w:val="22"/>
                <w:szCs w:val="22"/>
              </w:rPr>
            </w:pPr>
            <w:r w:rsidRPr="00B10390">
              <w:rPr>
                <w:rFonts w:ascii="TUOS Blake" w:hAnsi="TUOS Blake"/>
                <w:color w:val="000000"/>
                <w:sz w:val="22"/>
                <w:szCs w:val="22"/>
              </w:rPr>
              <w:t>847.5 (421.2)</w:t>
            </w:r>
          </w:p>
        </w:tc>
        <w:tc>
          <w:tcPr>
            <w:tcW w:w="1497" w:type="dxa"/>
          </w:tcPr>
          <w:p w14:paraId="0D540361" w14:textId="77777777" w:rsidR="00421161" w:rsidRPr="00B10390" w:rsidRDefault="0042116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B10390">
              <w:rPr>
                <w:rFonts w:ascii="TUOS Blake" w:hAnsi="TUOS Blake"/>
                <w:sz w:val="22"/>
                <w:szCs w:val="22"/>
              </w:rPr>
              <w:t>-</w:t>
            </w:r>
          </w:p>
        </w:tc>
      </w:tr>
      <w:tr w:rsidR="00421161" w14:paraId="6C98C373" w14:textId="77777777" w:rsidTr="00B10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AF6F013" w14:textId="77777777" w:rsidR="00421161" w:rsidRPr="00B10390" w:rsidRDefault="00421161" w:rsidP="00F27D55">
            <w:pPr>
              <w:rPr>
                <w:rFonts w:ascii="TUOS Blake" w:hAnsi="TUOS Blake"/>
                <w:b/>
                <w:bCs/>
                <w:i w:val="0"/>
                <w:iCs w:val="0"/>
                <w:sz w:val="22"/>
                <w:szCs w:val="22"/>
              </w:rPr>
            </w:pPr>
            <w:r w:rsidRPr="00B10390">
              <w:rPr>
                <w:rFonts w:ascii="TUOS Blake" w:hAnsi="TUOS Blake"/>
                <w:b/>
                <w:bCs/>
                <w:i w:val="0"/>
                <w:iCs w:val="0"/>
                <w:sz w:val="22"/>
                <w:szCs w:val="22"/>
              </w:rPr>
              <w:t>Cardiac Output (L/min)</w:t>
            </w:r>
          </w:p>
        </w:tc>
        <w:tc>
          <w:tcPr>
            <w:tcW w:w="2126" w:type="dxa"/>
          </w:tcPr>
          <w:p w14:paraId="2E64CED0" w14:textId="77777777" w:rsidR="00421161" w:rsidRPr="00B10390" w:rsidRDefault="0042116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B10390">
              <w:rPr>
                <w:rFonts w:ascii="TUOS Blake" w:hAnsi="TUOS Blake"/>
                <w:sz w:val="22"/>
                <w:szCs w:val="22"/>
              </w:rPr>
              <w:t>-</w:t>
            </w:r>
          </w:p>
        </w:tc>
        <w:tc>
          <w:tcPr>
            <w:tcW w:w="2268" w:type="dxa"/>
          </w:tcPr>
          <w:p w14:paraId="6C5EC718" w14:textId="77777777" w:rsidR="00421161" w:rsidRPr="00B10390" w:rsidRDefault="00421161" w:rsidP="00F27D55">
            <w:pPr>
              <w:cnfStyle w:val="000000100000" w:firstRow="0" w:lastRow="0" w:firstColumn="0" w:lastColumn="0" w:oddVBand="0" w:evenVBand="0" w:oddHBand="1" w:evenHBand="0" w:firstRowFirstColumn="0" w:firstRowLastColumn="0" w:lastRowFirstColumn="0" w:lastRowLastColumn="0"/>
              <w:rPr>
                <w:rFonts w:ascii="TUOS Blake" w:hAnsi="TUOS Blake"/>
                <w:color w:val="000000"/>
                <w:sz w:val="22"/>
                <w:szCs w:val="22"/>
              </w:rPr>
            </w:pPr>
            <w:r w:rsidRPr="00B10390">
              <w:rPr>
                <w:rFonts w:ascii="TUOS Blake" w:hAnsi="TUOS Blake"/>
                <w:color w:val="000000"/>
                <w:sz w:val="22"/>
                <w:szCs w:val="22"/>
              </w:rPr>
              <w:t>5.2 (1.7)</w:t>
            </w:r>
          </w:p>
        </w:tc>
        <w:tc>
          <w:tcPr>
            <w:tcW w:w="1497" w:type="dxa"/>
          </w:tcPr>
          <w:p w14:paraId="0B08D324" w14:textId="77777777" w:rsidR="00421161" w:rsidRPr="00B10390" w:rsidRDefault="0042116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B10390">
              <w:rPr>
                <w:rFonts w:ascii="TUOS Blake" w:hAnsi="TUOS Blake"/>
                <w:sz w:val="22"/>
                <w:szCs w:val="22"/>
              </w:rPr>
              <w:t>-</w:t>
            </w:r>
          </w:p>
        </w:tc>
      </w:tr>
      <w:tr w:rsidR="00421161" w14:paraId="0F598AC1" w14:textId="77777777" w:rsidTr="00B10390">
        <w:tc>
          <w:tcPr>
            <w:cnfStyle w:val="001000000000" w:firstRow="0" w:lastRow="0" w:firstColumn="1" w:lastColumn="0" w:oddVBand="0" w:evenVBand="0" w:oddHBand="0" w:evenHBand="0" w:firstRowFirstColumn="0" w:firstRowLastColumn="0" w:lastRowFirstColumn="0" w:lastRowLastColumn="0"/>
            <w:tcW w:w="3119" w:type="dxa"/>
          </w:tcPr>
          <w:p w14:paraId="3B8EF589" w14:textId="40C8BE27" w:rsidR="00421161" w:rsidRPr="00B10390" w:rsidRDefault="00421161" w:rsidP="00F27D55">
            <w:pPr>
              <w:rPr>
                <w:rFonts w:ascii="TUOS Blake" w:hAnsi="TUOS Blake"/>
                <w:b/>
                <w:bCs/>
                <w:i w:val="0"/>
                <w:iCs w:val="0"/>
                <w:sz w:val="22"/>
                <w:szCs w:val="22"/>
              </w:rPr>
            </w:pPr>
            <w:r w:rsidRPr="00B10390">
              <w:rPr>
                <w:rFonts w:ascii="TUOS Blake" w:hAnsi="TUOS Blake"/>
                <w:b/>
                <w:bCs/>
                <w:i w:val="0"/>
                <w:iCs w:val="0"/>
                <w:sz w:val="22"/>
                <w:szCs w:val="22"/>
              </w:rPr>
              <w:t>PA Wedge Pressure</w:t>
            </w:r>
            <w:r w:rsidR="00B10390">
              <w:rPr>
                <w:rFonts w:ascii="TUOS Blake" w:hAnsi="TUOS Blake"/>
                <w:b/>
                <w:bCs/>
                <w:i w:val="0"/>
                <w:iCs w:val="0"/>
                <w:sz w:val="22"/>
                <w:szCs w:val="22"/>
              </w:rPr>
              <w:t xml:space="preserve"> </w:t>
            </w:r>
            <w:r w:rsidRPr="00B10390">
              <w:rPr>
                <w:rFonts w:ascii="TUOS Blake" w:hAnsi="TUOS Blake"/>
                <w:b/>
                <w:bCs/>
                <w:i w:val="0"/>
                <w:iCs w:val="0"/>
                <w:sz w:val="22"/>
                <w:szCs w:val="22"/>
              </w:rPr>
              <w:t>(mmHg)</w:t>
            </w:r>
          </w:p>
        </w:tc>
        <w:tc>
          <w:tcPr>
            <w:tcW w:w="2126" w:type="dxa"/>
          </w:tcPr>
          <w:p w14:paraId="766E4BD4" w14:textId="77777777" w:rsidR="00421161" w:rsidRPr="00B10390" w:rsidRDefault="0042116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B10390">
              <w:rPr>
                <w:rFonts w:ascii="TUOS Blake" w:hAnsi="TUOS Blake"/>
                <w:sz w:val="22"/>
                <w:szCs w:val="22"/>
              </w:rPr>
              <w:t>-</w:t>
            </w:r>
          </w:p>
        </w:tc>
        <w:tc>
          <w:tcPr>
            <w:tcW w:w="2268" w:type="dxa"/>
          </w:tcPr>
          <w:p w14:paraId="005FF3AA" w14:textId="77777777" w:rsidR="00421161" w:rsidRPr="00B10390" w:rsidRDefault="00421161" w:rsidP="00F27D55">
            <w:pPr>
              <w:cnfStyle w:val="000000000000" w:firstRow="0" w:lastRow="0" w:firstColumn="0" w:lastColumn="0" w:oddVBand="0" w:evenVBand="0" w:oddHBand="0" w:evenHBand="0" w:firstRowFirstColumn="0" w:firstRowLastColumn="0" w:lastRowFirstColumn="0" w:lastRowLastColumn="0"/>
              <w:rPr>
                <w:rFonts w:ascii="TUOS Blake" w:hAnsi="TUOS Blake"/>
                <w:color w:val="000000"/>
                <w:sz w:val="22"/>
                <w:szCs w:val="22"/>
              </w:rPr>
            </w:pPr>
            <w:r w:rsidRPr="00B10390">
              <w:rPr>
                <w:rFonts w:ascii="TUOS Blake" w:hAnsi="TUOS Blake"/>
                <w:color w:val="000000"/>
                <w:sz w:val="22"/>
                <w:szCs w:val="22"/>
              </w:rPr>
              <w:t>10.6 (3.4)</w:t>
            </w:r>
          </w:p>
        </w:tc>
        <w:tc>
          <w:tcPr>
            <w:tcW w:w="1497" w:type="dxa"/>
          </w:tcPr>
          <w:p w14:paraId="7C1366BE" w14:textId="77777777" w:rsidR="00421161" w:rsidRPr="00B10390" w:rsidRDefault="0042116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B10390">
              <w:rPr>
                <w:rFonts w:ascii="TUOS Blake" w:hAnsi="TUOS Blake"/>
                <w:sz w:val="22"/>
                <w:szCs w:val="22"/>
              </w:rPr>
              <w:t>-</w:t>
            </w:r>
          </w:p>
        </w:tc>
      </w:tr>
    </w:tbl>
    <w:p w14:paraId="018CFC1A" w14:textId="77777777" w:rsidR="00DF349A" w:rsidRDefault="00DF349A" w:rsidP="00384CBB">
      <w:pPr>
        <w:pStyle w:val="Caption"/>
      </w:pPr>
    </w:p>
    <w:p w14:paraId="54758CD0" w14:textId="667BA093" w:rsidR="00E4064F" w:rsidRPr="00E713B2" w:rsidRDefault="00E4064F" w:rsidP="00384CBB">
      <w:pPr>
        <w:pStyle w:val="Caption"/>
      </w:pPr>
      <w:bookmarkStart w:id="165" w:name="_Ref60691208"/>
      <w:bookmarkStart w:id="166" w:name="_Toc60597178"/>
      <w:r>
        <w:t xml:space="preserve">Table </w:t>
      </w:r>
      <w:r w:rsidR="004D7B97">
        <w:fldChar w:fldCharType="begin"/>
      </w:r>
      <w:r w:rsidR="004D7B97">
        <w:instrText xml:space="preserve"> STYLEREF 1 \s </w:instrText>
      </w:r>
      <w:r w:rsidR="004D7B97">
        <w:fldChar w:fldCharType="separate"/>
      </w:r>
      <w:r w:rsidR="00885DE4">
        <w:rPr>
          <w:noProof/>
        </w:rPr>
        <w:t>3</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1</w:t>
      </w:r>
      <w:r w:rsidR="004D7B97">
        <w:fldChar w:fldCharType="end"/>
      </w:r>
      <w:bookmarkEnd w:id="164"/>
      <w:bookmarkEnd w:id="165"/>
      <w:r>
        <w:t xml:space="preserve"> Summary demographics of IPAH and HV samples used in the sample source cohort.  Sample distributions were tested using Shapiro-Wilk test, samples with a p-value &lt;= 0.05 were compared with the Mann Whitney U-test whilst a p-value &gt; 0.05 was compared using a Students t-test. Categorical data was testing with Chi-Squared.</w:t>
      </w:r>
      <w:bookmarkEnd w:id="166"/>
    </w:p>
    <w:p w14:paraId="38E1C7FB" w14:textId="74FCF184" w:rsidR="00976C9E" w:rsidRDefault="00976C9E">
      <w:pPr>
        <w:rPr>
          <w:rFonts w:ascii="Helvetica" w:eastAsia="Helvetica" w:hAnsi="Helvetica" w:cs="Helvetica"/>
          <w:b/>
          <w:bCs/>
          <w:color w:val="000000"/>
          <w:bdr w:val="nil"/>
        </w:rPr>
      </w:pPr>
    </w:p>
    <w:p w14:paraId="0FE23AF8" w14:textId="77777777" w:rsidR="00A002E7" w:rsidRDefault="00A002E7">
      <w:pPr>
        <w:rPr>
          <w:rFonts w:ascii="Helvetica" w:eastAsia="Helvetica" w:hAnsi="Helvetica" w:cs="Helvetica"/>
          <w:b/>
          <w:bCs/>
          <w:color w:val="000000"/>
          <w:bdr w:val="nil"/>
        </w:rPr>
      </w:pPr>
    </w:p>
    <w:p w14:paraId="3CA7E6DF" w14:textId="431FE004" w:rsidR="00E4064F" w:rsidRDefault="00E4064F" w:rsidP="00E4064F">
      <w:pPr>
        <w:pStyle w:val="Heading3"/>
        <w:numPr>
          <w:ilvl w:val="1"/>
          <w:numId w:val="7"/>
        </w:numPr>
        <w:spacing w:before="80" w:after="80"/>
      </w:pPr>
      <w:bookmarkStart w:id="167" w:name="_Toc60773914"/>
      <w:r>
        <w:t>Expression Changes in Blood Fractions</w:t>
      </w:r>
      <w:bookmarkEnd w:id="167"/>
    </w:p>
    <w:p w14:paraId="1050D4A7" w14:textId="66B5C63A" w:rsidR="00E4064F" w:rsidRDefault="00E4064F" w:rsidP="00F75185">
      <w:pPr>
        <w:pStyle w:val="Body"/>
      </w:pPr>
      <w:r w:rsidRPr="00C7646B">
        <w:t xml:space="preserve">Differential expression of miRNA between HV and IPAH in whole blood and plasma fractions was determined </w:t>
      </w:r>
      <w:r w:rsidR="00BC132E" w:rsidRPr="00C7646B">
        <w:t xml:space="preserve">using the Bioconductor packages LIMMA and </w:t>
      </w:r>
      <w:proofErr w:type="spellStart"/>
      <w:r w:rsidR="00BC132E" w:rsidRPr="00C7646B">
        <w:t>AgiMicroRAN</w:t>
      </w:r>
      <w:proofErr w:type="spellEnd"/>
      <w:r w:rsidR="00BC132E" w:rsidRPr="00C7646B">
        <w:t xml:space="preserve"> </w:t>
      </w:r>
      <w:r w:rsidRPr="00C7646B">
        <w:t xml:space="preserve">as described in </w:t>
      </w:r>
      <w:r w:rsidRPr="00C7646B">
        <w:fldChar w:fldCharType="begin"/>
      </w:r>
      <w:r w:rsidRPr="00C7646B">
        <w:instrText xml:space="preserve"> REF _Ref355278537 \r \h </w:instrText>
      </w:r>
      <w:r w:rsidR="00C7646B">
        <w:instrText xml:space="preserve"> \* MERGEFORMAT </w:instrText>
      </w:r>
      <w:r w:rsidRPr="00C7646B">
        <w:fldChar w:fldCharType="separate"/>
      </w:r>
      <w:r w:rsidR="00885DE4" w:rsidRPr="00C7646B">
        <w:t>2.3</w:t>
      </w:r>
      <w:r w:rsidRPr="00C7646B">
        <w:fldChar w:fldCharType="end"/>
      </w:r>
      <w:r w:rsidRPr="00F53A5E">
        <w:t xml:space="preserve">. </w:t>
      </w:r>
      <w:r w:rsidR="006E2614" w:rsidRPr="00F53A5E">
        <w:t xml:space="preserve">160 plasma miRNAs and 179 whole blood miRNAs </w:t>
      </w:r>
      <w:r w:rsidR="00355C33" w:rsidRPr="00F53A5E">
        <w:t xml:space="preserve">were detected following initial filtering by the function </w:t>
      </w:r>
      <w:proofErr w:type="spellStart"/>
      <w:proofErr w:type="gramStart"/>
      <w:r w:rsidR="00355C33" w:rsidRPr="00F53A5E">
        <w:t>filterMicroRna</w:t>
      </w:r>
      <w:proofErr w:type="spellEnd"/>
      <w:r w:rsidR="00355C33" w:rsidRPr="00F53A5E">
        <w:t>(</w:t>
      </w:r>
      <w:proofErr w:type="gramEnd"/>
      <w:r w:rsidR="00355C33" w:rsidRPr="00F53A5E">
        <w:t>)</w:t>
      </w:r>
      <w:r w:rsidR="00AF759D" w:rsidRPr="00F53A5E">
        <w:t>. This was used at the default settings</w:t>
      </w:r>
      <w:r w:rsidR="00A652C4" w:rsidRPr="00F53A5E">
        <w:t xml:space="preserve"> removing miR</w:t>
      </w:r>
      <w:r w:rsidR="00166111" w:rsidRPr="00F53A5E">
        <w:t>NA</w:t>
      </w:r>
      <w:r w:rsidR="00A652C4" w:rsidRPr="00F53A5E">
        <w:t xml:space="preserve">s with a low signal intensity, defined as </w:t>
      </w:r>
      <w:r w:rsidR="00BC132E" w:rsidRPr="00F53A5E">
        <w:t>probes with</w:t>
      </w:r>
      <w:r w:rsidR="00A652C4" w:rsidRPr="00F53A5E">
        <w:t xml:space="preserve"> an expression level </w:t>
      </w:r>
      <w:r w:rsidR="00BC132E" w:rsidRPr="00F53A5E">
        <w:t>less than</w:t>
      </w:r>
      <w:r w:rsidR="00A652C4" w:rsidRPr="00F53A5E">
        <w:t xml:space="preserve"> 1.5x the standard deviation of the array negative controls</w:t>
      </w:r>
      <w:r w:rsidR="00BC132E" w:rsidRPr="00F53A5E">
        <w:t xml:space="preserve">, and </w:t>
      </w:r>
      <w:r w:rsidR="00A652C4" w:rsidRPr="00F53A5E">
        <w:t>miR</w:t>
      </w:r>
      <w:r w:rsidR="00424A1B" w:rsidRPr="00F53A5E">
        <w:t>NA</w:t>
      </w:r>
      <w:r w:rsidR="00BC132E" w:rsidRPr="00F53A5E">
        <w:t xml:space="preserve">s </w:t>
      </w:r>
      <w:r w:rsidR="00A652C4" w:rsidRPr="00F53A5E">
        <w:t xml:space="preserve">present in 10% or </w:t>
      </w:r>
      <w:r w:rsidR="00BC132E" w:rsidRPr="00F53A5E">
        <w:t>more</w:t>
      </w:r>
      <w:r w:rsidR="00A652C4" w:rsidRPr="00F53A5E">
        <w:t xml:space="preserve"> of </w:t>
      </w:r>
      <w:r w:rsidR="00BC132E" w:rsidRPr="00F53A5E">
        <w:t>samples</w:t>
      </w:r>
      <w:r w:rsidR="0037266B" w:rsidRPr="00F53A5E">
        <w:t xml:space="preserve">. </w:t>
      </w:r>
      <w:r w:rsidR="00FB303B" w:rsidRPr="00F53A5E">
        <w:t xml:space="preserve">The null hypothesis tested by the differential expression analysis is “that there are no differences in expression between HV and IPAH”. </w:t>
      </w:r>
      <w:r w:rsidR="00BA1D75" w:rsidRPr="00F53A5E">
        <w:t>Ultimately</w:t>
      </w:r>
      <w:r w:rsidR="00BA1D75" w:rsidRPr="00C7646B">
        <w:t xml:space="preserve">, the results of </w:t>
      </w:r>
      <w:r w:rsidR="009D7246" w:rsidRPr="00C7646B">
        <w:t xml:space="preserve">both </w:t>
      </w:r>
      <w:r w:rsidR="00BA1D75" w:rsidRPr="00C7646B">
        <w:t>differential expression analys</w:t>
      </w:r>
      <w:r w:rsidR="009D7246" w:rsidRPr="00C7646B">
        <w:t>e</w:t>
      </w:r>
      <w:r w:rsidR="00BA1D75" w:rsidRPr="00C7646B">
        <w:t xml:space="preserve">s </w:t>
      </w:r>
      <w:r w:rsidR="009D7246" w:rsidRPr="00C7646B">
        <w:t>will</w:t>
      </w:r>
      <w:r w:rsidR="00BA1D75" w:rsidRPr="00C7646B">
        <w:t xml:space="preserve"> be </w:t>
      </w:r>
      <w:r w:rsidR="00BA1D75" w:rsidRPr="00C7646B">
        <w:lastRenderedPageBreak/>
        <w:t xml:space="preserve">used to test the null hypothesis of “there are no differences in abundance of miRNAs between the circulating fractions of plasma and whole blood”. It will </w:t>
      </w:r>
      <w:r w:rsidRPr="00C7646B">
        <w:t xml:space="preserve">determine any differences between the magnitude and group variability of miRNA expression. The number of miRNAs over </w:t>
      </w:r>
      <w:r w:rsidR="009D7246" w:rsidRPr="00C7646B">
        <w:t>both</w:t>
      </w:r>
      <w:r w:rsidRPr="00C7646B">
        <w:t xml:space="preserve"> unadjusted p-value and adjusted p-value of 0.05 is summarised in </w:t>
      </w:r>
      <w:r w:rsidRPr="00C7646B">
        <w:fldChar w:fldCharType="begin"/>
      </w:r>
      <w:r w:rsidRPr="00C7646B">
        <w:instrText xml:space="preserve"> REF _Ref355281290 \h </w:instrText>
      </w:r>
      <w:r w:rsidR="00C7646B">
        <w:instrText xml:space="preserve"> \* MERGEFORMAT </w:instrText>
      </w:r>
      <w:r w:rsidRPr="00C7646B">
        <w:fldChar w:fldCharType="separate"/>
      </w:r>
      <w:r w:rsidR="00885DE4" w:rsidRPr="00C7646B">
        <w:t xml:space="preserve">Table </w:t>
      </w:r>
      <w:r w:rsidR="00885DE4" w:rsidRPr="00C7646B">
        <w:rPr>
          <w:noProof/>
        </w:rPr>
        <w:t>3</w:t>
      </w:r>
      <w:r w:rsidR="00885DE4" w:rsidRPr="00C7646B">
        <w:noBreakHyphen/>
      </w:r>
      <w:r w:rsidR="00885DE4" w:rsidRPr="00C7646B">
        <w:rPr>
          <w:noProof/>
        </w:rPr>
        <w:t>2</w:t>
      </w:r>
      <w:r w:rsidRPr="00C7646B">
        <w:fldChar w:fldCharType="end"/>
      </w:r>
      <w:r w:rsidRPr="00C7646B">
        <w:t>. Differences between the two sources are visualised in the volcano plot in</w:t>
      </w:r>
      <w:r w:rsidR="00C7646B" w:rsidRPr="00C7646B">
        <w:t xml:space="preserve"> </w:t>
      </w:r>
      <w:r w:rsidR="00C7646B" w:rsidRPr="00C7646B">
        <w:fldChar w:fldCharType="begin"/>
      </w:r>
      <w:r w:rsidR="00C7646B" w:rsidRPr="00C7646B">
        <w:instrText xml:space="preserve"> REF _Ref60774043 \h </w:instrText>
      </w:r>
      <w:r w:rsidR="00C7646B">
        <w:instrText xml:space="preserve"> \* MERGEFORMAT </w:instrText>
      </w:r>
      <w:r w:rsidR="00C7646B" w:rsidRPr="00C7646B">
        <w:fldChar w:fldCharType="separate"/>
      </w:r>
      <w:r w:rsidR="00C7646B" w:rsidRPr="00C7646B">
        <w:t xml:space="preserve">Figure </w:t>
      </w:r>
      <w:r w:rsidR="00C7646B" w:rsidRPr="00C7646B">
        <w:rPr>
          <w:noProof/>
        </w:rPr>
        <w:t>3</w:t>
      </w:r>
      <w:r w:rsidR="00C7646B" w:rsidRPr="00C7646B">
        <w:noBreakHyphen/>
      </w:r>
      <w:r w:rsidR="00C7646B" w:rsidRPr="00C7646B">
        <w:rPr>
          <w:noProof/>
        </w:rPr>
        <w:t>1</w:t>
      </w:r>
      <w:r w:rsidR="00C7646B" w:rsidRPr="00C7646B">
        <w:fldChar w:fldCharType="end"/>
      </w:r>
      <w:r>
        <w:t>.</w:t>
      </w:r>
    </w:p>
    <w:p w14:paraId="21863E62" w14:textId="77777777" w:rsidR="00DD7CE2" w:rsidRPr="00DD7CE2" w:rsidRDefault="00DD7CE2" w:rsidP="00DD7CE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9"/>
        <w:gridCol w:w="1621"/>
        <w:gridCol w:w="2972"/>
      </w:tblGrid>
      <w:tr w:rsidR="00E4064F" w14:paraId="4E7A5988" w14:textId="77777777" w:rsidTr="000D1B2E">
        <w:trPr>
          <w:jc w:val="center"/>
        </w:trPr>
        <w:tc>
          <w:tcPr>
            <w:tcW w:w="0" w:type="auto"/>
            <w:tcBorders>
              <w:top w:val="single" w:sz="4" w:space="0" w:color="auto"/>
              <w:bottom w:val="single" w:sz="4" w:space="0" w:color="auto"/>
            </w:tcBorders>
            <w:shd w:val="clear" w:color="auto" w:fill="F2F2F2" w:themeFill="background1" w:themeFillShade="F2"/>
          </w:tcPr>
          <w:p w14:paraId="07FAC3C4" w14:textId="77777777" w:rsidR="00E4064F" w:rsidRDefault="00E4064F"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miRNA Source</w:t>
            </w:r>
          </w:p>
        </w:tc>
        <w:tc>
          <w:tcPr>
            <w:tcW w:w="0" w:type="auto"/>
            <w:tcBorders>
              <w:top w:val="single" w:sz="4" w:space="0" w:color="auto"/>
              <w:bottom w:val="single" w:sz="4" w:space="0" w:color="auto"/>
            </w:tcBorders>
            <w:shd w:val="clear" w:color="auto" w:fill="F2F2F2" w:themeFill="background1" w:themeFillShade="F2"/>
          </w:tcPr>
          <w:p w14:paraId="3A34F96A" w14:textId="77777777" w:rsidR="00E4064F" w:rsidRDefault="00E4064F"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p-value &lt;0.05</w:t>
            </w:r>
          </w:p>
        </w:tc>
        <w:tc>
          <w:tcPr>
            <w:tcW w:w="0" w:type="auto"/>
            <w:tcBorders>
              <w:top w:val="single" w:sz="4" w:space="0" w:color="auto"/>
              <w:bottom w:val="single" w:sz="4" w:space="0" w:color="auto"/>
            </w:tcBorders>
            <w:shd w:val="clear" w:color="auto" w:fill="F2F2F2" w:themeFill="background1" w:themeFillShade="F2"/>
          </w:tcPr>
          <w:p w14:paraId="1D512EBA" w14:textId="77777777" w:rsidR="00E4064F" w:rsidRDefault="00E4064F"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proofErr w:type="spellStart"/>
            <w:r>
              <w:t>fdr</w:t>
            </w:r>
            <w:proofErr w:type="spellEnd"/>
            <w:r>
              <w:t xml:space="preserve"> adjusted p-value &lt;0.05</w:t>
            </w:r>
          </w:p>
        </w:tc>
      </w:tr>
      <w:tr w:rsidR="00E4064F" w14:paraId="5F46DAAC" w14:textId="77777777" w:rsidTr="000D1B2E">
        <w:trPr>
          <w:jc w:val="center"/>
        </w:trPr>
        <w:tc>
          <w:tcPr>
            <w:tcW w:w="0" w:type="auto"/>
            <w:tcBorders>
              <w:top w:val="single" w:sz="4" w:space="0" w:color="auto"/>
            </w:tcBorders>
          </w:tcPr>
          <w:p w14:paraId="46C98694" w14:textId="77777777" w:rsidR="00E4064F" w:rsidRDefault="00E4064F"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jc w:val="left"/>
            </w:pPr>
            <w:r>
              <w:t>Whole Blood</w:t>
            </w:r>
          </w:p>
        </w:tc>
        <w:tc>
          <w:tcPr>
            <w:tcW w:w="0" w:type="auto"/>
            <w:tcBorders>
              <w:top w:val="single" w:sz="4" w:space="0" w:color="auto"/>
            </w:tcBorders>
          </w:tcPr>
          <w:p w14:paraId="3C3CC33E" w14:textId="77777777" w:rsidR="00E4064F" w:rsidRDefault="00E4064F"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45</w:t>
            </w:r>
          </w:p>
        </w:tc>
        <w:tc>
          <w:tcPr>
            <w:tcW w:w="0" w:type="auto"/>
            <w:tcBorders>
              <w:top w:val="single" w:sz="4" w:space="0" w:color="auto"/>
            </w:tcBorders>
          </w:tcPr>
          <w:p w14:paraId="021AF572" w14:textId="77777777" w:rsidR="00E4064F" w:rsidRDefault="00E4064F"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1</w:t>
            </w:r>
          </w:p>
        </w:tc>
      </w:tr>
      <w:tr w:rsidR="00E4064F" w14:paraId="7E074D00" w14:textId="77777777" w:rsidTr="000D1B2E">
        <w:trPr>
          <w:jc w:val="center"/>
        </w:trPr>
        <w:tc>
          <w:tcPr>
            <w:tcW w:w="0" w:type="auto"/>
            <w:tcBorders>
              <w:bottom w:val="single" w:sz="4" w:space="0" w:color="auto"/>
            </w:tcBorders>
          </w:tcPr>
          <w:p w14:paraId="3C3FE489" w14:textId="77777777" w:rsidR="00E4064F" w:rsidRDefault="00E4064F"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jc w:val="left"/>
            </w:pPr>
            <w:r>
              <w:t>Plasma</w:t>
            </w:r>
          </w:p>
        </w:tc>
        <w:tc>
          <w:tcPr>
            <w:tcW w:w="0" w:type="auto"/>
            <w:tcBorders>
              <w:bottom w:val="single" w:sz="4" w:space="0" w:color="auto"/>
            </w:tcBorders>
          </w:tcPr>
          <w:p w14:paraId="7A2F2366" w14:textId="77777777" w:rsidR="00E4064F" w:rsidRDefault="00E4064F"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95</w:t>
            </w:r>
          </w:p>
        </w:tc>
        <w:tc>
          <w:tcPr>
            <w:tcW w:w="0" w:type="auto"/>
            <w:tcBorders>
              <w:bottom w:val="single" w:sz="4" w:space="0" w:color="auto"/>
            </w:tcBorders>
          </w:tcPr>
          <w:p w14:paraId="7D6DF2C4" w14:textId="77777777" w:rsidR="00E4064F" w:rsidRDefault="00E4064F" w:rsidP="000D1B2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90</w:t>
            </w:r>
          </w:p>
        </w:tc>
      </w:tr>
    </w:tbl>
    <w:p w14:paraId="7921E651" w14:textId="756BA815" w:rsidR="00E4064F" w:rsidRDefault="00E4064F" w:rsidP="00E4064F">
      <w:pPr>
        <w:pStyle w:val="Caption"/>
      </w:pPr>
      <w:bookmarkStart w:id="168" w:name="_Ref355281290"/>
      <w:bookmarkStart w:id="169" w:name="_Toc60597179"/>
      <w:r>
        <w:t xml:space="preserve">Table </w:t>
      </w:r>
      <w:r w:rsidR="004D7B97">
        <w:fldChar w:fldCharType="begin"/>
      </w:r>
      <w:r w:rsidR="004D7B97">
        <w:instrText xml:space="preserve"> STYLEREF 1 \s </w:instrText>
      </w:r>
      <w:r w:rsidR="004D7B97">
        <w:fldChar w:fldCharType="separate"/>
      </w:r>
      <w:r w:rsidR="00885DE4">
        <w:rPr>
          <w:noProof/>
        </w:rPr>
        <w:t>3</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2</w:t>
      </w:r>
      <w:r w:rsidR="004D7B97">
        <w:fldChar w:fldCharType="end"/>
      </w:r>
      <w:bookmarkEnd w:id="168"/>
      <w:r>
        <w:t xml:space="preserve"> Number of miRNAs with a p-value &lt;0.05 both with and without adjusting for multiple testing </w:t>
      </w:r>
      <w:proofErr w:type="spellStart"/>
      <w:r>
        <w:t>Benjamini</w:t>
      </w:r>
      <w:proofErr w:type="spellEnd"/>
      <w:r>
        <w:t>-Hochberg false discovery rate.</w:t>
      </w:r>
      <w:bookmarkEnd w:id="169"/>
    </w:p>
    <w:p w14:paraId="64C95C57" w14:textId="77777777" w:rsidR="0062259A" w:rsidRDefault="00485474" w:rsidP="00E4064F">
      <w:pPr>
        <w:pStyle w:val="Caption"/>
      </w:pPr>
      <w:bookmarkStart w:id="170" w:name="_Ref355279726"/>
      <w:r>
        <w:rPr>
          <w:noProof/>
        </w:rPr>
        <w:drawing>
          <wp:inline distT="0" distB="0" distL="0" distR="0" wp14:anchorId="49A7C54D" wp14:editId="7804172A">
            <wp:extent cx="5764530" cy="320230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stretch>
                      <a:fillRect/>
                    </a:stretch>
                  </pic:blipFill>
                  <pic:spPr>
                    <a:xfrm>
                      <a:off x="0" y="0"/>
                      <a:ext cx="5764530" cy="3202305"/>
                    </a:xfrm>
                    <a:prstGeom prst="rect">
                      <a:avLst/>
                    </a:prstGeom>
                  </pic:spPr>
                </pic:pic>
              </a:graphicData>
            </a:graphic>
          </wp:inline>
        </w:drawing>
      </w:r>
    </w:p>
    <w:p w14:paraId="6AFB3E33" w14:textId="6A3FF1E1" w:rsidR="00B71EE1" w:rsidRDefault="00E4064F" w:rsidP="00FA776D">
      <w:pPr>
        <w:pStyle w:val="Caption"/>
      </w:pPr>
      <w:bookmarkStart w:id="171" w:name="_Toc60597203"/>
      <w:bookmarkStart w:id="172" w:name="_Ref60774043"/>
      <w:r>
        <w:t xml:space="preserve">Figure </w:t>
      </w:r>
      <w:r w:rsidR="00864CF4">
        <w:fldChar w:fldCharType="begin"/>
      </w:r>
      <w:r w:rsidR="00864CF4">
        <w:instrText xml:space="preserve"> STYLEREF 1 \s </w:instrText>
      </w:r>
      <w:r w:rsidR="00864CF4">
        <w:fldChar w:fldCharType="separate"/>
      </w:r>
      <w:r w:rsidR="00885DE4">
        <w:rPr>
          <w:noProof/>
        </w:rPr>
        <w:t>3</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1</w:t>
      </w:r>
      <w:r w:rsidR="00864CF4">
        <w:fldChar w:fldCharType="end"/>
      </w:r>
      <w:bookmarkEnd w:id="170"/>
      <w:bookmarkEnd w:id="172"/>
      <w:r>
        <w:t xml:space="preserve"> Volcano plot visualising the differences between miRNA expression and p-value for both plasma (red) and whole blood (green) miRNA microarrays.</w:t>
      </w:r>
      <w:r w:rsidR="00485474">
        <w:t xml:space="preserve"> Whole blood </w:t>
      </w:r>
      <w:proofErr w:type="spellStart"/>
      <w:r w:rsidR="00485474">
        <w:t>miRNAS</w:t>
      </w:r>
      <w:proofErr w:type="spellEnd"/>
      <w:r w:rsidR="00485474">
        <w:t xml:space="preserve"> with an adjusted p-value ≤ 0.05 are labelled. For clarity in plasma </w:t>
      </w:r>
      <w:proofErr w:type="spellStart"/>
      <w:r w:rsidR="00485474">
        <w:t>miRNAS</w:t>
      </w:r>
      <w:proofErr w:type="spellEnd"/>
      <w:r w:rsidR="00485474">
        <w:t xml:space="preserve"> with a log fold change ≥ 1.0</w:t>
      </w:r>
      <w:r w:rsidR="004A42C9">
        <w:t xml:space="preserve"> and an adjusted p-value ≤ 0.05</w:t>
      </w:r>
      <w:r w:rsidR="00485474">
        <w:t xml:space="preserve"> are labelled.</w:t>
      </w:r>
      <w:bookmarkEnd w:id="171"/>
      <w:r w:rsidR="00B71EE1">
        <w:br w:type="page"/>
      </w:r>
    </w:p>
    <w:p w14:paraId="438E1048" w14:textId="77777777" w:rsidR="00E4064F" w:rsidRDefault="00E4064F" w:rsidP="00E4064F">
      <w:pPr>
        <w:pStyle w:val="Heading3"/>
        <w:numPr>
          <w:ilvl w:val="1"/>
          <w:numId w:val="7"/>
        </w:numPr>
        <w:spacing w:before="80" w:after="80"/>
      </w:pPr>
      <w:bookmarkStart w:id="173" w:name="_Toc60773915"/>
      <w:r>
        <w:lastRenderedPageBreak/>
        <w:t>Determining the Best Source of miRNAs for Classification</w:t>
      </w:r>
      <w:bookmarkEnd w:id="173"/>
    </w:p>
    <w:p w14:paraId="3C136768" w14:textId="310A59E5" w:rsidR="00E4064F" w:rsidRPr="002035C4" w:rsidRDefault="00E4064F" w:rsidP="002D34F4">
      <w:pPr>
        <w:pStyle w:val="Caption"/>
        <w:rPr>
          <w:i w:val="0"/>
          <w:iCs w:val="0"/>
        </w:rPr>
      </w:pPr>
      <w:r w:rsidRPr="002035C4">
        <w:rPr>
          <w:i w:val="0"/>
          <w:iCs w:val="0"/>
        </w:rPr>
        <w:t xml:space="preserve">The matched whole blood and plasma miRNA microarray expression data was pre-processed as detailed in </w:t>
      </w:r>
      <w:r w:rsidRPr="002035C4">
        <w:rPr>
          <w:i w:val="0"/>
          <w:iCs w:val="0"/>
        </w:rPr>
        <w:fldChar w:fldCharType="begin"/>
      </w:r>
      <w:r w:rsidRPr="002035C4">
        <w:rPr>
          <w:i w:val="0"/>
          <w:iCs w:val="0"/>
        </w:rPr>
        <w:instrText xml:space="preserve"> REF _Ref355278537 \r \h </w:instrText>
      </w:r>
      <w:r w:rsidRPr="002035C4">
        <w:rPr>
          <w:i w:val="0"/>
          <w:iCs w:val="0"/>
        </w:rPr>
      </w:r>
      <w:r w:rsidR="002035C4">
        <w:rPr>
          <w:i w:val="0"/>
          <w:iCs w:val="0"/>
        </w:rPr>
        <w:instrText xml:space="preserve"> \* MERGEFORMAT </w:instrText>
      </w:r>
      <w:r w:rsidRPr="002035C4">
        <w:rPr>
          <w:i w:val="0"/>
          <w:iCs w:val="0"/>
        </w:rPr>
        <w:fldChar w:fldCharType="separate"/>
      </w:r>
      <w:r w:rsidR="00885DE4" w:rsidRPr="002035C4">
        <w:rPr>
          <w:i w:val="0"/>
          <w:iCs w:val="0"/>
        </w:rPr>
        <w:t>2.3</w:t>
      </w:r>
      <w:r w:rsidRPr="002035C4">
        <w:rPr>
          <w:i w:val="0"/>
          <w:iCs w:val="0"/>
        </w:rPr>
        <w:fldChar w:fldCharType="end"/>
      </w:r>
      <w:r w:rsidRPr="002035C4">
        <w:rPr>
          <w:i w:val="0"/>
          <w:iCs w:val="0"/>
        </w:rPr>
        <w:t xml:space="preserve"> and combined into one singular dataset so that each patient had expression values of both plasma and whole blood miRNAs present simultaneously. Feature selection using the R Boruta package was used to determine the number of miRNAs from each fraction that were significantly important in classification of HV from IPAH. The number of features with a significant variable importance in the model and their sample source are shown in</w:t>
      </w:r>
      <w:r w:rsidR="002D34F4" w:rsidRPr="002035C4">
        <w:rPr>
          <w:i w:val="0"/>
          <w:iCs w:val="0"/>
        </w:rPr>
        <w:t xml:space="preserve"> </w:t>
      </w:r>
      <w:r w:rsidR="002D34F4" w:rsidRPr="002035C4">
        <w:rPr>
          <w:i w:val="0"/>
          <w:iCs w:val="0"/>
        </w:rPr>
        <w:fldChar w:fldCharType="begin"/>
      </w:r>
      <w:r w:rsidR="002D34F4" w:rsidRPr="002035C4">
        <w:rPr>
          <w:i w:val="0"/>
          <w:iCs w:val="0"/>
        </w:rPr>
        <w:instrText xml:space="preserve"> REF _Ref60691437 \h </w:instrText>
      </w:r>
      <w:r w:rsidR="002D34F4" w:rsidRPr="002035C4">
        <w:rPr>
          <w:i w:val="0"/>
          <w:iCs w:val="0"/>
        </w:rPr>
      </w:r>
      <w:r w:rsidR="002035C4">
        <w:rPr>
          <w:i w:val="0"/>
          <w:iCs w:val="0"/>
        </w:rPr>
        <w:instrText xml:space="preserve"> \* MERGEFORMAT </w:instrText>
      </w:r>
      <w:r w:rsidR="002D34F4" w:rsidRPr="002035C4">
        <w:rPr>
          <w:i w:val="0"/>
          <w:iCs w:val="0"/>
        </w:rPr>
        <w:fldChar w:fldCharType="separate"/>
      </w:r>
      <w:r w:rsidR="00885DE4" w:rsidRPr="002035C4">
        <w:rPr>
          <w:i w:val="0"/>
          <w:iCs w:val="0"/>
        </w:rPr>
        <w:t xml:space="preserve">Figure </w:t>
      </w:r>
      <w:r w:rsidR="00885DE4" w:rsidRPr="002035C4">
        <w:rPr>
          <w:i w:val="0"/>
          <w:iCs w:val="0"/>
          <w:noProof/>
        </w:rPr>
        <w:t>3</w:t>
      </w:r>
      <w:r w:rsidR="00885DE4" w:rsidRPr="002035C4">
        <w:rPr>
          <w:i w:val="0"/>
          <w:iCs w:val="0"/>
        </w:rPr>
        <w:noBreakHyphen/>
      </w:r>
      <w:r w:rsidR="00885DE4" w:rsidRPr="002035C4">
        <w:rPr>
          <w:i w:val="0"/>
          <w:iCs w:val="0"/>
          <w:noProof/>
        </w:rPr>
        <w:t>2</w:t>
      </w:r>
      <w:r w:rsidR="002D34F4" w:rsidRPr="002035C4">
        <w:rPr>
          <w:i w:val="0"/>
          <w:iCs w:val="0"/>
        </w:rPr>
        <w:fldChar w:fldCharType="end"/>
      </w:r>
      <w:r w:rsidRPr="002035C4">
        <w:rPr>
          <w:i w:val="0"/>
          <w:iCs w:val="0"/>
        </w:rPr>
        <w:t>.</w:t>
      </w:r>
    </w:p>
    <w:p w14:paraId="11205C36" w14:textId="77777777" w:rsidR="00BF67ED" w:rsidRDefault="00E4064F" w:rsidP="00E4064F">
      <w:pPr>
        <w:pStyle w:val="Caption"/>
      </w:pPr>
      <w:bookmarkStart w:id="174" w:name="_Ref355266104"/>
      <w:r>
        <w:rPr>
          <w:noProof/>
          <w:lang w:val="en-US"/>
        </w:rPr>
        <w:drawing>
          <wp:inline distT="0" distB="0" distL="0" distR="0" wp14:anchorId="35A1916A" wp14:editId="12545E56">
            <wp:extent cx="5746115" cy="3397885"/>
            <wp:effectExtent l="0" t="0" r="0" b="5715"/>
            <wp:docPr id="9" name="Picture 9" descr="Macintosh HD:Users:jamesiremonger:Desktop:Boruta M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mesiremonger:Desktop:Boruta Mir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115" cy="3397885"/>
                    </a:xfrm>
                    <a:prstGeom prst="rect">
                      <a:avLst/>
                    </a:prstGeom>
                    <a:noFill/>
                    <a:ln>
                      <a:noFill/>
                    </a:ln>
                  </pic:spPr>
                </pic:pic>
              </a:graphicData>
            </a:graphic>
          </wp:inline>
        </w:drawing>
      </w:r>
    </w:p>
    <w:p w14:paraId="4F72E509" w14:textId="0BB8BEE0" w:rsidR="00E4064F" w:rsidRDefault="00E4064F" w:rsidP="00E4064F">
      <w:pPr>
        <w:pStyle w:val="Caption"/>
      </w:pPr>
      <w:bookmarkStart w:id="175" w:name="_Ref60691437"/>
      <w:bookmarkStart w:id="176" w:name="_Toc60597204"/>
      <w:r>
        <w:t xml:space="preserve">Figure </w:t>
      </w:r>
      <w:r w:rsidR="00864CF4">
        <w:fldChar w:fldCharType="begin"/>
      </w:r>
      <w:r w:rsidR="00864CF4">
        <w:instrText xml:space="preserve"> STYLEREF 1 \s </w:instrText>
      </w:r>
      <w:r w:rsidR="00864CF4">
        <w:fldChar w:fldCharType="separate"/>
      </w:r>
      <w:r w:rsidR="00885DE4">
        <w:rPr>
          <w:noProof/>
        </w:rPr>
        <w:t>3</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2</w:t>
      </w:r>
      <w:r w:rsidR="00864CF4">
        <w:fldChar w:fldCharType="end"/>
      </w:r>
      <w:bookmarkEnd w:id="174"/>
      <w:bookmarkEnd w:id="175"/>
      <w:r>
        <w:t xml:space="preserve"> Number of miRNAs confirmed (light blue) or tentatively (dark blue) identified as important in the classification between IPAH and HV in the Boruta feature selection model.</w:t>
      </w:r>
      <w:bookmarkEnd w:id="176"/>
    </w:p>
    <w:p w14:paraId="1D026031" w14:textId="77777777" w:rsidR="008274E8" w:rsidRPr="004C4BDF" w:rsidRDefault="008274E8" w:rsidP="008274E8"/>
    <w:p w14:paraId="7F30F65D" w14:textId="4940AC42" w:rsidR="008274E8" w:rsidRDefault="00442343" w:rsidP="008274E8">
      <w:pPr>
        <w:pStyle w:val="Heading3"/>
        <w:numPr>
          <w:ilvl w:val="1"/>
          <w:numId w:val="7"/>
        </w:numPr>
        <w:spacing w:before="80" w:after="80"/>
      </w:pPr>
      <w:bookmarkStart w:id="177" w:name="_Toc60773916"/>
      <w:r>
        <w:t>Variation</w:t>
      </w:r>
      <w:r w:rsidR="002405F6">
        <w:t xml:space="preserve"> of </w:t>
      </w:r>
      <w:r w:rsidR="00676BF5">
        <w:t>miRNA</w:t>
      </w:r>
      <w:r w:rsidR="00D86EAD">
        <w:t xml:space="preserve"> Expression Between Whole Blood and Plasma</w:t>
      </w:r>
      <w:bookmarkEnd w:id="177"/>
    </w:p>
    <w:p w14:paraId="60DB7D16" w14:textId="10AE39E6" w:rsidR="00D57DB4" w:rsidRDefault="00442343" w:rsidP="00D86EAD">
      <w:pPr>
        <w:pStyle w:val="Body"/>
      </w:pPr>
      <w:r>
        <w:t>To interpret the variation between measured miRNAs t</w:t>
      </w:r>
      <w:r w:rsidR="00D86EAD">
        <w:t xml:space="preserve">he </w:t>
      </w:r>
      <w:r w:rsidR="00BF66E5">
        <w:t>standard deviation</w:t>
      </w:r>
      <w:r w:rsidR="00B62B91">
        <w:t xml:space="preserve"> </w:t>
      </w:r>
      <w:r w:rsidR="00BF66E5">
        <w:t xml:space="preserve">for </w:t>
      </w:r>
      <w:r w:rsidR="00B62B91">
        <w:t xml:space="preserve">each miRNA </w:t>
      </w:r>
      <w:r w:rsidR="002D1237">
        <w:t xml:space="preserve">was calculated </w:t>
      </w:r>
      <w:r w:rsidR="006C237A">
        <w:t>within</w:t>
      </w:r>
      <w:r w:rsidR="002D1237">
        <w:t xml:space="preserve"> each group</w:t>
      </w:r>
      <w:r>
        <w:t>. This was done</w:t>
      </w:r>
      <w:r w:rsidR="008A675E">
        <w:t xml:space="preserve"> so that</w:t>
      </w:r>
      <w:r>
        <w:t xml:space="preserve"> any</w:t>
      </w:r>
      <w:r w:rsidR="008A675E">
        <w:t xml:space="preserve"> groupwise differences </w:t>
      </w:r>
      <w:r w:rsidR="00600F55">
        <w:t>didn’t</w:t>
      </w:r>
      <w:r w:rsidR="008A675E">
        <w:t xml:space="preserve"> affect </w:t>
      </w:r>
      <w:r w:rsidR="00600F55">
        <w:t>the assessment of variation</w:t>
      </w:r>
      <w:r w:rsidR="00462D85">
        <w:t>.</w:t>
      </w:r>
      <w:r w:rsidR="00561B87">
        <w:t xml:space="preserve"> Standard deviation was chosen </w:t>
      </w:r>
      <w:r w:rsidR="00C94E2D">
        <w:t xml:space="preserve">as this demonstrates the </w:t>
      </w:r>
      <w:r w:rsidR="00EB530C">
        <w:t>distribution of the data in the units measured where</w:t>
      </w:r>
      <w:r w:rsidR="00DB625B">
        <w:t>as</w:t>
      </w:r>
      <w:r w:rsidR="00EB530C">
        <w:t xml:space="preserve"> </w:t>
      </w:r>
      <w:r w:rsidR="00561B87">
        <w:t xml:space="preserve">variance </w:t>
      </w:r>
      <w:r w:rsidR="00715807">
        <w:t>is</w:t>
      </w:r>
      <w:r w:rsidR="00DB625B">
        <w:t xml:space="preserve"> in the</w:t>
      </w:r>
      <w:r w:rsidR="00715807">
        <w:t xml:space="preserve"> units</w:t>
      </w:r>
      <w:r w:rsidR="00726F95">
        <w:t xml:space="preserve">-squared </w:t>
      </w:r>
      <w:r w:rsidR="00DB625B">
        <w:t xml:space="preserve">which </w:t>
      </w:r>
      <w:r w:rsidR="00715807">
        <w:t>mak</w:t>
      </w:r>
      <w:r w:rsidR="00DB625B">
        <w:t>es</w:t>
      </w:r>
      <w:r w:rsidR="00715807">
        <w:t xml:space="preserve"> </w:t>
      </w:r>
      <w:r w:rsidR="008156C2">
        <w:t>inter</w:t>
      </w:r>
      <w:r w:rsidR="00EB530C">
        <w:t xml:space="preserve">pretation </w:t>
      </w:r>
      <w:r w:rsidR="00DB625B">
        <w:t xml:space="preserve">more </w:t>
      </w:r>
      <w:r w:rsidR="00EB530C">
        <w:t>difficult.</w:t>
      </w:r>
    </w:p>
    <w:p w14:paraId="7766E13E" w14:textId="40DBEEDA" w:rsidR="00D57DB4" w:rsidRDefault="00D57DB4" w:rsidP="00D86EAD">
      <w:pPr>
        <w:pStyle w:val="Body"/>
      </w:pPr>
    </w:p>
    <w:p w14:paraId="5066E741" w14:textId="188972FF" w:rsidR="00D57DB4" w:rsidRDefault="00E3391C" w:rsidP="00D86EAD">
      <w:pPr>
        <w:pStyle w:val="Body"/>
      </w:pPr>
      <w:r>
        <w:t>The</w:t>
      </w:r>
      <w:r w:rsidR="00D57DB4">
        <w:t xml:space="preserve"> density plot</w:t>
      </w:r>
      <w:r>
        <w:t xml:space="preserve">, </w:t>
      </w:r>
      <w:r w:rsidR="0051225A">
        <w:fldChar w:fldCharType="begin"/>
      </w:r>
      <w:r w:rsidR="0051225A">
        <w:instrText xml:space="preserve"> REF _Ref54447384 \h </w:instrText>
      </w:r>
      <w:r w:rsidR="0051225A">
        <w:fldChar w:fldCharType="separate"/>
      </w:r>
      <w:r w:rsidR="00885DE4">
        <w:t xml:space="preserve">Figure </w:t>
      </w:r>
      <w:r w:rsidR="00885DE4">
        <w:rPr>
          <w:noProof/>
        </w:rPr>
        <w:t>3</w:t>
      </w:r>
      <w:r w:rsidR="00885DE4">
        <w:noBreakHyphen/>
      </w:r>
      <w:r w:rsidR="00885DE4">
        <w:rPr>
          <w:noProof/>
        </w:rPr>
        <w:t>3</w:t>
      </w:r>
      <w:r w:rsidR="0051225A">
        <w:fldChar w:fldCharType="end"/>
      </w:r>
      <w:r>
        <w:t xml:space="preserve">, </w:t>
      </w:r>
      <w:r w:rsidR="00D57DB4">
        <w:t xml:space="preserve">shows </w:t>
      </w:r>
      <w:r w:rsidR="00207EA9">
        <w:t xml:space="preserve">an overview of </w:t>
      </w:r>
      <w:r>
        <w:t xml:space="preserve">the distribution of values </w:t>
      </w:r>
      <w:r w:rsidR="0051225A">
        <w:t>of measured miRNA</w:t>
      </w:r>
      <w:r w:rsidR="00D50AF3">
        <w:t>s within disease and sample group</w:t>
      </w:r>
      <w:r w:rsidR="00A17D7F">
        <w:t>s</w:t>
      </w:r>
      <w:r w:rsidR="00D50AF3">
        <w:t>. Overall</w:t>
      </w:r>
      <w:r w:rsidR="0054132B">
        <w:t>,</w:t>
      </w:r>
      <w:r w:rsidR="00D50AF3">
        <w:t xml:space="preserve"> this shows </w:t>
      </w:r>
      <w:r w:rsidR="00D57DB4">
        <w:t xml:space="preserve">little difference in </w:t>
      </w:r>
      <w:r w:rsidR="00207EA9">
        <w:t>variation between</w:t>
      </w:r>
      <w:r w:rsidR="00D50AF3">
        <w:t xml:space="preserve"> </w:t>
      </w:r>
      <w:r w:rsidR="00726F95">
        <w:t>patient</w:t>
      </w:r>
      <w:r w:rsidR="00207EA9">
        <w:t xml:space="preserve"> groups.</w:t>
      </w:r>
      <w:r w:rsidR="00D50AF3">
        <w:t xml:space="preserve"> However, </w:t>
      </w:r>
      <w:r w:rsidR="00AB023D">
        <w:t xml:space="preserve">it can be seen that </w:t>
      </w:r>
      <w:r w:rsidR="00D50AF3">
        <w:t xml:space="preserve">there </w:t>
      </w:r>
      <w:r w:rsidR="00B84DC7">
        <w:t>are more miRNAs with a greater variation</w:t>
      </w:r>
      <w:r w:rsidR="00D50AF3">
        <w:t xml:space="preserve"> </w:t>
      </w:r>
      <w:r w:rsidR="00A17D7F">
        <w:t>in the plasma microarrays</w:t>
      </w:r>
      <w:r w:rsidR="00391248">
        <w:t>, seen as the higher density at higher standard deviations</w:t>
      </w:r>
      <w:r w:rsidR="00A17D7F">
        <w:t>.</w:t>
      </w:r>
    </w:p>
    <w:p w14:paraId="2FF57540" w14:textId="40F7A372" w:rsidR="00D57DB4" w:rsidRDefault="00561B87" w:rsidP="00D86EAD">
      <w:pPr>
        <w:pStyle w:val="Body"/>
      </w:pPr>
      <w:r>
        <w:rPr>
          <w:noProof/>
        </w:rPr>
        <w:drawing>
          <wp:inline distT="0" distB="0" distL="0" distR="0" wp14:anchorId="77463550" wp14:editId="0B0204E7">
            <wp:extent cx="5764530" cy="3202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a:fillRect/>
                    </a:stretch>
                  </pic:blipFill>
                  <pic:spPr>
                    <a:xfrm>
                      <a:off x="0" y="0"/>
                      <a:ext cx="5764530" cy="3202305"/>
                    </a:xfrm>
                    <a:prstGeom prst="rect">
                      <a:avLst/>
                    </a:prstGeom>
                  </pic:spPr>
                </pic:pic>
              </a:graphicData>
            </a:graphic>
          </wp:inline>
        </w:drawing>
      </w:r>
    </w:p>
    <w:p w14:paraId="5144E6DE" w14:textId="1BD33DF7" w:rsidR="00EB530C" w:rsidRDefault="00EB530C" w:rsidP="00EB530C">
      <w:pPr>
        <w:pStyle w:val="Caption"/>
      </w:pPr>
      <w:bookmarkStart w:id="178" w:name="_Ref54447384"/>
      <w:bookmarkStart w:id="179" w:name="_Toc60597205"/>
      <w:r>
        <w:t xml:space="preserve">Figure </w:t>
      </w:r>
      <w:r w:rsidR="00864CF4">
        <w:fldChar w:fldCharType="begin"/>
      </w:r>
      <w:r w:rsidR="00864CF4">
        <w:instrText xml:space="preserve"> STYLEREF 1 \s </w:instrText>
      </w:r>
      <w:r w:rsidR="00864CF4">
        <w:fldChar w:fldCharType="separate"/>
      </w:r>
      <w:r w:rsidR="00885DE4">
        <w:rPr>
          <w:noProof/>
        </w:rPr>
        <w:t>3</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3</w:t>
      </w:r>
      <w:r w:rsidR="00864CF4">
        <w:fldChar w:fldCharType="end"/>
      </w:r>
      <w:bookmarkEnd w:id="178"/>
      <w:r w:rsidR="00D92A1C">
        <w:t xml:space="preserve"> Density distribution plots of the standard deviation </w:t>
      </w:r>
      <w:r w:rsidR="006F335B">
        <w:t xml:space="preserve">of measured miRNAs for </w:t>
      </w:r>
      <w:r w:rsidR="000C08C0">
        <w:t>IPAH and HV groups and sample types.</w:t>
      </w:r>
      <w:bookmarkEnd w:id="179"/>
    </w:p>
    <w:p w14:paraId="19F8EC0F" w14:textId="77777777" w:rsidR="00EB530C" w:rsidRDefault="00EB530C" w:rsidP="00D86EAD">
      <w:pPr>
        <w:pStyle w:val="Body"/>
      </w:pPr>
    </w:p>
    <w:p w14:paraId="0A96DB47" w14:textId="77777777" w:rsidR="004639BF" w:rsidRDefault="004639BF">
      <w:pPr>
        <w:rPr>
          <w:rFonts w:ascii="TUOS Blake" w:eastAsia="TUOS Blake" w:hAnsi="TUOS Blake" w:cs="TUOS Blake"/>
          <w:color w:val="000000"/>
          <w:bdr w:val="nil"/>
        </w:rPr>
      </w:pPr>
      <w:r>
        <w:br w:type="page"/>
      </w:r>
    </w:p>
    <w:p w14:paraId="0C61DAD2" w14:textId="6E8A122C" w:rsidR="00D86EAD" w:rsidRPr="00D86EAD" w:rsidRDefault="006B1232" w:rsidP="00F410B0">
      <w:pPr>
        <w:pStyle w:val="Body"/>
      </w:pPr>
      <w:r>
        <w:lastRenderedPageBreak/>
        <w:t>T</w:t>
      </w:r>
      <w:r w:rsidR="00462D85">
        <w:t>here are</w:t>
      </w:r>
      <w:r w:rsidR="0006266B">
        <w:t xml:space="preserve"> </w:t>
      </w:r>
      <w:r w:rsidR="00BD2755">
        <w:t>16</w:t>
      </w:r>
      <w:r w:rsidR="0006266B">
        <w:t xml:space="preserve"> miRNAs with a standard deviation greater than 1</w:t>
      </w:r>
      <w:r w:rsidR="00816634">
        <w:t xml:space="preserve"> in the plasma samples </w:t>
      </w:r>
      <w:r w:rsidR="00640299">
        <w:t>compared to</w:t>
      </w:r>
      <w:r w:rsidR="00816634">
        <w:t xml:space="preserve"> </w:t>
      </w:r>
      <w:r w:rsidR="00640299">
        <w:t>0</w:t>
      </w:r>
      <w:r w:rsidR="00887DC7">
        <w:t xml:space="preserve"> in the whole blood sample</w:t>
      </w:r>
      <w:r w:rsidR="00F410B0">
        <w:t xml:space="preserve">, these are shown in more detail in </w:t>
      </w:r>
      <w:r w:rsidR="00F410B0">
        <w:fldChar w:fldCharType="begin"/>
      </w:r>
      <w:r w:rsidR="00F410B0">
        <w:instrText xml:space="preserve"> REF _Ref59300393 \h </w:instrText>
      </w:r>
      <w:r w:rsidR="00F410B0">
        <w:fldChar w:fldCharType="separate"/>
      </w:r>
      <w:r w:rsidR="00885DE4">
        <w:t xml:space="preserve">Figure </w:t>
      </w:r>
      <w:r w:rsidR="00885DE4">
        <w:rPr>
          <w:noProof/>
        </w:rPr>
        <w:t>3</w:t>
      </w:r>
      <w:r w:rsidR="00885DE4">
        <w:noBreakHyphen/>
      </w:r>
      <w:r w:rsidR="00885DE4">
        <w:rPr>
          <w:noProof/>
        </w:rPr>
        <w:t>4</w:t>
      </w:r>
      <w:r w:rsidR="00F410B0">
        <w:fldChar w:fldCharType="end"/>
      </w:r>
      <w:r w:rsidR="00F410B0">
        <w:t>.</w:t>
      </w:r>
    </w:p>
    <w:p w14:paraId="4EA57AD9" w14:textId="13C3CE6F" w:rsidR="002405F6" w:rsidRPr="002405F6" w:rsidRDefault="00391248" w:rsidP="002405F6">
      <w:r>
        <w:rPr>
          <w:noProof/>
        </w:rPr>
        <w:drawing>
          <wp:inline distT="0" distB="0" distL="0" distR="0" wp14:anchorId="59D345CC" wp14:editId="007E792F">
            <wp:extent cx="5764530" cy="320230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stretch>
                      <a:fillRect/>
                    </a:stretch>
                  </pic:blipFill>
                  <pic:spPr>
                    <a:xfrm>
                      <a:off x="0" y="0"/>
                      <a:ext cx="5764530" cy="3202305"/>
                    </a:xfrm>
                    <a:prstGeom prst="rect">
                      <a:avLst/>
                    </a:prstGeom>
                  </pic:spPr>
                </pic:pic>
              </a:graphicData>
            </a:graphic>
          </wp:inline>
        </w:drawing>
      </w:r>
    </w:p>
    <w:p w14:paraId="14684154" w14:textId="5FE7A1A3" w:rsidR="008274E8" w:rsidRDefault="00C5372A" w:rsidP="00C5372A">
      <w:pPr>
        <w:pStyle w:val="Caption"/>
      </w:pPr>
      <w:bookmarkStart w:id="180" w:name="_Ref59300393"/>
      <w:bookmarkStart w:id="181" w:name="_Toc60597206"/>
      <w:r>
        <w:t xml:space="preserve">Figure </w:t>
      </w:r>
      <w:r w:rsidR="00864CF4">
        <w:fldChar w:fldCharType="begin"/>
      </w:r>
      <w:r w:rsidR="00864CF4">
        <w:instrText xml:space="preserve"> STYLEREF 1 \s </w:instrText>
      </w:r>
      <w:r w:rsidR="00864CF4">
        <w:fldChar w:fldCharType="separate"/>
      </w:r>
      <w:r w:rsidR="00885DE4">
        <w:rPr>
          <w:noProof/>
        </w:rPr>
        <w:t>3</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4</w:t>
      </w:r>
      <w:r w:rsidR="00864CF4">
        <w:fldChar w:fldCharType="end"/>
      </w:r>
      <w:bookmarkEnd w:id="180"/>
      <w:r>
        <w:t xml:space="preserve"> </w:t>
      </w:r>
      <w:r w:rsidR="00603B07">
        <w:t>Bar plot showing the</w:t>
      </w:r>
      <w:r w:rsidR="00CB176E">
        <w:t xml:space="preserve"> </w:t>
      </w:r>
      <w:r w:rsidR="00603B07">
        <w:t>16 miRNAs</w:t>
      </w:r>
      <w:r w:rsidR="00CB176E">
        <w:t xml:space="preserve"> from the plasma microarray</w:t>
      </w:r>
      <w:r w:rsidR="00603B07">
        <w:t xml:space="preserve"> with a standard deviation ≥ 1.00</w:t>
      </w:r>
      <w:r w:rsidR="00CB176E">
        <w:t>.</w:t>
      </w:r>
      <w:bookmarkEnd w:id="181"/>
    </w:p>
    <w:p w14:paraId="2B28C149" w14:textId="77777777" w:rsidR="00C5372A" w:rsidRPr="004C4BDF" w:rsidRDefault="00C5372A" w:rsidP="008274E8"/>
    <w:p w14:paraId="7E9EEA96" w14:textId="77777777" w:rsidR="008274E8" w:rsidRDefault="008274E8" w:rsidP="008274E8">
      <w:pPr>
        <w:pStyle w:val="Heading3"/>
        <w:numPr>
          <w:ilvl w:val="1"/>
          <w:numId w:val="7"/>
        </w:numPr>
        <w:spacing w:before="80" w:after="80"/>
      </w:pPr>
      <w:bookmarkStart w:id="182" w:name="_Toc60773917"/>
      <w:r>
        <w:t>Conclusion</w:t>
      </w:r>
      <w:bookmarkEnd w:id="182"/>
    </w:p>
    <w:p w14:paraId="74C9F580" w14:textId="0EBBB20C" w:rsidR="00FB5F34" w:rsidRDefault="00E4064F" w:rsidP="00E4064F">
      <w:pPr>
        <w:pStyle w:val="Body"/>
      </w:pPr>
      <w:r>
        <w:t xml:space="preserve">From the analyses preformed it was seen that plasma miRNAs provide a richer source of information. In a comparison between IPAH and HVs, plasma miRNAs yielded 90 significantly (BH adjusted p-value &lt;0.05) differentially expressed miRNAs to 1 from whole blood. </w:t>
      </w:r>
      <w:r w:rsidR="00C34207">
        <w:t>In a</w:t>
      </w:r>
      <w:r w:rsidR="00F03609">
        <w:t xml:space="preserve">n </w:t>
      </w:r>
      <w:r w:rsidR="00574435">
        <w:t>all-relevant</w:t>
      </w:r>
      <w:r w:rsidR="00C34207">
        <w:t xml:space="preserve"> feature selection task</w:t>
      </w:r>
      <w:r w:rsidR="00AC03CE">
        <w:t xml:space="preserve"> resulted in the selection of</w:t>
      </w:r>
      <w:r w:rsidR="00C34207">
        <w:t xml:space="preserve"> 56 miRNAs</w:t>
      </w:r>
      <w:r w:rsidR="00F03609">
        <w:t xml:space="preserve"> from plasma and 0 from whole blood</w:t>
      </w:r>
      <w:r w:rsidR="00AC03CE">
        <w:t>,</w:t>
      </w:r>
      <w:r w:rsidR="00C34207">
        <w:t xml:space="preserve"> </w:t>
      </w:r>
      <w:r w:rsidR="00856FF4">
        <w:t xml:space="preserve">indicating that the plasma miRNAs offered the </w:t>
      </w:r>
      <w:r w:rsidR="00D12B2D">
        <w:t>better</w:t>
      </w:r>
      <w:r w:rsidR="00856FF4">
        <w:t xml:space="preserve"> source of</w:t>
      </w:r>
      <w:r w:rsidR="00D12B2D">
        <w:t xml:space="preserve"> input</w:t>
      </w:r>
      <w:r w:rsidR="00856FF4">
        <w:t xml:space="preserve"> </w:t>
      </w:r>
      <w:r w:rsidR="00D12B2D">
        <w:t>data for classification of IPAH from HVs.</w:t>
      </w:r>
    </w:p>
    <w:p w14:paraId="624A9C93" w14:textId="04CE4F18" w:rsidR="00596D50" w:rsidRDefault="008E3CDB" w:rsidP="008E3CDB">
      <w:pPr>
        <w:pStyle w:val="Heading3"/>
        <w:numPr>
          <w:ilvl w:val="2"/>
          <w:numId w:val="7"/>
        </w:numPr>
        <w:spacing w:before="80" w:after="80"/>
      </w:pPr>
      <w:bookmarkStart w:id="183" w:name="_Toc60773918"/>
      <w:r>
        <w:t>Variability of miRNAs</w:t>
      </w:r>
      <w:bookmarkEnd w:id="183"/>
    </w:p>
    <w:p w14:paraId="558B91DF" w14:textId="68E897A9" w:rsidR="00596D50" w:rsidRDefault="00D60C48" w:rsidP="00E4064F">
      <w:pPr>
        <w:pStyle w:val="Body"/>
      </w:pPr>
      <w:r w:rsidRPr="00BD5CAE">
        <w:t>Analysis</w:t>
      </w:r>
      <w:r w:rsidR="00596D50" w:rsidRPr="00BD5CAE">
        <w:t xml:space="preserve"> of the </w:t>
      </w:r>
      <w:r w:rsidRPr="00BD5CAE">
        <w:t>variability</w:t>
      </w:r>
      <w:r w:rsidR="00596D50" w:rsidRPr="00BD5CAE">
        <w:t xml:space="preserve"> of measured </w:t>
      </w:r>
      <w:r w:rsidRPr="00BD5CAE">
        <w:t>miRNAs was performed retrospectively after plasma</w:t>
      </w:r>
      <w:r w:rsidR="00D04AFF" w:rsidRPr="00BD5CAE">
        <w:t xml:space="preserve"> </w:t>
      </w:r>
      <w:r w:rsidRPr="00BD5CAE">
        <w:t>RNA had been</w:t>
      </w:r>
      <w:r w:rsidR="00D04AFF" w:rsidRPr="00BD5CAE">
        <w:t xml:space="preserve"> chosen and </w:t>
      </w:r>
      <w:r w:rsidR="00692292" w:rsidRPr="00BD5CAE">
        <w:t>used for further experiments</w:t>
      </w:r>
      <w:r w:rsidRPr="00BD5CAE">
        <w:t xml:space="preserve">. This wasn’t performed initially </w:t>
      </w:r>
      <w:r w:rsidR="00A32FDA" w:rsidRPr="00BD5CAE">
        <w:t>due</w:t>
      </w:r>
      <w:r w:rsidRPr="00BD5CAE">
        <w:t xml:space="preserve"> to</w:t>
      </w:r>
      <w:r w:rsidR="00A32FDA" w:rsidRPr="00BD5CAE">
        <w:t xml:space="preserve"> </w:t>
      </w:r>
      <w:r w:rsidR="00574435" w:rsidRPr="00BD5CAE">
        <w:t>the</w:t>
      </w:r>
      <w:r w:rsidR="00A32FDA" w:rsidRPr="00BD5CAE">
        <w:t xml:space="preserve"> link</w:t>
      </w:r>
      <w:r w:rsidR="00574435" w:rsidRPr="00BD5CAE">
        <w:t xml:space="preserve"> between</w:t>
      </w:r>
      <w:r w:rsidRPr="00BD5CAE">
        <w:t xml:space="preserve"> p-value and standard </w:t>
      </w:r>
      <w:r w:rsidR="00A32FDA" w:rsidRPr="00BD5CAE">
        <w:t>deviation/variance</w:t>
      </w:r>
      <w:r w:rsidR="00692292" w:rsidRPr="00BD5CAE">
        <w:t xml:space="preserve">. The assumption </w:t>
      </w:r>
      <w:r w:rsidR="00574435" w:rsidRPr="00BD5CAE">
        <w:t>being</w:t>
      </w:r>
      <w:r w:rsidR="00692292" w:rsidRPr="00BD5CAE">
        <w:t xml:space="preserve"> that a p-value is indicative of variation</w:t>
      </w:r>
      <w:r w:rsidR="00A32FDA" w:rsidRPr="00BD5CAE">
        <w:t>.</w:t>
      </w:r>
      <w:r w:rsidR="00D81BEC" w:rsidRPr="00BD5CAE">
        <w:t xml:space="preserve"> This test appears to contradict </w:t>
      </w:r>
      <w:r w:rsidR="00D81BEC" w:rsidRPr="00BD5CAE">
        <w:lastRenderedPageBreak/>
        <w:t xml:space="preserve">the </w:t>
      </w:r>
      <w:r w:rsidR="007D012C" w:rsidRPr="00BD5CAE">
        <w:t>findings that plasma is the better source.</w:t>
      </w:r>
      <w:r w:rsidR="007A599A" w:rsidRPr="00BD5CAE">
        <w:t xml:space="preserve"> Whilst whole blood provided a smaller number if miRNAs of interest in the small sample </w:t>
      </w:r>
      <w:r w:rsidR="008557AE" w:rsidRPr="00BD5CAE">
        <w:t xml:space="preserve">cohort </w:t>
      </w:r>
      <w:r w:rsidR="007A599A" w:rsidRPr="00BD5CAE">
        <w:t xml:space="preserve">it is possible that in a larger cohort </w:t>
      </w:r>
      <w:r w:rsidR="008557AE" w:rsidRPr="00BD5CAE">
        <w:t>a greater number of differences could have been seen</w:t>
      </w:r>
      <w:r w:rsidR="00857C42" w:rsidRPr="00BD5CAE">
        <w:t xml:space="preserve"> and should have been explored further.</w:t>
      </w:r>
    </w:p>
    <w:p w14:paraId="3818D87D" w14:textId="77777777" w:rsidR="00435108" w:rsidRDefault="00435108" w:rsidP="00435108">
      <w:pPr>
        <w:pStyle w:val="Body"/>
      </w:pPr>
    </w:p>
    <w:p w14:paraId="6C5FF3CC" w14:textId="2F70AFE4" w:rsidR="00435108" w:rsidRDefault="00435108" w:rsidP="00E4064F">
      <w:pPr>
        <w:pStyle w:val="Body"/>
      </w:pPr>
      <w:r>
        <w:t xml:space="preserve">Whilst the differential expression results indicate the best source of miRNAs to be from plasma RNA due to the large number of statistically significant miRNAs between IPAH and HV it does not necessarily mean that plasma miRNAs provide the best combined source of information to perform disease classification. Boruta is machine learning algorithm performing feature selection for classification problems, robustly identifying the features that in combination significantly add accuracy to a classification model. Having simultaneously entered both whole blood and plasma miRNAs expression levels it was determined that in plasma there were 56 significant (confirmed) and 33 border-line significant (Boruta classification; tentative) and only 1 borderline significant whole blood </w:t>
      </w:r>
      <w:proofErr w:type="spellStart"/>
      <w:r>
        <w:t>miR</w:t>
      </w:r>
      <w:proofErr w:type="spellEnd"/>
      <w:r>
        <w:t xml:space="preserve">. From these results it was concluded that plasma is the best source of </w:t>
      </w:r>
      <w:proofErr w:type="spellStart"/>
      <w:r>
        <w:t>miRs</w:t>
      </w:r>
      <w:proofErr w:type="spellEnd"/>
      <w:r>
        <w:t>, further experiments were performed on plasma RNA.</w:t>
      </w:r>
    </w:p>
    <w:p w14:paraId="061DF492" w14:textId="77777777" w:rsidR="00435108" w:rsidRDefault="00435108" w:rsidP="00E4064F">
      <w:pPr>
        <w:pStyle w:val="Body"/>
      </w:pPr>
    </w:p>
    <w:p w14:paraId="11DC7F85" w14:textId="06436C32" w:rsidR="00FB5F34" w:rsidRDefault="008E3CDB" w:rsidP="00825FF3">
      <w:pPr>
        <w:pStyle w:val="Heading3"/>
        <w:numPr>
          <w:ilvl w:val="1"/>
          <w:numId w:val="7"/>
        </w:numPr>
        <w:spacing w:before="80" w:after="80"/>
      </w:pPr>
      <w:bookmarkStart w:id="184" w:name="_Toc60773919"/>
      <w:r>
        <w:t xml:space="preserve">Deconvolution of miRNA </w:t>
      </w:r>
      <w:r w:rsidR="00484885">
        <w:t>E</w:t>
      </w:r>
      <w:r>
        <w:t xml:space="preserve">xpression </w:t>
      </w:r>
      <w:r w:rsidR="00484885">
        <w:t>P</w:t>
      </w:r>
      <w:r>
        <w:t>rofiles</w:t>
      </w:r>
      <w:bookmarkEnd w:id="184"/>
    </w:p>
    <w:p w14:paraId="00941380" w14:textId="575781D6" w:rsidR="000509F1" w:rsidRPr="00BD5CAE" w:rsidRDefault="007C7729" w:rsidP="00A846E2">
      <w:pPr>
        <w:pStyle w:val="Body"/>
      </w:pPr>
      <w:r w:rsidRPr="00BD5CAE">
        <w:t>Whole</w:t>
      </w:r>
      <w:r w:rsidR="00FB5F34" w:rsidRPr="00BD5CAE">
        <w:t xml:space="preserve"> blood consist</w:t>
      </w:r>
      <w:r w:rsidRPr="00BD5CAE">
        <w:t xml:space="preserve">s </w:t>
      </w:r>
      <w:r w:rsidR="00FB5F34" w:rsidRPr="00BD5CAE">
        <w:t>of multiple different cell populations</w:t>
      </w:r>
      <w:r w:rsidRPr="00BD5CAE">
        <w:t xml:space="preserve"> all</w:t>
      </w:r>
      <w:r w:rsidR="003553D1" w:rsidRPr="00BD5CAE">
        <w:t xml:space="preserve"> with their own unique expression profiles</w:t>
      </w:r>
      <w:r w:rsidRPr="00BD5CAE">
        <w:t>.</w:t>
      </w:r>
      <w:r w:rsidR="00FB5F34" w:rsidRPr="00BD5CAE">
        <w:t xml:space="preserve"> </w:t>
      </w:r>
      <w:r w:rsidRPr="00BD5CAE">
        <w:t>T</w:t>
      </w:r>
      <w:r w:rsidR="00FB5F34" w:rsidRPr="00BD5CAE">
        <w:t xml:space="preserve">he </w:t>
      </w:r>
      <w:r w:rsidRPr="00BD5CAE">
        <w:t>very</w:t>
      </w:r>
      <w:r w:rsidR="00FB5F34" w:rsidRPr="00BD5CAE">
        <w:t xml:space="preserve"> low number of significantly different miRNAs may be attributable to thi</w:t>
      </w:r>
      <w:r w:rsidRPr="00BD5CAE">
        <w:t>s heterogeneity</w:t>
      </w:r>
      <w:r w:rsidR="003553D1" w:rsidRPr="00BD5CAE">
        <w:t>. Correcting</w:t>
      </w:r>
      <w:r w:rsidR="002D69BB" w:rsidRPr="00BD5CAE">
        <w:t xml:space="preserve"> </w:t>
      </w:r>
      <w:r w:rsidR="003553D1" w:rsidRPr="00BD5CAE">
        <w:t>for the cell counts for each sample may have</w:t>
      </w:r>
      <w:r w:rsidR="002D69BB" w:rsidRPr="00BD5CAE">
        <w:t xml:space="preserve"> </w:t>
      </w:r>
      <w:r w:rsidR="00DF2B65" w:rsidRPr="00BD5CAE">
        <w:t>led to</w:t>
      </w:r>
      <w:r w:rsidR="003553D1" w:rsidRPr="00BD5CAE">
        <w:t xml:space="preserve"> more significant miRNAs</w:t>
      </w:r>
      <w:r w:rsidR="00C434B3" w:rsidRPr="00BD5CAE">
        <w:t xml:space="preserve"> being detected</w:t>
      </w:r>
      <w:r w:rsidR="003553D1" w:rsidRPr="00BD5CAE">
        <w:t xml:space="preserve"> in the differential expression analysis. </w:t>
      </w:r>
      <w:r w:rsidR="00FB5F34" w:rsidRPr="00BD5CAE">
        <w:t>Unfortunately, cell counts were not performed on samples in the STH-</w:t>
      </w:r>
      <w:proofErr w:type="spellStart"/>
      <w:r w:rsidR="00C07E5B" w:rsidRPr="00BD5CAE">
        <w:t>O</w:t>
      </w:r>
      <w:r w:rsidR="00FB5F34" w:rsidRPr="00BD5CAE">
        <w:t>bs</w:t>
      </w:r>
      <w:proofErr w:type="spellEnd"/>
      <w:r w:rsidR="00FB5F34" w:rsidRPr="00BD5CAE">
        <w:t xml:space="preserve"> biobank</w:t>
      </w:r>
      <w:r w:rsidR="003553D1" w:rsidRPr="00BD5CAE">
        <w:t xml:space="preserve"> so this adjustment cannot be directly made.</w:t>
      </w:r>
      <w:r w:rsidR="00D95667" w:rsidRPr="00BD5CAE">
        <w:t xml:space="preserve"> </w:t>
      </w:r>
      <w:r w:rsidR="00AE681A" w:rsidRPr="00BD5CAE">
        <w:t xml:space="preserve">However, it may have been </w:t>
      </w:r>
      <w:r w:rsidR="00AE681A" w:rsidRPr="00BD5CAE">
        <w:lastRenderedPageBreak/>
        <w:t xml:space="preserve">possible to estimate the </w:t>
      </w:r>
      <w:r w:rsidR="00C54C32" w:rsidRPr="00BD5CAE">
        <w:t xml:space="preserve">contribution of RNA from different cell </w:t>
      </w:r>
      <w:r w:rsidR="00AE681A" w:rsidRPr="00BD5CAE">
        <w:t>types within the sample</w:t>
      </w:r>
      <w:r w:rsidR="00C54C32" w:rsidRPr="00BD5CAE">
        <w:t xml:space="preserve"> and thereby the cell types present</w:t>
      </w:r>
      <w:r w:rsidR="00AE681A" w:rsidRPr="00BD5CAE">
        <w:t xml:space="preserve"> using deconvolution</w:t>
      </w:r>
      <w:r w:rsidR="00BB4CBD" w:rsidRPr="00BD5CAE">
        <w:t xml:space="preserve"> techniques</w:t>
      </w:r>
      <w:r w:rsidR="00AE681A" w:rsidRPr="00BD5CAE">
        <w:t>.</w:t>
      </w:r>
      <w:r w:rsidR="00A846E2" w:rsidRPr="00BD5CAE">
        <w:t xml:space="preserve"> These decompose the bulk gene expression profile into the sum of the contributions of the different cell types that are in that mixture</w:t>
      </w:r>
      <w:r w:rsidR="00920061" w:rsidRPr="00BD5CAE">
        <w:t xml:space="preserve">. Several </w:t>
      </w:r>
      <w:r w:rsidR="00B72948" w:rsidRPr="00BD5CAE">
        <w:t>approaches for g</w:t>
      </w:r>
      <w:r w:rsidR="00C54C32" w:rsidRPr="00BD5CAE">
        <w:t xml:space="preserve">ene expression deconvolution </w:t>
      </w:r>
      <w:r w:rsidR="00B72948" w:rsidRPr="00BD5CAE">
        <w:t>exist, least squares regression</w:t>
      </w:r>
      <w:r w:rsidR="00C37480" w:rsidRPr="00BD5CAE">
        <w:t xml:space="preserve"> </w:t>
      </w:r>
      <w:r w:rsidR="004E19A5">
        <w:rPr>
          <w:rFonts w:eastAsiaTheme="minorEastAsia"/>
        </w:rPr>
        <w:fldChar w:fldCharType="begin"/>
      </w:r>
      <w:r w:rsidR="004E19A5">
        <w:rPr>
          <w:rFonts w:eastAsiaTheme="minorEastAsia"/>
        </w:rPr>
        <w:instrText xml:space="preserve"> ADDIN PAPERS2_CITATIONS &lt;citation&gt;&lt;priority&gt;108&lt;/priority&gt;&lt;uuid&gt;A45EF534-8C47-482C-8F7F-3FAEF766D6D6&lt;/uuid&gt;&lt;publications&gt;&lt;publication&gt;&lt;subtype&gt;400&lt;/subtype&gt;&lt;publisher&gt;Public Library of Science&lt;/publisher&gt;&lt;title&gt;Deconvolution of Blood Microarray Data Identifies Cellular Activation Patterns in Systemic Lupus Erythematosus&lt;/title&gt;&lt;url&gt;https://dx.plos.org/10.1371/journal.pone.0006098&lt;/url&gt;&lt;volume&gt;4&lt;/volume&gt;&lt;publication_date&gt;99200907011200000000222000&lt;/publication_date&gt;&lt;uuid&gt;3CE18E2F-0EFC-42AE-A946-04689808A200&lt;/uuid&gt;&lt;type&gt;400&lt;/type&gt;&lt;number&gt;7&lt;/number&gt;&lt;doi&gt;10.1371/journal.pone.0006098&lt;/doi&gt;&lt;startpage&gt;e6098&lt;/startpage&gt;&lt;bundle&gt;&lt;publication&gt;&lt;title&gt;PloS one&lt;/title&gt;&lt;uuid&gt;82F7624E-B927-496C-B434-7FDEB6B50A82&lt;/uuid&gt;&lt;subtype&gt;-100&lt;/subtype&gt;&lt;publisher&gt;Public Library of Science&lt;/publisher&gt;&lt;type&gt;-100&lt;/type&gt;&lt;url&gt;http://www.plosone.org&lt;/url&gt;&lt;/publication&gt;&lt;/bundle&gt;&lt;authors&gt;&lt;author&gt;&lt;lastName&gt;Abbas&lt;/lastName&gt;&lt;firstName&gt;Alexander&lt;/firstName&gt;&lt;middleNames&gt;R&lt;/middleNames&gt;&lt;/author&gt;&lt;author&gt;&lt;lastName&gt;Wolslegel&lt;/lastName&gt;&lt;firstName&gt;Kristen&lt;/firstName&gt;&lt;/author&gt;&lt;author&gt;&lt;lastName&gt;Seshasayee&lt;/lastName&gt;&lt;firstName&gt;Dhaya&lt;/firstName&gt;&lt;/author&gt;&lt;author&gt;&lt;lastName&gt;Modrusan&lt;/lastName&gt;&lt;firstName&gt;Zora&lt;/firstName&gt;&lt;/author&gt;&lt;author&gt;&lt;lastName&gt;Clark&lt;/lastName&gt;&lt;firstName&gt;Hilary&lt;/firstName&gt;&lt;middleNames&gt;F&lt;/middleNames&gt;&lt;/author&gt;&lt;/authors&gt;&lt;editors&gt;&lt;author&gt;&lt;lastName&gt;Tan&lt;/lastName&gt;&lt;firstName&gt;Patrick&lt;/firstName&gt;&lt;/author&gt;&lt;/editors&gt;&lt;/publication&gt;&lt;/publications&gt;&lt;cites&gt;&lt;/cites&gt;&lt;/citation&gt;</w:instrText>
      </w:r>
      <w:r w:rsidR="004E19A5">
        <w:rPr>
          <w:rFonts w:eastAsiaTheme="minorEastAsia"/>
        </w:rPr>
        <w:fldChar w:fldCharType="separate"/>
      </w:r>
      <w:r w:rsidR="004E19A5">
        <w:rPr>
          <w:rFonts w:eastAsiaTheme="minorEastAsia"/>
        </w:rPr>
        <w:t xml:space="preserve">(Abbas, </w:t>
      </w:r>
      <w:proofErr w:type="spellStart"/>
      <w:r w:rsidR="004E19A5">
        <w:rPr>
          <w:rFonts w:eastAsiaTheme="minorEastAsia"/>
        </w:rPr>
        <w:t>Wolslegel</w:t>
      </w:r>
      <w:proofErr w:type="spellEnd"/>
      <w:r w:rsidR="004E19A5">
        <w:rPr>
          <w:rFonts w:eastAsiaTheme="minorEastAsia"/>
        </w:rPr>
        <w:t xml:space="preserve">, </w:t>
      </w:r>
      <w:proofErr w:type="spellStart"/>
      <w:r w:rsidR="004E19A5">
        <w:rPr>
          <w:rFonts w:eastAsiaTheme="minorEastAsia"/>
        </w:rPr>
        <w:t>Seshasayee</w:t>
      </w:r>
      <w:proofErr w:type="spellEnd"/>
      <w:r w:rsidR="004E19A5">
        <w:rPr>
          <w:rFonts w:eastAsiaTheme="minorEastAsia"/>
        </w:rPr>
        <w:t xml:space="preserve">, </w:t>
      </w:r>
      <w:proofErr w:type="spellStart"/>
      <w:r w:rsidR="004E19A5">
        <w:rPr>
          <w:rFonts w:eastAsiaTheme="minorEastAsia"/>
        </w:rPr>
        <w:t>Modrusan</w:t>
      </w:r>
      <w:proofErr w:type="spellEnd"/>
      <w:r w:rsidR="004E19A5">
        <w:rPr>
          <w:rFonts w:eastAsiaTheme="minorEastAsia"/>
        </w:rPr>
        <w:t>, &amp; Clark, 2009)</w:t>
      </w:r>
      <w:r w:rsidR="004E19A5">
        <w:rPr>
          <w:rFonts w:eastAsiaTheme="minorEastAsia"/>
        </w:rPr>
        <w:fldChar w:fldCharType="end"/>
      </w:r>
      <w:r w:rsidR="00B72948" w:rsidRPr="00BD5CAE">
        <w:t xml:space="preserve">, quadratic programming </w:t>
      </w:r>
      <w:r w:rsidR="004E19A5">
        <w:rPr>
          <w:rFonts w:eastAsiaTheme="minorEastAsia"/>
        </w:rPr>
        <w:fldChar w:fldCharType="begin"/>
      </w:r>
      <w:r w:rsidR="004E19A5">
        <w:rPr>
          <w:rFonts w:eastAsiaTheme="minorEastAsia"/>
        </w:rPr>
        <w:instrText xml:space="preserve"> ADDIN PAPERS2_CITATIONS &lt;citation&gt;&lt;priority&gt;109&lt;/priority&gt;&lt;uuid&gt;D756B2C2-BEAF-46CF-AA5F-1D3433FCC1C5&lt;/uuid&gt;&lt;publications&gt;&lt;publication&gt;&lt;subtype&gt;400&lt;/subtype&gt;&lt;publisher&gt;Public Library of Science&lt;/publisher&gt;&lt;title&gt;Optimal Deconvolution of Transcriptional Profiling Data Using Quadratic Programming with Application to Complex Clinical Blood Samples&lt;/title&gt;&lt;url&gt;https://dx.plos.org/10.1371/journal.pone.0027156&lt;/url&gt;&lt;volume&gt;6&lt;/volume&gt;&lt;publication_date&gt;99201111161200000000222000&lt;/publication_date&gt;&lt;uuid&gt;422D2D46-6BC0-4E46-AD78-386D6BB59E28&lt;/uuid&gt;&lt;type&gt;400&lt;/type&gt;&lt;number&gt;11&lt;/number&gt;&lt;doi&gt;10.1371/journal.pone.0027156&lt;/doi&gt;&lt;startpage&gt;e27156&lt;/startpage&gt;&lt;bundle&gt;&lt;publication&gt;&lt;title&gt;PloS one&lt;/title&gt;&lt;uuid&gt;82F7624E-B927-496C-B434-7FDEB6B50A82&lt;/uuid&gt;&lt;subtype&gt;-100&lt;/subtype&gt;&lt;publisher&gt;Public Library of Science&lt;/publisher&gt;&lt;type&gt;-100&lt;/type&gt;&lt;url&gt;http://www.plosone.org&lt;/url&gt;&lt;/publication&gt;&lt;/bundle&gt;&lt;authors&gt;&lt;author&gt;&lt;lastName&gt;Gong&lt;/lastName&gt;&lt;firstName&gt;Ting&lt;/firstName&gt;&lt;/author&gt;&lt;author&gt;&lt;lastName&gt;Hartmann&lt;/lastName&gt;&lt;firstName&gt;Nicole&lt;/firstName&gt;&lt;/author&gt;&lt;author&gt;&lt;lastName&gt;Kohane&lt;/lastName&gt;&lt;firstName&gt;Isaac&lt;/firstName&gt;&lt;middleNames&gt;S&lt;/middleNames&gt;&lt;/author&gt;&lt;author&gt;&lt;lastName&gt;Brinkmann&lt;/lastName&gt;&lt;firstName&gt;Volker&lt;/firstName&gt;&lt;/author&gt;&lt;author&gt;&lt;lastName&gt;Staedtler&lt;/lastName&gt;&lt;firstName&gt;Frank&lt;/firstName&gt;&lt;/author&gt;&lt;author&gt;&lt;lastName&gt;Letzkus&lt;/lastName&gt;&lt;firstName&gt;Martin&lt;/firstName&gt;&lt;/author&gt;&lt;author&gt;&lt;lastName&gt;Bongiovanni&lt;/lastName&gt;&lt;firstName&gt;Sandrine&lt;/firstName&gt;&lt;/author&gt;&lt;author&gt;&lt;lastName&gt;Szustakowski&lt;/lastName&gt;&lt;firstName&gt;Joseph&lt;/firstName&gt;&lt;middleNames&gt;D&lt;/middleNames&gt;&lt;/author&gt;&lt;/authors&gt;&lt;editors&gt;&lt;author&gt;&lt;lastName&gt;Rattray&lt;/lastName&gt;&lt;firstName&gt;Magnus&lt;/firstName&gt;&lt;/author&gt;&lt;/editors&gt;&lt;/publication&gt;&lt;/publications&gt;&lt;cites&gt;&lt;/cites&gt;&lt;/citation&gt;</w:instrText>
      </w:r>
      <w:r w:rsidR="004E19A5">
        <w:rPr>
          <w:rFonts w:eastAsiaTheme="minorEastAsia"/>
        </w:rPr>
        <w:fldChar w:fldCharType="separate"/>
      </w:r>
      <w:r w:rsidR="004E19A5">
        <w:rPr>
          <w:rFonts w:eastAsiaTheme="minorEastAsia"/>
        </w:rPr>
        <w:t>(Gong et al., 2011)</w:t>
      </w:r>
      <w:r w:rsidR="004E19A5">
        <w:rPr>
          <w:rFonts w:eastAsiaTheme="minorEastAsia"/>
        </w:rPr>
        <w:fldChar w:fldCharType="end"/>
      </w:r>
      <w:r w:rsidR="00C37480" w:rsidRPr="00BD5CAE">
        <w:rPr>
          <w:rFonts w:eastAsiaTheme="minorEastAsia"/>
        </w:rPr>
        <w:t xml:space="preserve"> </w:t>
      </w:r>
      <w:r w:rsidR="00B72948" w:rsidRPr="00BD5CAE">
        <w:t>and v-support vector regression</w:t>
      </w:r>
      <w:r w:rsidR="00FE796D" w:rsidRPr="00BD5CAE">
        <w:t xml:space="preserve"> (CIBERSORT)</w:t>
      </w:r>
      <w:r w:rsidR="00036A62" w:rsidRPr="00BD5CAE">
        <w:t xml:space="preserve"> </w:t>
      </w:r>
      <w:r w:rsidR="004E19A5">
        <w:rPr>
          <w:rFonts w:eastAsiaTheme="minorEastAsia"/>
        </w:rPr>
        <w:fldChar w:fldCharType="begin"/>
      </w:r>
      <w:r w:rsidR="004E19A5">
        <w:rPr>
          <w:rFonts w:eastAsiaTheme="minorEastAsia"/>
        </w:rPr>
        <w:instrText xml:space="preserve"> ADDIN PAPERS2_CITATIONS &lt;citation&gt;&lt;priority&gt;110&lt;/priority&gt;&lt;uuid&gt;5940DAA3-386D-4D8A-8792-F2D3584F6CE2&lt;/uuid&gt;&lt;publications&gt;&lt;publication&gt;&lt;subtype&gt;400&lt;/subtype&gt;&lt;publisher&gt;Nature Publishing Group&lt;/publisher&gt;&lt;title&gt;Robust enumeration of cell subsets from tissue expression profiles&lt;/title&gt;&lt;url&gt;https://www.nature.com/articles/nmeth.3337&lt;/url&gt;&lt;volume&gt;12&lt;/volume&gt;&lt;publication_date&gt;99201505011200000000222000&lt;/publication_date&gt;&lt;uuid&gt;EBDEC2A0-A34F-44D9-B258-7428541CC4FB&lt;/uuid&gt;&lt;type&gt;400&lt;/type&gt;&lt;number&gt;5&lt;/number&gt;&lt;doi&gt;10.1038/nmeth.3337&lt;/doi&gt;&lt;startpage&gt;453&lt;/startpage&gt;&lt;endpage&gt;457&lt;/endpage&gt;&lt;bundle&gt;&lt;publication&gt;&lt;title&gt;Nature Methods&lt;/title&gt;&lt;uuid&gt;AFAA1EC8-3FEA-49EC-B8CF-04F69F3BBEAB&lt;/uuid&gt;&lt;subtype&gt;-100&lt;/subtype&gt;&lt;publisher&gt;Nature Publishing Group&lt;/publisher&gt;&lt;type&gt;-100&lt;/type&gt;&lt;/publication&gt;&lt;/bundle&gt;&lt;authors&gt;&lt;author&gt;&lt;lastName&gt;Newman&lt;/lastName&gt;&lt;firstName&gt;Aaron&lt;/firstName&gt;&lt;middleNames&gt;M&lt;/middleNames&gt;&lt;/author&gt;&lt;author&gt;&lt;lastName&gt;Liu&lt;/lastName&gt;&lt;firstName&gt;Chih&lt;/firstName&gt;&lt;middleNames&gt;Long&lt;/middleNames&gt;&lt;/author&gt;&lt;author&gt;&lt;lastName&gt;Green&lt;/lastName&gt;&lt;firstName&gt;Michael&lt;/firstName&gt;&lt;middleNames&gt;R&lt;/middleNames&gt;&lt;/author&gt;&lt;author&gt;&lt;lastName&gt;Gentles&lt;/lastName&gt;&lt;firstName&gt;Andrew&lt;/firstName&gt;&lt;middleNames&gt;J&lt;/middleNames&gt;&lt;/author&gt;&lt;author&gt;&lt;lastName&gt;Feng&lt;/lastName&gt;&lt;firstName&gt;Weiguo&lt;/firstName&gt;&lt;/author&gt;&lt;author&gt;&lt;lastName&gt;Xu&lt;/lastName&gt;&lt;firstName&gt;Yue&lt;/firstName&gt;&lt;/author&gt;&lt;author&gt;&lt;lastName&gt;Hoang&lt;/lastName&gt;&lt;firstName&gt;Chuong&lt;/firstName&gt;&lt;middleNames&gt;D&lt;/middleNames&gt;&lt;/author&gt;&lt;author&gt;&lt;lastName&gt;Diehn&lt;/lastName&gt;&lt;firstName&gt;Maximilian&lt;/firstName&gt;&lt;/author&gt;&lt;author&gt;&lt;lastName&gt;Alizadeh&lt;/lastName&gt;&lt;firstName&gt;Ash&lt;/firstName&gt;&lt;middleNames&gt;A&lt;/middleNames&gt;&lt;/author&gt;&lt;/authors&gt;&lt;/publication&gt;&lt;/publications&gt;&lt;cites&gt;&lt;/cites&gt;&lt;/citation&gt;</w:instrText>
      </w:r>
      <w:r w:rsidR="004E19A5">
        <w:rPr>
          <w:rFonts w:eastAsiaTheme="minorEastAsia"/>
        </w:rPr>
        <w:fldChar w:fldCharType="separate"/>
      </w:r>
      <w:r w:rsidR="004E19A5">
        <w:rPr>
          <w:rFonts w:eastAsiaTheme="minorEastAsia"/>
        </w:rPr>
        <w:t>(Newman et al., 2015)</w:t>
      </w:r>
      <w:r w:rsidR="004E19A5">
        <w:rPr>
          <w:rFonts w:eastAsiaTheme="minorEastAsia"/>
        </w:rPr>
        <w:fldChar w:fldCharType="end"/>
      </w:r>
      <w:r w:rsidR="00B72948" w:rsidRPr="00BD5CAE">
        <w:t xml:space="preserve">. </w:t>
      </w:r>
    </w:p>
    <w:p w14:paraId="45B84D6F" w14:textId="4A7F722A" w:rsidR="000509F1" w:rsidRPr="00BD5CAE" w:rsidRDefault="000509F1" w:rsidP="00A846E2">
      <w:pPr>
        <w:pStyle w:val="Body"/>
      </w:pPr>
    </w:p>
    <w:p w14:paraId="57C3B3CC" w14:textId="3B22D958" w:rsidR="00E4064F" w:rsidRPr="00B84520" w:rsidRDefault="000509F1" w:rsidP="00E4064F">
      <w:pPr>
        <w:pStyle w:val="Body"/>
        <w:rPr>
          <w:rFonts w:eastAsiaTheme="minorEastAsia"/>
        </w:rPr>
      </w:pPr>
      <w:r w:rsidRPr="00BD5CAE">
        <w:t xml:space="preserve">Whilst deconvolution has </w:t>
      </w:r>
      <w:r w:rsidR="00B84520" w:rsidRPr="00BD5CAE">
        <w:t xml:space="preserve">historically </w:t>
      </w:r>
      <w:r w:rsidRPr="00BD5CAE">
        <w:t xml:space="preserve">been applied to gene expression experiments Srinivasan et al., </w:t>
      </w:r>
      <w:r w:rsidR="00D05939" w:rsidRPr="00BD5CAE">
        <w:t xml:space="preserve">recently </w:t>
      </w:r>
      <w:r w:rsidRPr="00BD5CAE">
        <w:t>demonstrated that deconvolution is possible with miRNA</w:t>
      </w:r>
      <w:r w:rsidR="00A15054" w:rsidRPr="00BD5CAE">
        <w:t xml:space="preserve"> </w:t>
      </w:r>
      <w:r w:rsidR="004E19A5">
        <w:rPr>
          <w:rFonts w:eastAsiaTheme="minorEastAsia"/>
        </w:rPr>
        <w:fldChar w:fldCharType="begin"/>
      </w:r>
      <w:r w:rsidR="004E19A5">
        <w:rPr>
          <w:rFonts w:eastAsiaTheme="minorEastAsia"/>
        </w:rPr>
        <w:instrText xml:space="preserve"> ADDIN PAPERS2_CITATIONS &lt;citation&gt;&lt;priority&gt;111&lt;/priority&gt;&lt;uuid&gt;743BEDA2-727B-4C23-B6E5-FAFCC1D726B9&lt;/uuid&gt;&lt;publications&gt;&lt;publication&gt;&lt;subtype&gt;400&lt;/subtype&gt;&lt;title&gt;Discovery and Verification of Extracellular miRNA Biomarkers for Non-invasive Prediction of Pre-eclampsia in Asymptomatic Women.&lt;/title&gt;&lt;url&gt;https://linkinghub.elsevier.com/retrieve/pii/S2666379120300185&lt;/url&gt;&lt;volume&gt;1&lt;/volume&gt;&lt;publication_date&gt;99202005011200000000222000&lt;/publication_date&gt;&lt;uuid&gt;3D1D2C8E-AB3F-4F3D-87E4-AA51F7DA931B&lt;/uuid&gt;&lt;type&gt;400&lt;/type&gt;&lt;number&gt;2&lt;/number&gt;&lt;doi&gt;10.1016/j.xcrm.2020.100013&lt;/doi&gt;&lt;startpage&gt;100013&lt;/startpage&gt;&lt;endpage&gt;100013&lt;/endpage&gt;&lt;bundle&gt;&lt;publication&gt;&lt;title&gt;Cell reports. Medicine&lt;/title&gt;&lt;uuid&gt;A1A94389-4252-4175-857E-FB69F53BD838&lt;/uuid&gt;&lt;subtype&gt;-100&lt;/subtype&gt;&lt;type&gt;-100&lt;/type&gt;&lt;/publication&gt;&lt;/bundle&gt;&lt;authors&gt;&lt;author&gt;&lt;lastName&gt;Srinivasan&lt;/lastName&gt;&lt;firstName&gt;Srimeenakshi&lt;/firstName&gt;&lt;/author&gt;&lt;author&gt;&lt;lastName&gt;Treacy&lt;/lastName&gt;&lt;firstName&gt;Ryan&lt;/firstName&gt;&lt;/author&gt;&lt;author&gt;&lt;lastName&gt;Herrero&lt;/lastName&gt;&lt;firstName&gt;Tiffany&lt;/firstName&gt;&lt;/author&gt;&lt;author&gt;&lt;lastName&gt;Olsen&lt;/lastName&gt;&lt;firstName&gt;Richelle&lt;/firstName&gt;&lt;/author&gt;&lt;author&gt;&lt;lastName&gt;Leonardo&lt;/lastName&gt;&lt;firstName&gt;Trevor&lt;/firstName&gt;&lt;middleNames&gt;R&lt;/middleNames&gt;&lt;/author&gt;&lt;author&gt;&lt;lastName&gt;Zhang&lt;/lastName&gt;&lt;firstName&gt;Xuan&lt;/firstName&gt;&lt;/author&gt;&lt;author&gt;&lt;lastName&gt;DeHoff&lt;/lastName&gt;&lt;firstName&gt;Peter&lt;/firstName&gt;&lt;/author&gt;&lt;author&gt;&lt;lastName&gt;To&lt;/lastName&gt;&lt;firstName&gt;Cuong&lt;/firstName&gt;&lt;/author&gt;&lt;author&gt;&lt;lastName&gt;Poling&lt;/lastName&gt;&lt;firstName&gt;Lara&lt;/firstName&gt;&lt;middleNames&gt;G&lt;/middleNames&gt;&lt;/author&gt;&lt;author&gt;&lt;lastName&gt;Fernando&lt;/lastName&gt;&lt;firstName&gt;Aileen&lt;/firstName&gt;&lt;/author&gt;&lt;author&gt;&lt;lastName&gt;Leon-Garcia&lt;/lastName&gt;&lt;firstName&gt;Sandra&lt;/firstName&gt;&lt;/author&gt;&lt;author&gt;&lt;lastName&gt;Knepper&lt;/lastName&gt;&lt;firstName&gt;Katharine&lt;/firstName&gt;&lt;/author&gt;&lt;author&gt;&lt;lastName&gt;Tran&lt;/lastName&gt;&lt;firstName&gt;Vy&lt;/firstName&gt;&lt;/author&gt;&lt;author&gt;&lt;lastName&gt;Meads&lt;/lastName&gt;&lt;firstName&gt;Morgan&lt;/firstName&gt;&lt;/author&gt;&lt;author&gt;&lt;lastName&gt;Tasarz&lt;/lastName&gt;&lt;firstName&gt;Jennifer&lt;/firstName&gt;&lt;/author&gt;&lt;author&gt;&lt;lastName&gt;Vuppala&lt;/lastName&gt;&lt;firstName&gt;Aishwarya&lt;/firstName&gt;&lt;/author&gt;&lt;author&gt;&lt;lastName&gt;Park&lt;/lastName&gt;&lt;firstName&gt;Soojin&lt;/firstName&gt;&lt;/author&gt;&lt;author&gt;&lt;lastName&gt;Laurent&lt;/lastName&gt;&lt;firstName&gt;Clara&lt;/firstName&gt;&lt;middleNames&gt;D&lt;/middleNames&gt;&lt;/author&gt;&lt;author&gt;&lt;lastName&gt;Bui&lt;/lastName&gt;&lt;firstName&gt;Tony&lt;/firstName&gt;&lt;/author&gt;&lt;author&gt;&lt;lastName&gt;Cheah&lt;/lastName&gt;&lt;firstName&gt;Pike&lt;/firstName&gt;&lt;middleNames&gt;See&lt;/middleNames&gt;&lt;/author&gt;&lt;author&gt;&lt;lastName&gt;Overcash&lt;/lastName&gt;&lt;firstName&gt;Rachael&lt;/firstName&gt;&lt;middleNames&gt;Tabitha&lt;/middleNames&gt;&lt;/author&gt;&lt;author&gt;&lt;lastName&gt;Ramos&lt;/lastName&gt;&lt;firstName&gt;Gladys&lt;/firstName&gt;&lt;middleNames&gt;A&lt;/middleNames&gt;&lt;/author&gt;&lt;author&gt;&lt;lastName&gt;Roeder&lt;/lastName&gt;&lt;firstName&gt;Hilary&lt;/firstName&gt;&lt;/author&gt;&lt;author&gt;&lt;lastName&gt;Ghiran&lt;/lastName&gt;&lt;firstName&gt;Ionita&lt;/firstName&gt;&lt;/author&gt;&lt;author&gt;&lt;lastName&gt;Parast&lt;/lastName&gt;&lt;firstName&gt;Mana&lt;/firstName&gt;&lt;/author&gt;&lt;author&gt;&lt;lastName&gt;Consortium&lt;/lastName&gt;&lt;firstName&gt;PAPR&lt;/firstName&gt;&lt;middleNames&gt;Study&lt;/middleNames&gt;&lt;/author&gt;&lt;author&gt;&lt;lastName&gt;Breakefield&lt;/lastName&gt;&lt;firstName&gt;Xandra&lt;/firstName&gt;&lt;middleNames&gt;O&lt;/middleNames&gt;&lt;/author&gt;&lt;author&gt;&lt;lastName&gt;Lueth&lt;/lastName&gt;&lt;firstName&gt;Amir&lt;/firstName&gt;&lt;middleNames&gt;J&lt;/middleNames&gt;&lt;/author&gt;&lt;author&gt;&lt;lastName&gt;Rust&lt;/lastName&gt;&lt;firstName&gt;Sharon&lt;/firstName&gt;&lt;middleNames&gt;R&lt;/middleNames&gt;&lt;/author&gt;&lt;author&gt;&lt;lastName&gt;Dufford&lt;/lastName&gt;&lt;firstName&gt;Max&lt;/firstName&gt;&lt;middleNames&gt;T&lt;/middleNames&gt;&lt;/author&gt;&lt;author&gt;&lt;lastName&gt;Fox&lt;/lastName&gt;&lt;firstName&gt;Angela&lt;/firstName&gt;&lt;middleNames&gt;C&lt;/middleNames&gt;&lt;/author&gt;&lt;author&gt;&lt;lastName&gt;Hickok&lt;/lastName&gt;&lt;firstName&gt;Durlin&lt;/firstName&gt;&lt;middleNames&gt;E&lt;/middleNames&gt;&lt;/author&gt;&lt;author&gt;&lt;lastName&gt;Burchard&lt;/lastName&gt;&lt;firstName&gt;Julja&lt;/firstName&gt;&lt;/author&gt;&lt;author&gt;&lt;lastName&gt;Boniface&lt;/lastName&gt;&lt;firstName&gt;J&lt;/firstName&gt;&lt;middleNames&gt;Jay&lt;/middleNames&gt;&lt;/author&gt;&lt;author&gt;&lt;lastName&gt;Laurent&lt;/lastName&gt;&lt;firstName&gt;Louise&lt;/firstName&gt;&lt;middleNames&gt;C&lt;/middleNames&gt;&lt;/author&gt;&lt;/authors&gt;&lt;/publication&gt;&lt;/publications&gt;&lt;cites&gt;&lt;/cites&gt;&lt;/citation&gt;</w:instrText>
      </w:r>
      <w:r w:rsidR="004E19A5">
        <w:rPr>
          <w:rFonts w:eastAsiaTheme="minorEastAsia"/>
        </w:rPr>
        <w:fldChar w:fldCharType="separate"/>
      </w:r>
      <w:r w:rsidR="004E19A5">
        <w:rPr>
          <w:rFonts w:eastAsiaTheme="minorEastAsia"/>
        </w:rPr>
        <w:t>(Srinivasan et al., 2020a)</w:t>
      </w:r>
      <w:r w:rsidR="004E19A5">
        <w:rPr>
          <w:rFonts w:eastAsiaTheme="minorEastAsia"/>
        </w:rPr>
        <w:fldChar w:fldCharType="end"/>
      </w:r>
      <w:r w:rsidRPr="00BD5CAE">
        <w:rPr>
          <w:rFonts w:eastAsiaTheme="minorEastAsia"/>
        </w:rPr>
        <w:t>. Whilst the source of the tissue specific miRNA expression</w:t>
      </w:r>
      <w:r w:rsidR="000A430E" w:rsidRPr="00BD5CAE">
        <w:rPr>
          <w:rFonts w:eastAsiaTheme="minorEastAsia"/>
        </w:rPr>
        <w:t xml:space="preserve"> reference</w:t>
      </w:r>
      <w:r w:rsidRPr="00BD5CAE">
        <w:rPr>
          <w:rFonts w:eastAsiaTheme="minorEastAsia"/>
        </w:rPr>
        <w:t xml:space="preserve"> levels is not clear </w:t>
      </w:r>
      <w:r w:rsidR="000A430E" w:rsidRPr="00BD5CAE">
        <w:rPr>
          <w:rFonts w:eastAsiaTheme="minorEastAsia"/>
        </w:rPr>
        <w:t xml:space="preserve">they were able to use this with the CIBERSORT </w:t>
      </w:r>
      <w:r w:rsidR="00FE796D" w:rsidRPr="00BD5CAE">
        <w:rPr>
          <w:rFonts w:eastAsiaTheme="minorEastAsia"/>
        </w:rPr>
        <w:t xml:space="preserve">package </w:t>
      </w:r>
      <w:r w:rsidRPr="00BD5CAE">
        <w:rPr>
          <w:rFonts w:eastAsiaTheme="minorEastAsia"/>
        </w:rPr>
        <w:t xml:space="preserve">to identify miRNAs associated with the placenta in the serum of maternal mothers with and without </w:t>
      </w:r>
      <w:r w:rsidR="000A430E" w:rsidRPr="00BD5CAE">
        <w:rPr>
          <w:rFonts w:eastAsiaTheme="minorEastAsia"/>
        </w:rPr>
        <w:t xml:space="preserve">pre-eclampsia. This demonstrates that it </w:t>
      </w:r>
      <w:r w:rsidR="00B84520" w:rsidRPr="00BD5CAE">
        <w:rPr>
          <w:rFonts w:eastAsiaTheme="minorEastAsia"/>
        </w:rPr>
        <w:t>is</w:t>
      </w:r>
      <w:r w:rsidR="000A430E" w:rsidRPr="00BD5CAE">
        <w:rPr>
          <w:rFonts w:eastAsiaTheme="minorEastAsia"/>
        </w:rPr>
        <w:t xml:space="preserve"> </w:t>
      </w:r>
      <w:r w:rsidR="00B84520" w:rsidRPr="00BD5CAE">
        <w:rPr>
          <w:rFonts w:eastAsiaTheme="minorEastAsia"/>
        </w:rPr>
        <w:t xml:space="preserve">theoretically </w:t>
      </w:r>
      <w:r w:rsidR="000A430E" w:rsidRPr="00BD5CAE">
        <w:rPr>
          <w:rFonts w:eastAsiaTheme="minorEastAsia"/>
        </w:rPr>
        <w:t>possible, given an appropriate reference expression dataset</w:t>
      </w:r>
      <w:r w:rsidR="00B84520" w:rsidRPr="00BD5CAE">
        <w:rPr>
          <w:rFonts w:eastAsiaTheme="minorEastAsia"/>
        </w:rPr>
        <w:t xml:space="preserve">, </w:t>
      </w:r>
      <w:r w:rsidR="000A430E" w:rsidRPr="00BD5CAE">
        <w:rPr>
          <w:rFonts w:eastAsiaTheme="minorEastAsia"/>
        </w:rPr>
        <w:t xml:space="preserve">to quantify leukocyte proportions </w:t>
      </w:r>
      <w:r w:rsidR="00B84520" w:rsidRPr="00BD5CAE">
        <w:rPr>
          <w:rFonts w:eastAsiaTheme="minorEastAsia"/>
        </w:rPr>
        <w:t>within the whole blood miRNA arrays. These proportions could have been used within the linear regression framework of LIMMA to adjust for any effect related to the heterogeneity of the blood samples.</w:t>
      </w:r>
      <w:r w:rsidR="00BB5CEF" w:rsidRPr="00BD5CAE">
        <w:rPr>
          <w:rFonts w:eastAsiaTheme="minorEastAsia"/>
        </w:rPr>
        <w:t xml:space="preserve"> Accounting for this variability may have enabled a larger number of differentially expressed miRNAs to have been identified.</w:t>
      </w:r>
      <w:r w:rsidR="00DF2B65" w:rsidRPr="00BD5CAE">
        <w:rPr>
          <w:rFonts w:eastAsiaTheme="minorEastAsia"/>
        </w:rPr>
        <w:t xml:space="preserve"> However, this work was published long after the decision to use plasma miRNAs was made</w:t>
      </w:r>
      <w:r w:rsidR="003741F2" w:rsidRPr="00BD5CAE">
        <w:rPr>
          <w:rFonts w:eastAsiaTheme="minorEastAsia"/>
        </w:rPr>
        <w:t>, therefore these methods could not be tested.</w:t>
      </w:r>
    </w:p>
    <w:p w14:paraId="41B16200" w14:textId="699C7CED" w:rsidR="00FF170D" w:rsidRDefault="00FF170D" w:rsidP="00E4064F">
      <w:pPr>
        <w:pStyle w:val="Body"/>
      </w:pPr>
    </w:p>
    <w:p w14:paraId="09FB59D5" w14:textId="77777777" w:rsidR="00681881" w:rsidRDefault="00681881">
      <w:pPr>
        <w:rPr>
          <w:rFonts w:ascii="Helvetica" w:eastAsia="Helvetica" w:hAnsi="Helvetica" w:cs="Helvetica"/>
          <w:b/>
          <w:bCs/>
          <w:color w:val="000000"/>
          <w:bdr w:val="nil"/>
        </w:rPr>
      </w:pPr>
      <w:r>
        <w:br w:type="page"/>
      </w:r>
    </w:p>
    <w:p w14:paraId="3371898F" w14:textId="4303F5D9" w:rsidR="00971F80" w:rsidRDefault="00971F80" w:rsidP="00E4064F">
      <w:pPr>
        <w:pStyle w:val="Heading3"/>
        <w:numPr>
          <w:ilvl w:val="1"/>
          <w:numId w:val="7"/>
        </w:numPr>
        <w:spacing w:before="80" w:after="80"/>
      </w:pPr>
      <w:bookmarkStart w:id="185" w:name="_Toc60773920"/>
      <w:r>
        <w:lastRenderedPageBreak/>
        <w:t>Differentially Expressed miRNAs</w:t>
      </w:r>
      <w:bookmarkEnd w:id="185"/>
    </w:p>
    <w:p w14:paraId="74655A90" w14:textId="2C068DDD" w:rsidR="0019129E" w:rsidRPr="00BD5CAE" w:rsidRDefault="0019129E" w:rsidP="004C5442">
      <w:pPr>
        <w:pStyle w:val="Heading3"/>
        <w:numPr>
          <w:ilvl w:val="2"/>
          <w:numId w:val="7"/>
        </w:numPr>
        <w:spacing w:before="80" w:after="80"/>
      </w:pPr>
      <w:bookmarkStart w:id="186" w:name="_Toc60773921"/>
      <w:r w:rsidRPr="00BD5CAE">
        <w:t>Whole Blood</w:t>
      </w:r>
      <w:bookmarkEnd w:id="186"/>
    </w:p>
    <w:p w14:paraId="103F72FD" w14:textId="629E77C3" w:rsidR="003108B9" w:rsidRPr="00BD5CAE" w:rsidRDefault="00021FD5" w:rsidP="004C5442">
      <w:pPr>
        <w:pStyle w:val="Body"/>
      </w:pPr>
      <w:r w:rsidRPr="00BD5CAE">
        <w:t xml:space="preserve">The only significant miRNA in whole blood, </w:t>
      </w:r>
      <w:r w:rsidR="00ED719B" w:rsidRPr="00BD5CAE">
        <w:t>miR-199a-5p1</w:t>
      </w:r>
      <w:r w:rsidRPr="00BD5CAE">
        <w:t>,</w:t>
      </w:r>
      <w:r w:rsidR="00ED719B" w:rsidRPr="00BD5CAE">
        <w:t xml:space="preserve"> was not</w:t>
      </w:r>
      <w:r w:rsidR="00B51B74" w:rsidRPr="00BD5CAE">
        <w:t xml:space="preserve"> found to be</w:t>
      </w:r>
      <w:r w:rsidR="00ED719B" w:rsidRPr="00BD5CAE">
        <w:t xml:space="preserve"> expressed in plasm</w:t>
      </w:r>
      <w:r w:rsidR="00B51B74" w:rsidRPr="00BD5CAE">
        <w:t xml:space="preserve">a. </w:t>
      </w:r>
      <w:r w:rsidR="00ED719B" w:rsidRPr="00BD5CAE">
        <w:t>Therefore</w:t>
      </w:r>
      <w:r w:rsidR="00FB0562" w:rsidRPr="00BD5CAE">
        <w:t>,</w:t>
      </w:r>
      <w:r w:rsidR="00ED719B" w:rsidRPr="00BD5CAE">
        <w:t xml:space="preserve"> there was no</w:t>
      </w:r>
      <w:r w:rsidR="00B43DAA" w:rsidRPr="00BD5CAE">
        <w:t xml:space="preserve"> detectable</w:t>
      </w:r>
      <w:r w:rsidR="00ED719B" w:rsidRPr="00BD5CAE">
        <w:t xml:space="preserve"> similarity in differentially expressed miRNAs between whole blood and plasma. </w:t>
      </w:r>
    </w:p>
    <w:p w14:paraId="2877C02D" w14:textId="77777777" w:rsidR="0019129E" w:rsidRPr="00BD5CAE" w:rsidRDefault="0019129E" w:rsidP="0019129E">
      <w:pPr>
        <w:pStyle w:val="Heading3"/>
        <w:numPr>
          <w:ilvl w:val="3"/>
          <w:numId w:val="7"/>
        </w:numPr>
        <w:spacing w:before="80" w:after="80"/>
      </w:pPr>
      <w:bookmarkStart w:id="187" w:name="_Toc60773922"/>
      <w:r w:rsidRPr="00BD5CAE">
        <w:t>miRNA199a-5p</w:t>
      </w:r>
      <w:bookmarkEnd w:id="187"/>
      <w:r w:rsidRPr="00BD5CAE">
        <w:t xml:space="preserve"> </w:t>
      </w:r>
    </w:p>
    <w:p w14:paraId="47D5BB53" w14:textId="519C8B6B" w:rsidR="008270A3" w:rsidRPr="00BD5CAE" w:rsidRDefault="00D05939" w:rsidP="00E6234E">
      <w:pPr>
        <w:pStyle w:val="Body"/>
      </w:pPr>
      <w:r w:rsidRPr="00BD5CAE">
        <w:t>In the literature r</w:t>
      </w:r>
      <w:r w:rsidR="008270A3" w:rsidRPr="00BD5CAE">
        <w:t xml:space="preserve">educed levels of miRNA 199a-5p </w:t>
      </w:r>
      <w:r w:rsidR="00487958" w:rsidRPr="00BD5CAE">
        <w:t>have</w:t>
      </w:r>
      <w:r w:rsidR="008270A3" w:rsidRPr="00BD5CAE">
        <w:t xml:space="preserve"> been shown in lung cancer </w:t>
      </w:r>
      <w:r w:rsidR="004E19A5">
        <w:rPr>
          <w:rFonts w:eastAsiaTheme="minorEastAsia"/>
        </w:rPr>
        <w:fldChar w:fldCharType="begin"/>
      </w:r>
      <w:r w:rsidR="004E19A5">
        <w:rPr>
          <w:rFonts w:eastAsiaTheme="minorEastAsia"/>
        </w:rPr>
        <w:instrText xml:space="preserve"> ADDIN PAPERS2_CITATIONS &lt;citation&gt;&lt;priority&gt;112&lt;/priority&gt;&lt;uuid&gt;D24546D5-2757-4B04-8B83-F54BDAE15E9C&lt;/uuid&gt;&lt;publications&gt;&lt;publication&gt;&lt;subtype&gt;400&lt;/subtype&gt;&lt;publisher&gt;Gene&lt;/publisher&gt;&lt;title&gt;miR-199a-5p and miR-495 target GRP78 within UPR pathway of lung cancer&lt;/title&gt;&lt;url&gt;https://linkinghub.elsevier.com/retrieve/pii/S0378111917302111&lt;/url&gt;&lt;volume&gt;620&lt;/volume&gt;&lt;revision_date&gt;99201703221200000000222000&lt;/revision_date&gt;&lt;publication_date&gt;99201707151200000000222000&lt;/publication_date&gt;&lt;uuid&gt;CB866ABD-3F51-419D-8927-0DF274035171&lt;/uuid&gt;&lt;type&gt;400&lt;/type&gt;&lt;accepted_date&gt;99201703241200000000222000&lt;/accepted_date&gt;&lt;submission_date&gt;99201612091200000000222000&lt;/submission_date&gt;&lt;doi&gt;10.1016/j.gene.2017.03.032&lt;/doi&gt;&lt;institution&gt;Department of Molecular Genetics, Faculty of Biological Sciences, Tarbiat Modares University, Tehran, Iran.&lt;/institution&gt;&lt;startpage&gt;15&lt;/startpage&gt;&lt;endpage&gt;22&lt;/endpage&gt;&lt;bundle&gt;&lt;publication&gt;&lt;title&gt;Gene&lt;/title&gt;&lt;uuid&gt;FB76E5FA-26C9-44F3-892F-BF4173479263&lt;/uuid&gt;&lt;subtype&gt;-100&lt;/subtype&gt;&lt;type&gt;-100&lt;/type&gt;&lt;/publication&gt;&lt;/bundle&gt;&lt;authors&gt;&lt;author&gt;&lt;lastName&gt;A&lt;/lastName&gt;&lt;firstName&gt;Ahmadi&lt;/firstName&gt;&lt;/author&gt;&lt;author&gt;&lt;lastName&gt;B&lt;/lastName&gt;&lt;firstName&gt;Khansarinejad&lt;/firstName&gt;&lt;/author&gt;&lt;author&gt;&lt;lastName&gt;S&lt;/lastName&gt;&lt;firstName&gt;Hosseinkhani&lt;/firstName&gt;&lt;/author&gt;&lt;author&gt;&lt;lastName&gt;M&lt;/lastName&gt;&lt;firstName&gt;Ghanei&lt;/firstName&gt;&lt;/author&gt;&lt;author&gt;&lt;lastName&gt;SJ&lt;/lastName&gt;&lt;firstName&gt;Mowla&lt;/firstName&gt;&lt;/author&gt;&lt;/authors&gt;&lt;/publication&gt;&lt;/publications&gt;&lt;cites&gt;&lt;/cites&gt;&lt;/citation&gt;</w:instrText>
      </w:r>
      <w:r w:rsidR="004E19A5">
        <w:rPr>
          <w:rFonts w:eastAsiaTheme="minorEastAsia"/>
        </w:rPr>
        <w:fldChar w:fldCharType="separate"/>
      </w:r>
      <w:r w:rsidR="004E19A5">
        <w:rPr>
          <w:rFonts w:eastAsiaTheme="minorEastAsia"/>
        </w:rPr>
        <w:t>(A. A, B, S, M, &amp; SJ, 2017a)</w:t>
      </w:r>
      <w:r w:rsidR="004E19A5">
        <w:rPr>
          <w:rFonts w:eastAsiaTheme="minorEastAsia"/>
        </w:rPr>
        <w:fldChar w:fldCharType="end"/>
      </w:r>
      <w:r w:rsidR="008270A3" w:rsidRPr="00BD5CAE">
        <w:rPr>
          <w:rFonts w:eastAsiaTheme="minorEastAsia"/>
        </w:rPr>
        <w:t xml:space="preserve"> and over expression by lentivirus vector suppresse</w:t>
      </w:r>
      <w:r w:rsidR="00487958" w:rsidRPr="00BD5CAE">
        <w:rPr>
          <w:rFonts w:eastAsiaTheme="minorEastAsia"/>
        </w:rPr>
        <w:t>d</w:t>
      </w:r>
      <w:r w:rsidR="008270A3" w:rsidRPr="00BD5CAE">
        <w:rPr>
          <w:rFonts w:eastAsiaTheme="minorEastAsia"/>
        </w:rPr>
        <w:t xml:space="preserve"> non-small lung cell cancer growth by targeting MAP3K11 </w:t>
      </w:r>
      <w:r w:rsidR="004E19A5">
        <w:rPr>
          <w:rFonts w:eastAsiaTheme="minorEastAsia"/>
        </w:rPr>
        <w:fldChar w:fldCharType="begin"/>
      </w:r>
      <w:r w:rsidR="004E19A5">
        <w:rPr>
          <w:rFonts w:eastAsiaTheme="minorEastAsia"/>
        </w:rPr>
        <w:instrText xml:space="preserve"> ADDIN PAPERS2_CITATIONS &lt;citation&gt;&lt;priority&gt;113&lt;/priority&gt;&lt;uuid&gt;8CDBE5F7-2B68-43E5-890F-4B512D3BE11D&lt;/uuid&gt;&lt;publications&gt;&lt;publication&gt;&lt;subtype&gt;400&lt;/subtype&gt;&lt;title&gt;MiR-199a-5p suppresses non-small cell lung cancer via targeting MAP3K11&lt;/title&gt;&lt;url&gt;http://www.jcancer.org/v10p2472.htm&lt;/url&gt;&lt;volume&gt;10&lt;/volume&gt;&lt;uuid&gt;54B0DE0B-18AD-4646-89BA-BDA583A02117&lt;/uuid&gt;&lt;type&gt;400&lt;/type&gt;&lt;number&gt;11&lt;/number&gt;&lt;doi&gt;10.7150/jca.29426&lt;/doi&gt;&lt;startpage&gt;2472&lt;/startpage&gt;&lt;endpage&gt;2479&lt;/endpage&gt;&lt;bundle&gt;&lt;publication&gt;&lt;title&gt;Journal of Cancer&lt;/title&gt;&lt;uuid&gt;FDA393DE-2CC1-4D41-A538-15B7F7D228D0&lt;/uuid&gt;&lt;subtype&gt;-100&lt;/subtype&gt;&lt;type&gt;-100&lt;/type&gt;&lt;/publication&gt;&lt;/bundle&gt;&lt;authors&gt;&lt;author&gt;&lt;lastName&gt;Li&lt;/lastName&gt;&lt;firstName&gt;Yanli&lt;/firstName&gt;&lt;/author&gt;&lt;author&gt;&lt;lastName&gt;Wang&lt;/lastName&gt;&lt;firstName&gt;Detao&lt;/firstName&gt;&lt;/author&gt;&lt;author&gt;&lt;lastName&gt;Li&lt;/lastName&gt;&lt;firstName&gt;Xue&lt;/firstName&gt;&lt;/author&gt;&lt;author&gt;&lt;lastName&gt;Shao&lt;/lastName&gt;&lt;firstName&gt;Yang&lt;/firstName&gt;&lt;/author&gt;&lt;author&gt;&lt;lastName&gt;He&lt;/lastName&gt;&lt;firstName&gt;Yanyun&lt;/firstName&gt;&lt;/author&gt;&lt;author&gt;&lt;lastName&gt;Yu&lt;/lastName&gt;&lt;firstName&gt;Huansha&lt;/firstName&gt;&lt;/author&gt;&lt;author&gt;&lt;lastName&gt;Ma&lt;/lastName&gt;&lt;firstName&gt;Zhongliang&lt;/firstName&gt;&lt;/author&gt;&lt;/auth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Yanli</w:t>
      </w:r>
      <w:proofErr w:type="spellEnd"/>
      <w:r w:rsidR="004E19A5">
        <w:rPr>
          <w:rFonts w:eastAsiaTheme="minorEastAsia"/>
        </w:rPr>
        <w:t xml:space="preserve"> Li et al., n.d.)</w:t>
      </w:r>
      <w:r w:rsidR="004E19A5">
        <w:rPr>
          <w:rFonts w:eastAsiaTheme="minorEastAsia"/>
        </w:rPr>
        <w:fldChar w:fldCharType="end"/>
      </w:r>
      <w:r w:rsidR="008270A3" w:rsidRPr="00BD5CAE">
        <w:rPr>
          <w:rFonts w:eastAsiaTheme="minorEastAsia"/>
        </w:rPr>
        <w:t>.</w:t>
      </w:r>
      <w:r w:rsidR="00BF3796" w:rsidRPr="00BD5CAE">
        <w:rPr>
          <w:rFonts w:eastAsiaTheme="minorEastAsia"/>
        </w:rPr>
        <w:t xml:space="preserve"> </w:t>
      </w:r>
      <w:r w:rsidR="00CF5859" w:rsidRPr="00BD5CAE">
        <w:rPr>
          <w:rFonts w:eastAsiaTheme="minorEastAsia"/>
        </w:rPr>
        <w:t>In PAH activation of mitogen-activated protein kinases</w:t>
      </w:r>
      <w:r w:rsidR="00BF3796" w:rsidRPr="00BD5CAE">
        <w:rPr>
          <w:rFonts w:eastAsiaTheme="minorEastAsia"/>
        </w:rPr>
        <w:t xml:space="preserve"> </w:t>
      </w:r>
      <w:r w:rsidR="00CF5859" w:rsidRPr="00BD5CAE">
        <w:rPr>
          <w:rFonts w:eastAsiaTheme="minorEastAsia"/>
        </w:rPr>
        <w:t>stimulate the hallmarks of disease, apoptosis, inflammation and fibrosis and inhibition</w:t>
      </w:r>
      <w:r w:rsidR="004C5442" w:rsidRPr="00BD5CAE">
        <w:rPr>
          <w:rFonts w:eastAsiaTheme="minorEastAsia"/>
        </w:rPr>
        <w:t xml:space="preserve"> of this pathway can reduce </w:t>
      </w:r>
      <w:proofErr w:type="spellStart"/>
      <w:r w:rsidR="004C5442" w:rsidRPr="00BD5CAE">
        <w:rPr>
          <w:rFonts w:eastAsiaTheme="minorEastAsia"/>
        </w:rPr>
        <w:t>mPAP</w:t>
      </w:r>
      <w:proofErr w:type="spellEnd"/>
      <w:r w:rsidR="00CF5859" w:rsidRPr="00BD5CAE">
        <w:rPr>
          <w:rFonts w:eastAsiaTheme="minorEastAsia"/>
        </w:rPr>
        <w:t xml:space="preserve"> </w:t>
      </w:r>
      <w:r w:rsidR="004C5442" w:rsidRPr="00BD5CAE">
        <w:rPr>
          <w:rFonts w:eastAsiaTheme="minorEastAsia"/>
        </w:rPr>
        <w:t xml:space="preserve">in the MCT rat model of PAH </w:t>
      </w:r>
      <w:r w:rsidR="004E19A5">
        <w:rPr>
          <w:rFonts w:eastAsiaTheme="minorEastAsia"/>
        </w:rPr>
        <w:fldChar w:fldCharType="begin"/>
      </w:r>
      <w:r w:rsidR="004E19A5">
        <w:rPr>
          <w:rFonts w:eastAsiaTheme="minorEastAsia"/>
        </w:rPr>
        <w:instrText xml:space="preserve"> ADDIN PAPERS2_CITATIONS &lt;citation&gt;&lt;priority&gt;114&lt;/priority&gt;&lt;uuid&gt;BEA855F0-BB00-44F8-B0E8-4F95E674B473&lt;/uuid&gt;&lt;publications&gt;&lt;publication&gt;&lt;subtype&gt;400&lt;/subtype&gt;&lt;title&gt;ASK1 Inhibition Halts Disease Progression in Preclinical Models of Pulmonary Arterial Hypertension&lt;/title&gt;&lt;url&gt;http://www.atsjournals.org/doi/10.1164/rccm.201703-0502OC&lt;/url&gt;&lt;volume&gt;197&lt;/volume&gt;&lt;publication_date&gt;99201802001200000000220000&lt;/publication_date&gt;&lt;uuid&gt;6E0D8498-2AAB-4DBF-B019-173042C4CA5E&lt;/uuid&gt;&lt;type&gt;400&lt;/type&gt;&lt;number&gt;3&lt;/number&gt;&lt;doi&gt;10.1164/rccm.201703-0502OC&lt;/doi&gt;&lt;startpage&gt;373&lt;/startpage&gt;&lt;endpage&gt;385&lt;/endpage&gt;&lt;bundle&gt;&lt;publication&gt;&lt;title&gt;American journal of respiratory and critical care medicine&lt;/title&gt;&lt;uuid&gt;6449F919-B7B0-4590-B1EB-52EBB4E4B50D&lt;/uuid&gt;&lt;subtype&gt;-100&lt;/subtype&gt;&lt;publisher&gt;American Thoracic Society&lt;/publisher&gt;&lt;type&gt;-100&lt;/type&gt;&lt;/publication&gt;&lt;/bundle&gt;&lt;authors&gt;&lt;author&gt;&lt;lastName&gt;Budas&lt;/lastName&gt;&lt;firstName&gt;Grant&lt;/firstName&gt;&lt;middleNames&gt;R&lt;/middleNames&gt;&lt;/author&gt;&lt;author&gt;&lt;lastName&gt;Boehm&lt;/lastName&gt;&lt;firstName&gt;Mario&lt;/firstName&gt;&lt;/author&gt;&lt;author&gt;&lt;lastName&gt;Kojonazarov&lt;/lastName&gt;&lt;firstName&gt;Baktybek&lt;/firstName&gt;&lt;/author&gt;&lt;author&gt;&lt;lastName&gt;Viswanathan&lt;/lastName&gt;&lt;firstName&gt;Gayathri&lt;/firstName&gt;&lt;/author&gt;&lt;author&gt;&lt;lastName&gt;Tian&lt;/lastName&gt;&lt;firstName&gt;Xia&lt;/firstName&gt;&lt;/author&gt;&lt;author&gt;&lt;lastName&gt;Veeroju&lt;/lastName&gt;&lt;firstName&gt;Swathi&lt;/firstName&gt;&lt;/author&gt;&lt;author&gt;&lt;lastName&gt;Novoyatleva&lt;/lastName&gt;&lt;firstName&gt;Tatyana&lt;/firstName&gt;&lt;/author&gt;&lt;author&gt;&lt;lastName&gt;Grimminger&lt;/lastName&gt;&lt;firstName&gt;Friedrich&lt;/firstName&gt;&lt;/author&gt;&lt;author&gt;&lt;lastName&gt;Hinojosa-Kirschenbaum&lt;/lastName&gt;&lt;firstName&gt;Ford&lt;/firstName&gt;&lt;/author&gt;&lt;author&gt;&lt;lastName&gt;Ghofrani&lt;/lastName&gt;&lt;firstName&gt;Hossein&lt;/firstName&gt;&lt;middleNames&gt;A&lt;/middleNames&gt;&lt;/author&gt;&lt;author&gt;&lt;lastName&gt;Weissmann&lt;/lastName&gt;&lt;firstName&gt;Norbert&lt;/firstName&gt;&lt;/author&gt;&lt;author&gt;&lt;lastName&gt;Seeger&lt;/lastName&gt;&lt;firstName&gt;Werner&lt;/firstName&gt;&lt;/author&gt;&lt;author&gt;&lt;lastName&gt;Liles&lt;/lastName&gt;&lt;firstName&gt;John&lt;/firstName&gt;&lt;middleNames&gt;T&lt;/middleNames&gt;&lt;/author&gt;&lt;author&gt;&lt;lastName&gt;Schermuly&lt;/lastName&gt;&lt;firstName&gt;Ralph&lt;/firstName&gt;&lt;middleNames&gt;T&lt;/middleNames&gt;&lt;/author&gt;&lt;/auth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Budas</w:t>
      </w:r>
      <w:proofErr w:type="spellEnd"/>
      <w:r w:rsidR="004E19A5">
        <w:rPr>
          <w:rFonts w:eastAsiaTheme="minorEastAsia"/>
        </w:rPr>
        <w:t xml:space="preserve"> et al., 2018)</w:t>
      </w:r>
      <w:r w:rsidR="004E19A5">
        <w:rPr>
          <w:rFonts w:eastAsiaTheme="minorEastAsia"/>
        </w:rPr>
        <w:fldChar w:fldCharType="end"/>
      </w:r>
      <w:r w:rsidR="004C5442" w:rsidRPr="00BD5CAE">
        <w:rPr>
          <w:rFonts w:eastAsiaTheme="minorEastAsia"/>
        </w:rPr>
        <w:t>.</w:t>
      </w:r>
      <w:r w:rsidR="00A21CF6" w:rsidRPr="00BD5CAE">
        <w:rPr>
          <w:rFonts w:eastAsiaTheme="minorEastAsia"/>
        </w:rPr>
        <w:t xml:space="preserve"> </w:t>
      </w:r>
      <w:r w:rsidR="00472B7E" w:rsidRPr="00BD5CAE">
        <w:rPr>
          <w:rFonts w:eastAsiaTheme="minorEastAsia"/>
        </w:rPr>
        <w:t xml:space="preserve">The detected </w:t>
      </w:r>
      <w:r w:rsidR="00132450" w:rsidRPr="00BD5CAE">
        <w:rPr>
          <w:rFonts w:eastAsiaTheme="minorEastAsia"/>
        </w:rPr>
        <w:t>decrease</w:t>
      </w:r>
      <w:r w:rsidR="004C5442" w:rsidRPr="00BD5CAE">
        <w:rPr>
          <w:rFonts w:eastAsiaTheme="minorEastAsia"/>
        </w:rPr>
        <w:t xml:space="preserve"> of miR-199a-5p </w:t>
      </w:r>
      <w:r w:rsidR="008C1191" w:rsidRPr="00BD5CAE">
        <w:rPr>
          <w:rFonts w:eastAsiaTheme="minorEastAsia"/>
        </w:rPr>
        <w:t xml:space="preserve">and the links to lung cancer and </w:t>
      </w:r>
      <w:r w:rsidR="002E7FA9" w:rsidRPr="00BD5CAE">
        <w:rPr>
          <w:rFonts w:eastAsiaTheme="minorEastAsia"/>
        </w:rPr>
        <w:t>a</w:t>
      </w:r>
      <w:r w:rsidR="008C1191" w:rsidRPr="00BD5CAE">
        <w:rPr>
          <w:rFonts w:eastAsiaTheme="minorEastAsia"/>
        </w:rPr>
        <w:t xml:space="preserve"> known PAH pathway </w:t>
      </w:r>
      <w:r w:rsidR="00E6234E" w:rsidRPr="00BD5CAE">
        <w:rPr>
          <w:rFonts w:eastAsiaTheme="minorEastAsia"/>
        </w:rPr>
        <w:t xml:space="preserve">may potentially show MAPK activation in </w:t>
      </w:r>
      <w:r w:rsidR="00F85D9A" w:rsidRPr="00BD5CAE">
        <w:rPr>
          <w:rFonts w:eastAsiaTheme="minorEastAsia"/>
        </w:rPr>
        <w:t xml:space="preserve">a circulating biomarker. However, </w:t>
      </w:r>
      <w:r w:rsidR="00487958" w:rsidRPr="00BD5CAE">
        <w:rPr>
          <w:rFonts w:eastAsiaTheme="minorEastAsia"/>
        </w:rPr>
        <w:t xml:space="preserve">it is important to note that targets for </w:t>
      </w:r>
      <w:r w:rsidR="00FB0B05" w:rsidRPr="00BD5CAE">
        <w:rPr>
          <w:rFonts w:eastAsiaTheme="minorEastAsia"/>
        </w:rPr>
        <w:t xml:space="preserve">further investigations </w:t>
      </w:r>
      <w:r w:rsidR="00487958" w:rsidRPr="00BD5CAE">
        <w:rPr>
          <w:rFonts w:eastAsiaTheme="minorEastAsia"/>
        </w:rPr>
        <w:t>from</w:t>
      </w:r>
      <w:r w:rsidR="00FB0B05" w:rsidRPr="00BD5CAE">
        <w:rPr>
          <w:rFonts w:eastAsiaTheme="minorEastAsia"/>
        </w:rPr>
        <w:t xml:space="preserve"> microarray </w:t>
      </w:r>
      <w:r w:rsidR="00857278" w:rsidRPr="00BD5CAE">
        <w:rPr>
          <w:rFonts w:eastAsiaTheme="minorEastAsia"/>
        </w:rPr>
        <w:t xml:space="preserve">experiments use </w:t>
      </w:r>
      <w:r w:rsidR="00487958" w:rsidRPr="00BD5CAE">
        <w:rPr>
          <w:rFonts w:eastAsiaTheme="minorEastAsia"/>
        </w:rPr>
        <w:t>cut-offs of at least an</w:t>
      </w:r>
      <w:r w:rsidR="00857278" w:rsidRPr="00BD5CAE">
        <w:rPr>
          <w:rFonts w:eastAsiaTheme="minorEastAsia"/>
        </w:rPr>
        <w:t xml:space="preserve"> adjusted p-value of ≤0.05 and an absolute </w:t>
      </w:r>
      <w:r w:rsidR="00F85D9A" w:rsidRPr="00BD5CAE">
        <w:rPr>
          <w:rFonts w:eastAsiaTheme="minorEastAsia"/>
        </w:rPr>
        <w:t>log</w:t>
      </w:r>
      <w:r w:rsidR="00857278" w:rsidRPr="00BD5CAE">
        <w:rPr>
          <w:rFonts w:eastAsiaTheme="minorEastAsia"/>
        </w:rPr>
        <w:t>-</w:t>
      </w:r>
      <w:r w:rsidR="00F85D9A" w:rsidRPr="00BD5CAE">
        <w:rPr>
          <w:rFonts w:eastAsiaTheme="minorEastAsia"/>
        </w:rPr>
        <w:t>fold change of</w:t>
      </w:r>
      <w:r w:rsidR="006035FD" w:rsidRPr="00BD5CAE">
        <w:rPr>
          <w:rFonts w:eastAsiaTheme="minorEastAsia"/>
        </w:rPr>
        <w:t xml:space="preserve"> </w:t>
      </w:r>
      <w:r w:rsidR="0015614A" w:rsidRPr="00BD5CAE">
        <w:rPr>
          <w:rFonts w:eastAsiaTheme="minorEastAsia"/>
        </w:rPr>
        <w:t xml:space="preserve">between 1 – 2. Mir-199a-5p was had a log fold-change of </w:t>
      </w:r>
      <w:r w:rsidR="006035FD" w:rsidRPr="00BD5CAE">
        <w:rPr>
          <w:rFonts w:eastAsiaTheme="minorEastAsia"/>
        </w:rPr>
        <w:t>-0.17</w:t>
      </w:r>
      <w:r w:rsidR="00487958" w:rsidRPr="00BD5CAE">
        <w:rPr>
          <w:rFonts w:eastAsiaTheme="minorEastAsia"/>
        </w:rPr>
        <w:t xml:space="preserve"> this is</w:t>
      </w:r>
      <w:r w:rsidR="00F85D9A" w:rsidRPr="00BD5CAE">
        <w:rPr>
          <w:rFonts w:eastAsiaTheme="minorEastAsia"/>
        </w:rPr>
        <w:t xml:space="preserve"> </w:t>
      </w:r>
      <w:r w:rsidR="0015614A" w:rsidRPr="00BD5CAE">
        <w:rPr>
          <w:rFonts w:eastAsiaTheme="minorEastAsia"/>
        </w:rPr>
        <w:t xml:space="preserve">below the threshold </w:t>
      </w:r>
      <w:r w:rsidR="00E96B4A" w:rsidRPr="00BD5CAE">
        <w:rPr>
          <w:rFonts w:eastAsiaTheme="minorEastAsia"/>
        </w:rPr>
        <w:t>that typically warrants further investigations.</w:t>
      </w:r>
    </w:p>
    <w:p w14:paraId="76CBB2FE" w14:textId="77777777" w:rsidR="0019129E" w:rsidRPr="00BD5CAE" w:rsidRDefault="0019129E" w:rsidP="0019129E">
      <w:pPr>
        <w:pStyle w:val="Body"/>
      </w:pPr>
    </w:p>
    <w:p w14:paraId="7D0F43F0" w14:textId="470E2EC2" w:rsidR="0019129E" w:rsidRPr="00BD5CAE" w:rsidRDefault="0019129E" w:rsidP="0019129E">
      <w:pPr>
        <w:pStyle w:val="Heading3"/>
        <w:numPr>
          <w:ilvl w:val="2"/>
          <w:numId w:val="7"/>
        </w:numPr>
        <w:spacing w:before="80" w:after="80"/>
      </w:pPr>
      <w:bookmarkStart w:id="188" w:name="_Toc60773923"/>
      <w:r w:rsidRPr="00BD5CAE">
        <w:t>Plasma</w:t>
      </w:r>
      <w:bookmarkEnd w:id="188"/>
    </w:p>
    <w:p w14:paraId="64193AC8" w14:textId="59824CDD" w:rsidR="0090790F" w:rsidRPr="00BD5CAE" w:rsidRDefault="0019129E" w:rsidP="00B43DAA">
      <w:pPr>
        <w:pStyle w:val="Heading3"/>
        <w:numPr>
          <w:ilvl w:val="3"/>
          <w:numId w:val="7"/>
        </w:numPr>
        <w:spacing w:before="80" w:after="80"/>
      </w:pPr>
      <w:bookmarkStart w:id="189" w:name="_Toc60773924"/>
      <w:r w:rsidRPr="00BD5CAE">
        <w:t>miRNA199a-5p</w:t>
      </w:r>
      <w:bookmarkEnd w:id="189"/>
      <w:r w:rsidRPr="00BD5CAE">
        <w:t xml:space="preserve"> </w:t>
      </w:r>
    </w:p>
    <w:p w14:paraId="0F055C41" w14:textId="6474DCE9" w:rsidR="00B43DAA" w:rsidRDefault="00D05939" w:rsidP="00DF4843">
      <w:pPr>
        <w:pStyle w:val="Body"/>
      </w:pPr>
      <w:r w:rsidRPr="00BD5CAE">
        <w:t>In the plasma microarray miR-630 had the largest fold change. In the literature r</w:t>
      </w:r>
      <w:r w:rsidR="00652FE9" w:rsidRPr="00BD5CAE">
        <w:t>educed</w:t>
      </w:r>
      <w:r w:rsidR="002B70B6" w:rsidRPr="00BD5CAE">
        <w:t xml:space="preserve"> </w:t>
      </w:r>
      <w:r w:rsidR="00DA6F15" w:rsidRPr="00BD5CAE">
        <w:t xml:space="preserve">plasma </w:t>
      </w:r>
      <w:proofErr w:type="spellStart"/>
      <w:r w:rsidR="00DA6F15" w:rsidRPr="00BD5CAE">
        <w:t>exosomal</w:t>
      </w:r>
      <w:proofErr w:type="spellEnd"/>
      <w:r w:rsidR="00DA6F15" w:rsidRPr="00BD5CAE">
        <w:t xml:space="preserve"> </w:t>
      </w:r>
      <w:r w:rsidR="002B70B6" w:rsidRPr="00BD5CAE">
        <w:t xml:space="preserve">levels of circulating miR-630 </w:t>
      </w:r>
      <w:r w:rsidR="00110889" w:rsidRPr="00BD5CAE">
        <w:t>were</w:t>
      </w:r>
      <w:r w:rsidR="002B70B6" w:rsidRPr="00BD5CAE">
        <w:t xml:space="preserve"> detected in</w:t>
      </w:r>
      <w:r w:rsidR="00E20421" w:rsidRPr="00BD5CAE">
        <w:t xml:space="preserve"> obese</w:t>
      </w:r>
      <w:r w:rsidR="002B70B6" w:rsidRPr="00BD5CAE">
        <w:t xml:space="preserve"> children with obstructive sleep </w:t>
      </w:r>
      <w:proofErr w:type="spellStart"/>
      <w:r w:rsidR="002B70B6" w:rsidRPr="00BD5CAE">
        <w:t>apnea</w:t>
      </w:r>
      <w:proofErr w:type="spellEnd"/>
      <w:r w:rsidR="00AB1AFB" w:rsidRPr="00BD5CAE">
        <w:t xml:space="preserve"> </w:t>
      </w:r>
      <w:r w:rsidR="004E19A5">
        <w:rPr>
          <w:rFonts w:eastAsiaTheme="minorEastAsia"/>
        </w:rPr>
        <w:fldChar w:fldCharType="begin"/>
      </w:r>
      <w:r w:rsidR="004E19A5">
        <w:rPr>
          <w:rFonts w:eastAsiaTheme="minorEastAsia"/>
        </w:rPr>
        <w:instrText xml:space="preserve"> ADDIN PAPERS2_CITATIONS &lt;citation&gt;&lt;priority&gt;115&lt;/priority&gt;&lt;uuid&gt;985D0F1F-04DC-4263-8DA8-20D516A5342E&lt;/uuid&gt;&lt;publications&gt;&lt;publication&gt;&lt;subtype&gt;400&lt;/subtype&gt;&lt;title&gt;Circulating Plasma Extracellular Microvesicle MicroRNA Cargo and Endothelial Dysfunction in Children with Obstructive Sleep Apnea&lt;/title&gt;&lt;url&gt;http://www.atsjournals.org/doi/10.1164/rccm.201602-0323OC&lt;/url&gt;&lt;volume&gt;194&lt;/volume&gt;&lt;publication_date&gt;99201611001200000000220000&lt;/publication_date&gt;&lt;uuid&gt;C064969C-5701-4CEB-8DD1-DC24499AE847&lt;/uuid&gt;&lt;type&gt;400&lt;/type&gt;&lt;number&gt;9&lt;/number&gt;&lt;doi&gt;10.1164/rccm.201602-0323OC&lt;/doi&gt;&lt;startpage&gt;1116&lt;/startpage&gt;&lt;endpage&gt;1126&lt;/endpage&gt;&lt;bundle&gt;&lt;publication&gt;&lt;title&gt;American journal of respiratory and critical care medicine&lt;/title&gt;&lt;uuid&gt;6449F919-B7B0-4590-B1EB-52EBB4E4B50D&lt;/uuid&gt;&lt;subtype&gt;-100&lt;/subtype&gt;&lt;publisher&gt;American Thoracic Society&lt;/publisher&gt;&lt;type&gt;-100&lt;/type&gt;&lt;/publication&gt;&lt;/bundle&gt;&lt;authors&gt;&lt;author&gt;&lt;lastName&gt;Khalyfa&lt;/lastName&gt;&lt;firstName&gt;Abdelnaby&lt;/firstName&gt;&lt;/author&gt;&lt;author&gt;&lt;lastName&gt;Kheirandish-Gozal&lt;/lastName&gt;&lt;firstName&gt;Leila&lt;/firstName&gt;&lt;/author&gt;&lt;author&gt;&lt;lastName&gt;Khalyfa&lt;/lastName&gt;&lt;firstName&gt;Ahamed&lt;/firstName&gt;&lt;middleNames&gt;A&lt;/middleNames&gt;&lt;/author&gt;&lt;author&gt;&lt;lastName&gt;Philby&lt;/lastName&gt;&lt;firstName&gt;Mona&lt;/firstName&gt;&lt;middleNames&gt;F&lt;/middleNames&gt;&lt;/author&gt;&lt;author&gt;&lt;lastName&gt;Alonso-Álvarez&lt;/lastName&gt;&lt;firstName&gt;María&lt;/firstName&gt;&lt;middleNames&gt;Luz&lt;/middleNames&gt;&lt;/author&gt;&lt;author&gt;&lt;lastName&gt;Mohammadi&lt;/lastName&gt;&lt;firstName&gt;Meelad&lt;/firstName&gt;&lt;/author&gt;&lt;author&gt;&lt;lastName&gt;Bhattacharjee&lt;/lastName&gt;&lt;firstName&gt;Rakesh&lt;/firstName&gt;&lt;/author&gt;&lt;author&gt;&lt;lastName&gt;Terán-Santos&lt;/lastName&gt;&lt;firstName&gt;Joaquin&lt;/firstName&gt;&lt;/author&gt;&lt;author&gt;&lt;lastName&gt;Huang&lt;/lastName&gt;&lt;firstName&gt;Lei&lt;/firstName&gt;&lt;/author&gt;&lt;author&gt;&lt;lastName&gt;Andrade&lt;/lastName&gt;&lt;firstName&gt;Jorge&lt;/firstName&gt;&lt;/author&gt;&lt;author&gt;&lt;lastName&gt;Gozal&lt;/lastName&gt;&lt;firstName&gt;David&lt;/firstName&gt;&lt;/author&gt;&lt;/auth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Khalyfa</w:t>
      </w:r>
      <w:proofErr w:type="spellEnd"/>
      <w:r w:rsidR="004E19A5">
        <w:rPr>
          <w:rFonts w:eastAsiaTheme="minorEastAsia"/>
        </w:rPr>
        <w:t xml:space="preserve"> et al., 2016)</w:t>
      </w:r>
      <w:r w:rsidR="004E19A5">
        <w:rPr>
          <w:rFonts w:eastAsiaTheme="minorEastAsia"/>
        </w:rPr>
        <w:fldChar w:fldCharType="end"/>
      </w:r>
      <w:r w:rsidR="00AB1AFB" w:rsidRPr="00BD5CAE">
        <w:t>.</w:t>
      </w:r>
      <w:r w:rsidR="00723882" w:rsidRPr="00BD5CAE">
        <w:t xml:space="preserve"> The publication noted that </w:t>
      </w:r>
      <w:r w:rsidR="00911A0F" w:rsidRPr="00BD5CAE">
        <w:t>these children</w:t>
      </w:r>
      <w:r w:rsidR="004A50D3" w:rsidRPr="00BD5CAE">
        <w:t xml:space="preserve">’s cardiovascular systems had </w:t>
      </w:r>
      <w:r w:rsidR="00E20421" w:rsidRPr="00BD5CAE">
        <w:t>endothelial</w:t>
      </w:r>
      <w:r w:rsidR="00911A0F" w:rsidRPr="00BD5CAE">
        <w:t xml:space="preserve"> </w:t>
      </w:r>
      <w:r w:rsidR="00E20421" w:rsidRPr="00BD5CAE">
        <w:t>dysfunction</w:t>
      </w:r>
      <w:r w:rsidR="00911A0F" w:rsidRPr="00BD5CAE">
        <w:t xml:space="preserve"> including reduced </w:t>
      </w:r>
      <w:r w:rsidR="00F80804" w:rsidRPr="00BD5CAE">
        <w:lastRenderedPageBreak/>
        <w:t>endothelial nitric oxide</w:t>
      </w:r>
      <w:r w:rsidR="00911A0F" w:rsidRPr="00BD5CAE">
        <w:t xml:space="preserve"> </w:t>
      </w:r>
      <w:r w:rsidR="004A50D3" w:rsidRPr="00BD5CAE">
        <w:t>(</w:t>
      </w:r>
      <w:proofErr w:type="spellStart"/>
      <w:r w:rsidR="004A50D3" w:rsidRPr="00BD5CAE">
        <w:t>eNOS</w:t>
      </w:r>
      <w:proofErr w:type="spellEnd"/>
      <w:r w:rsidR="004A50D3" w:rsidRPr="00BD5CAE">
        <w:t>).</w:t>
      </w:r>
      <w:r w:rsidR="009C3D2D" w:rsidRPr="00BD5CAE">
        <w:t xml:space="preserve"> In PAH</w:t>
      </w:r>
      <w:r w:rsidR="00414D29" w:rsidRPr="00BD5CAE">
        <w:t xml:space="preserve"> reduced endothelial expression of</w:t>
      </w:r>
      <w:r w:rsidR="009C3D2D" w:rsidRPr="00BD5CAE">
        <w:t xml:space="preserve"> </w:t>
      </w:r>
      <w:proofErr w:type="spellStart"/>
      <w:r w:rsidR="00BD48BA" w:rsidRPr="00BD5CAE">
        <w:t>eNOS</w:t>
      </w:r>
      <w:proofErr w:type="spellEnd"/>
      <w:r w:rsidR="00BD48BA" w:rsidRPr="00BD5CAE">
        <w:t xml:space="preserve"> </w:t>
      </w:r>
      <w:r w:rsidR="00414D29" w:rsidRPr="00BD5CAE">
        <w:t xml:space="preserve">is seen in pulmonary </w:t>
      </w:r>
      <w:r w:rsidR="00E56B84" w:rsidRPr="00BD5CAE">
        <w:t>arteries</w:t>
      </w:r>
      <w:r w:rsidR="00414D29" w:rsidRPr="00BD5CAE">
        <w:t xml:space="preserve"> of patients</w:t>
      </w:r>
      <w:r w:rsidR="002C680B" w:rsidRPr="00BD5CAE">
        <w:t xml:space="preserve"> </w:t>
      </w:r>
      <w:r w:rsidR="004E19A5">
        <w:rPr>
          <w:rFonts w:eastAsiaTheme="minorEastAsia"/>
        </w:rPr>
        <w:fldChar w:fldCharType="begin"/>
      </w:r>
      <w:r w:rsidR="004E19A5">
        <w:rPr>
          <w:rFonts w:eastAsiaTheme="minorEastAsia"/>
        </w:rPr>
        <w:instrText xml:space="preserve"> ADDIN PAPERS2_CITATIONS &lt;citation&gt;&lt;priority&gt;116&lt;/priority&gt;&lt;uuid&gt;6750D04D-0CFB-4C41-8DBA-3F201E3E1FE3&lt;/uuid&gt;&lt;publications&gt;&lt;publication&gt;&lt;subtype&gt;400&lt;/subtype&gt;&lt;publisher&gt;Magdi Yacoub Institute&lt;/publisher&gt;&lt;title&gt;Nitric oxide and pulmonary arterial hypertension&lt;/title&gt;&lt;url&gt;https://globalcardiologyscienceandpractice.com/index.php/gcsp/article/view/229&lt;/url&gt;&lt;volume&gt;2017&lt;/volume&gt;&lt;publication_date&gt;99201706301200000000222000&lt;/publication_date&gt;&lt;uuid&gt;7F1DF812-60FD-46CD-8CF1-8D27EA707D8D&lt;/uuid&gt;&lt;type&gt;400&lt;/type&gt;&lt;number&gt;2&lt;/number&gt;&lt;doi&gt;10.21542/gcsp.2017.14&lt;/doi&gt;&lt;institution&gt;National Heart &amp;amp; Lung Institute, Imperial College London, Heart Science Centre, Harefield, Middlesex, UB9 6JH, United Kingdom.&lt;/institution&gt;&lt;startpage&gt;14&lt;/startpage&gt;&lt;bundle&gt;&lt;publication&gt;&lt;title&gt;Global Cardiology Science &amp;amp; Practice&lt;/title&gt;&lt;uuid&gt;7733639D-3437-4287-84A1-957313B1ED48&lt;/uuid&gt;&lt;subtype&gt;-100&lt;/subtype&gt;&lt;publisher&gt;Magdi Yacoub Institute&lt;/publisher&gt;&lt;type&gt;-100&lt;/type&gt;&lt;/publication&gt;&lt;/bundle&gt;&lt;authors&gt;&lt;author&gt;&lt;lastName&gt;Chester&lt;/lastName&gt;&lt;firstName&gt;Adrian&lt;/firstName&gt;&lt;middleNames&gt;H&lt;/middleNames&gt;&lt;/author&gt;&lt;author&gt;&lt;lastName&gt;Yacoub&lt;/lastName&gt;&lt;firstName&gt;Magdi&lt;/firstName&gt;&lt;middleNames&gt;H&lt;/middleNames&gt;&lt;/author&gt;&lt;author&gt;&lt;lastName&gt;Moncada&lt;/lastName&gt;&lt;firstName&gt;Salvador&lt;/firstName&gt;&lt;/author&gt;&lt;/authors&gt;&lt;/publication&gt;&lt;/publications&gt;&lt;cites&gt;&lt;/cites&gt;&lt;/citation&gt;</w:instrText>
      </w:r>
      <w:r w:rsidR="004E19A5">
        <w:rPr>
          <w:rFonts w:eastAsiaTheme="minorEastAsia"/>
        </w:rPr>
        <w:fldChar w:fldCharType="separate"/>
      </w:r>
      <w:r w:rsidR="004E19A5">
        <w:rPr>
          <w:rFonts w:eastAsiaTheme="minorEastAsia"/>
        </w:rPr>
        <w:t>(Chester, Yacoub, &amp; Moncada, 2017)</w:t>
      </w:r>
      <w:r w:rsidR="004E19A5">
        <w:rPr>
          <w:rFonts w:eastAsiaTheme="minorEastAsia"/>
        </w:rPr>
        <w:fldChar w:fldCharType="end"/>
      </w:r>
      <w:r w:rsidR="002C680B" w:rsidRPr="00BD5CAE">
        <w:t>.</w:t>
      </w:r>
      <w:r w:rsidR="00967AE9" w:rsidRPr="00BD5CAE">
        <w:t xml:space="preserve"> </w:t>
      </w:r>
      <w:r w:rsidR="0024447D" w:rsidRPr="00BD5CAE">
        <w:t xml:space="preserve">In the study artificially increasing miR-630 </w:t>
      </w:r>
      <w:r w:rsidR="007A2B67" w:rsidRPr="00BD5CAE">
        <w:t xml:space="preserve">increased the levels </w:t>
      </w:r>
      <w:proofErr w:type="spellStart"/>
      <w:r w:rsidR="007A2B67" w:rsidRPr="00BD5CAE">
        <w:t>eNOS</w:t>
      </w:r>
      <w:proofErr w:type="spellEnd"/>
      <w:r w:rsidR="007A2B67" w:rsidRPr="00BD5CAE">
        <w:t xml:space="preserve"> detected. Whilst at odds with the direction found in the array it is possible that t</w:t>
      </w:r>
      <w:r w:rsidR="00A179F0" w:rsidRPr="00BD5CAE">
        <w:t xml:space="preserve">he increased plasma miR-630 </w:t>
      </w:r>
      <w:r w:rsidR="004F7007" w:rsidRPr="00BD5CAE">
        <w:t xml:space="preserve">in PAH </w:t>
      </w:r>
      <w:r w:rsidR="00A179F0" w:rsidRPr="00BD5CAE">
        <w:t xml:space="preserve">may </w:t>
      </w:r>
      <w:r w:rsidR="004F7007" w:rsidRPr="00BD5CAE">
        <w:t>be</w:t>
      </w:r>
      <w:r w:rsidR="007A2B67" w:rsidRPr="00BD5CAE">
        <w:t xml:space="preserve"> part of a feedback loop attempting to upregulate </w:t>
      </w:r>
      <w:proofErr w:type="spellStart"/>
      <w:r w:rsidR="007A2B67" w:rsidRPr="00BD5CAE">
        <w:t>eNOS</w:t>
      </w:r>
      <w:proofErr w:type="spellEnd"/>
      <w:r w:rsidR="007A2B67" w:rsidRPr="00BD5CAE">
        <w:t xml:space="preserve"> production</w:t>
      </w:r>
      <w:r w:rsidR="00D24C81" w:rsidRPr="00BD5CAE">
        <w:t xml:space="preserve">. However, </w:t>
      </w:r>
      <w:r w:rsidR="00D774B6" w:rsidRPr="00BD5CAE">
        <w:t xml:space="preserve">in lung adenocarcinoma </w:t>
      </w:r>
      <w:r w:rsidR="00A11EF8" w:rsidRPr="00BD5CAE">
        <w:t xml:space="preserve">it was found that increased miR-630 reduced </w:t>
      </w:r>
      <w:r w:rsidR="00C75D46" w:rsidRPr="00BD5CAE">
        <w:t>tumour</w:t>
      </w:r>
      <w:r w:rsidR="00A11EF8" w:rsidRPr="00BD5CAE">
        <w:t xml:space="preserve"> metastasis by decreasing expression of SLUG</w:t>
      </w:r>
      <w:r w:rsidR="003375EB" w:rsidRPr="00BD5CAE">
        <w:t xml:space="preserve"> providing anti-apoptotic activity</w:t>
      </w:r>
      <w:r w:rsidR="002C680B" w:rsidRPr="00BD5CAE">
        <w:t xml:space="preserve"> </w:t>
      </w:r>
      <w:r w:rsidR="002C680B" w:rsidRPr="00BD5CAE">
        <w:rPr>
          <w:rFonts w:eastAsiaTheme="minorEastAsia"/>
        </w:rPr>
        <w:t>{Kuo:2013by.</w:t>
      </w:r>
      <w:r w:rsidR="00A11EF8" w:rsidRPr="00BD5CAE">
        <w:t xml:space="preserve"> </w:t>
      </w:r>
      <w:r w:rsidR="00D774B6" w:rsidRPr="00BD5CAE">
        <w:t xml:space="preserve"> </w:t>
      </w:r>
      <w:r w:rsidR="00B70C95" w:rsidRPr="00BD5CAE">
        <w:t>P</w:t>
      </w:r>
      <w:r w:rsidR="00B46244" w:rsidRPr="00BD5CAE">
        <w:t>ulmonary artery smooth muscle cells</w:t>
      </w:r>
      <w:r w:rsidR="002D244C" w:rsidRPr="00BD5CAE">
        <w:t xml:space="preserve"> (PASMCs)</w:t>
      </w:r>
      <w:r w:rsidR="00B46244" w:rsidRPr="00BD5CAE">
        <w:t xml:space="preserve"> </w:t>
      </w:r>
      <w:r w:rsidR="00B70C95" w:rsidRPr="00BD5CAE">
        <w:t xml:space="preserve">in PAH exhibit </w:t>
      </w:r>
      <w:r w:rsidR="00E0408A" w:rsidRPr="00BD5CAE">
        <w:t xml:space="preserve">a pro-proliferative and anti-apoptotic </w:t>
      </w:r>
      <w:r w:rsidR="00641313" w:rsidRPr="00BD5CAE">
        <w:t>profile</w:t>
      </w:r>
      <w:r w:rsidR="005E3644" w:rsidRPr="00BD5CAE">
        <w:t xml:space="preserve">, </w:t>
      </w:r>
      <w:r w:rsidR="00C07133" w:rsidRPr="00BD5CAE">
        <w:t xml:space="preserve">if the source of the </w:t>
      </w:r>
      <w:r w:rsidR="00717D2A" w:rsidRPr="00BD5CAE">
        <w:t>increased plasma</w:t>
      </w:r>
      <w:r w:rsidR="00C07133" w:rsidRPr="00BD5CAE">
        <w:t xml:space="preserve"> miR-630 could be attributed to production in </w:t>
      </w:r>
      <w:r w:rsidR="002D244C" w:rsidRPr="00BD5CAE">
        <w:t>PASMCs</w:t>
      </w:r>
      <w:r w:rsidR="00717D2A" w:rsidRPr="00BD5CAE">
        <w:t xml:space="preserve"> this </w:t>
      </w:r>
      <w:r w:rsidR="006B3CB9" w:rsidRPr="00BD5CAE">
        <w:t xml:space="preserve">could be </w:t>
      </w:r>
      <w:r w:rsidR="00AB1AFB" w:rsidRPr="00BD5CAE">
        <w:t>both a biomarker of disease and extent</w:t>
      </w:r>
      <w:r w:rsidR="00506300" w:rsidRPr="00BD5CAE">
        <w:t>.</w:t>
      </w:r>
      <w:r w:rsidR="00C9142E" w:rsidRPr="00BD5CAE">
        <w:t xml:space="preserve"> Here we have to opposing </w:t>
      </w:r>
      <w:r w:rsidR="00AB1AFB" w:rsidRPr="00BD5CAE">
        <w:t>mechanisms</w:t>
      </w:r>
      <w:r w:rsidR="00C9142E" w:rsidRPr="00BD5CAE">
        <w:t xml:space="preserve"> where in the context of PAH high or low expression of miR-630</w:t>
      </w:r>
      <w:r w:rsidR="00AB1AFB" w:rsidRPr="00BD5CAE">
        <w:t xml:space="preserve"> could potentially beneficial or detrimental, further investigation would be required to determine which, if any are valid.</w:t>
      </w:r>
      <w:r w:rsidR="00AB1AFB">
        <w:t xml:space="preserve"> </w:t>
      </w:r>
    </w:p>
    <w:p w14:paraId="1373FEB8" w14:textId="5D9758E2" w:rsidR="0019129E" w:rsidRDefault="0019129E" w:rsidP="0019129E">
      <w:pPr>
        <w:pStyle w:val="Heading3"/>
        <w:numPr>
          <w:ilvl w:val="0"/>
          <w:numId w:val="0"/>
        </w:numPr>
        <w:spacing w:before="80" w:after="80"/>
        <w:ind w:left="720" w:hanging="720"/>
      </w:pPr>
    </w:p>
    <w:p w14:paraId="1239B676" w14:textId="77777777" w:rsidR="0019129E" w:rsidRPr="0019129E" w:rsidRDefault="0019129E" w:rsidP="0019129E"/>
    <w:p w14:paraId="5F26AD9C" w14:textId="77777777" w:rsidR="00A80649" w:rsidRDefault="00A80649">
      <w:pPr>
        <w:rPr>
          <w:rFonts w:ascii="Helvetica" w:eastAsia="Helvetica" w:hAnsi="Helvetica" w:cs="Helvetica"/>
          <w:b/>
          <w:bCs/>
          <w:color w:val="000000"/>
          <w:bdr w:val="nil"/>
        </w:rPr>
      </w:pPr>
      <w:r>
        <w:br w:type="page"/>
      </w:r>
    </w:p>
    <w:p w14:paraId="63FF8B7E" w14:textId="2FA16EDC" w:rsidR="0019129E" w:rsidRPr="0019129E" w:rsidRDefault="0019129E" w:rsidP="0019129E">
      <w:pPr>
        <w:pStyle w:val="Heading3"/>
        <w:numPr>
          <w:ilvl w:val="3"/>
          <w:numId w:val="7"/>
        </w:numPr>
        <w:spacing w:before="80" w:after="80"/>
      </w:pPr>
      <w:bookmarkStart w:id="190" w:name="_Toc60773925"/>
      <w:r>
        <w:lastRenderedPageBreak/>
        <w:t>Remaining differentially expressed miRNAs</w:t>
      </w:r>
      <w:bookmarkEnd w:id="190"/>
    </w:p>
    <w:p w14:paraId="726CF9A7" w14:textId="7A208FF1" w:rsidR="00DE20A4" w:rsidRDefault="00046F65" w:rsidP="00DE20A4">
      <w:pPr>
        <w:pStyle w:val="Body"/>
      </w:pPr>
      <w:r>
        <w:t>The plasma miRNAs exceeding the typical cut-off of absolute fold change ≥ 1.5 &amp; adjusted p-value ≤ 0.05 are detailed in</w:t>
      </w:r>
      <w:r w:rsidR="0059085D">
        <w:t xml:space="preserve"> </w:t>
      </w:r>
      <w:r w:rsidR="009B0A04">
        <w:fldChar w:fldCharType="begin"/>
      </w:r>
      <w:r w:rsidR="009B0A04">
        <w:instrText xml:space="preserve"> REF _Ref57141136 \h </w:instrText>
      </w:r>
      <w:r w:rsidR="009B0A04">
        <w:fldChar w:fldCharType="separate"/>
      </w:r>
      <w:r w:rsidR="00885DE4">
        <w:t xml:space="preserve">Table </w:t>
      </w:r>
      <w:r w:rsidR="00885DE4">
        <w:rPr>
          <w:noProof/>
        </w:rPr>
        <w:t>3</w:t>
      </w:r>
      <w:r w:rsidR="00885DE4">
        <w:noBreakHyphen/>
      </w:r>
      <w:r w:rsidR="00885DE4">
        <w:rPr>
          <w:noProof/>
        </w:rPr>
        <w:t>3</w:t>
      </w:r>
      <w:r w:rsidR="009B0A04">
        <w:fldChar w:fldCharType="end"/>
      </w:r>
      <w:r>
        <w:t xml:space="preserve">. </w:t>
      </w:r>
    </w:p>
    <w:tbl>
      <w:tblPr>
        <w:tblStyle w:val="DefaultTableStyle"/>
        <w:tblW w:w="8369" w:type="dxa"/>
        <w:tblInd w:w="709" w:type="dxa"/>
        <w:tblBorders>
          <w:insideV w:val="none" w:sz="0" w:space="0" w:color="auto"/>
        </w:tblBorders>
        <w:tblLook w:val="0660" w:firstRow="1" w:lastRow="1" w:firstColumn="0" w:lastColumn="0" w:noHBand="1" w:noVBand="1"/>
      </w:tblPr>
      <w:tblGrid>
        <w:gridCol w:w="2726"/>
        <w:gridCol w:w="2377"/>
        <w:gridCol w:w="1096"/>
        <w:gridCol w:w="2170"/>
      </w:tblGrid>
      <w:tr w:rsidR="008F3824" w:rsidRPr="007F7A1E" w14:paraId="5D6BFB53" w14:textId="77777777" w:rsidTr="008F3824">
        <w:trPr>
          <w:cnfStyle w:val="100000000000" w:firstRow="1" w:lastRow="0" w:firstColumn="0" w:lastColumn="0" w:oddVBand="0" w:evenVBand="0" w:oddHBand="0" w:evenHBand="0" w:firstRowFirstColumn="0" w:firstRowLastColumn="0" w:lastRowFirstColumn="0" w:lastRowLastColumn="0"/>
        </w:trPr>
        <w:tc>
          <w:tcPr>
            <w:tcW w:w="2726" w:type="dxa"/>
            <w:tcBorders>
              <w:top w:val="single" w:sz="4" w:space="0" w:color="auto"/>
              <w:bottom w:val="single" w:sz="4" w:space="0" w:color="auto"/>
            </w:tcBorders>
          </w:tcPr>
          <w:p w14:paraId="59B28071" w14:textId="250D8E36" w:rsidR="008F3824" w:rsidRPr="007F7A1E" w:rsidRDefault="008F3824" w:rsidP="008603E8">
            <w:pPr>
              <w:pStyle w:val="BodyText1"/>
              <w:spacing w:line="276" w:lineRule="auto"/>
              <w:jc w:val="both"/>
              <w:rPr>
                <w:rFonts w:ascii="Times New Roman" w:hAnsi="Times New Roman" w:cs="Times New Roman"/>
                <w:sz w:val="22"/>
              </w:rPr>
            </w:pPr>
            <w:r>
              <w:rPr>
                <w:rFonts w:ascii="Times New Roman" w:hAnsi="Times New Roman" w:cs="Times New Roman"/>
                <w:sz w:val="22"/>
              </w:rPr>
              <w:t>miRNA</w:t>
            </w:r>
          </w:p>
        </w:tc>
        <w:tc>
          <w:tcPr>
            <w:tcW w:w="2377" w:type="dxa"/>
            <w:tcBorders>
              <w:top w:val="single" w:sz="4" w:space="0" w:color="auto"/>
              <w:bottom w:val="single" w:sz="4" w:space="0" w:color="auto"/>
            </w:tcBorders>
          </w:tcPr>
          <w:p w14:paraId="605991AF" w14:textId="0C07483C" w:rsidR="008F3824" w:rsidRDefault="008F3824" w:rsidP="008603E8">
            <w:pPr>
              <w:pStyle w:val="BodyText1"/>
              <w:spacing w:line="276" w:lineRule="auto"/>
              <w:jc w:val="both"/>
              <w:rPr>
                <w:rFonts w:ascii="Times New Roman" w:hAnsi="Times New Roman" w:cs="Times New Roman"/>
                <w:sz w:val="22"/>
              </w:rPr>
            </w:pPr>
            <w:r>
              <w:rPr>
                <w:rFonts w:ascii="Times New Roman" w:hAnsi="Times New Roman" w:cs="Times New Roman"/>
                <w:sz w:val="22"/>
              </w:rPr>
              <w:t>Average Expression</w:t>
            </w:r>
          </w:p>
        </w:tc>
        <w:tc>
          <w:tcPr>
            <w:tcW w:w="1096" w:type="dxa"/>
            <w:tcBorders>
              <w:top w:val="single" w:sz="4" w:space="0" w:color="auto"/>
              <w:bottom w:val="single" w:sz="4" w:space="0" w:color="auto"/>
            </w:tcBorders>
          </w:tcPr>
          <w:p w14:paraId="2FF643CC" w14:textId="0EDA1B64" w:rsidR="008F3824" w:rsidRPr="007F7A1E" w:rsidRDefault="008F3824" w:rsidP="008603E8">
            <w:pPr>
              <w:pStyle w:val="BodyText1"/>
              <w:spacing w:line="276" w:lineRule="auto"/>
              <w:jc w:val="both"/>
              <w:rPr>
                <w:rFonts w:ascii="Times New Roman" w:hAnsi="Times New Roman" w:cs="Times New Roman"/>
                <w:sz w:val="22"/>
              </w:rPr>
            </w:pPr>
            <w:proofErr w:type="spellStart"/>
            <w:r>
              <w:rPr>
                <w:rFonts w:ascii="Times New Roman" w:hAnsi="Times New Roman" w:cs="Times New Roman"/>
                <w:sz w:val="22"/>
              </w:rPr>
              <w:t>logFC</w:t>
            </w:r>
            <w:proofErr w:type="spellEnd"/>
          </w:p>
        </w:tc>
        <w:tc>
          <w:tcPr>
            <w:tcW w:w="2170" w:type="dxa"/>
            <w:tcBorders>
              <w:top w:val="single" w:sz="4" w:space="0" w:color="auto"/>
              <w:bottom w:val="single" w:sz="4" w:space="0" w:color="auto"/>
            </w:tcBorders>
          </w:tcPr>
          <w:p w14:paraId="1593AD4C" w14:textId="59AEAB1D" w:rsidR="008F3824" w:rsidRPr="007F7A1E" w:rsidRDefault="008F3824" w:rsidP="008603E8">
            <w:pPr>
              <w:pStyle w:val="BodyText1"/>
              <w:spacing w:line="276" w:lineRule="auto"/>
              <w:jc w:val="both"/>
              <w:rPr>
                <w:rFonts w:ascii="Times New Roman" w:hAnsi="Times New Roman" w:cs="Times New Roman"/>
                <w:sz w:val="22"/>
              </w:rPr>
            </w:pPr>
            <w:r>
              <w:rPr>
                <w:rFonts w:ascii="Times New Roman" w:hAnsi="Times New Roman" w:cs="Times New Roman"/>
                <w:sz w:val="22"/>
              </w:rPr>
              <w:t>Adjusted p-value</w:t>
            </w:r>
          </w:p>
        </w:tc>
      </w:tr>
      <w:tr w:rsidR="008F3824" w:rsidRPr="007F7A1E" w14:paraId="530A5C02" w14:textId="77777777" w:rsidTr="008F3824">
        <w:tc>
          <w:tcPr>
            <w:tcW w:w="2726" w:type="dxa"/>
            <w:tcBorders>
              <w:top w:val="single" w:sz="4" w:space="0" w:color="auto"/>
            </w:tcBorders>
          </w:tcPr>
          <w:p w14:paraId="12957A45" w14:textId="7963A644" w:rsidR="008F3824" w:rsidRPr="007F7A1E" w:rsidRDefault="008F3824" w:rsidP="008603E8">
            <w:pPr>
              <w:pStyle w:val="BodyText1"/>
              <w:spacing w:line="276" w:lineRule="auto"/>
              <w:jc w:val="both"/>
              <w:rPr>
                <w:rFonts w:ascii="Times New Roman" w:hAnsi="Times New Roman" w:cs="Times New Roman"/>
                <w:sz w:val="22"/>
              </w:rPr>
            </w:pPr>
            <w:r>
              <w:rPr>
                <w:rFonts w:ascii="Times New Roman" w:hAnsi="Times New Roman" w:cs="Times New Roman"/>
                <w:sz w:val="22"/>
              </w:rPr>
              <w:t>miR-630</w:t>
            </w:r>
          </w:p>
        </w:tc>
        <w:tc>
          <w:tcPr>
            <w:tcW w:w="2377" w:type="dxa"/>
            <w:tcBorders>
              <w:top w:val="single" w:sz="4" w:space="0" w:color="auto"/>
            </w:tcBorders>
          </w:tcPr>
          <w:p w14:paraId="3DB96F10" w14:textId="2C401630" w:rsidR="008F3824" w:rsidRPr="007F7A1E" w:rsidRDefault="008F3824" w:rsidP="008F3824">
            <w:pPr>
              <w:pStyle w:val="BodyText1"/>
              <w:spacing w:line="276" w:lineRule="auto"/>
              <w:jc w:val="center"/>
              <w:rPr>
                <w:rFonts w:ascii="Times New Roman" w:hAnsi="Times New Roman" w:cs="Times New Roman"/>
                <w:sz w:val="22"/>
              </w:rPr>
            </w:pPr>
            <w:r>
              <w:rPr>
                <w:rFonts w:ascii="Times New Roman" w:hAnsi="Times New Roman" w:cs="Times New Roman"/>
                <w:sz w:val="22"/>
              </w:rPr>
              <w:t>7.4</w:t>
            </w:r>
          </w:p>
        </w:tc>
        <w:tc>
          <w:tcPr>
            <w:tcW w:w="1096" w:type="dxa"/>
            <w:tcBorders>
              <w:top w:val="single" w:sz="4" w:space="0" w:color="auto"/>
            </w:tcBorders>
          </w:tcPr>
          <w:p w14:paraId="0B8057C0" w14:textId="6C4FE4C7" w:rsidR="008F3824" w:rsidRPr="007F7A1E" w:rsidRDefault="008F3824" w:rsidP="008F3824">
            <w:pPr>
              <w:pStyle w:val="BodyText1"/>
              <w:spacing w:line="276" w:lineRule="auto"/>
              <w:jc w:val="center"/>
              <w:rPr>
                <w:rFonts w:ascii="Times New Roman" w:hAnsi="Times New Roman" w:cs="Times New Roman"/>
                <w:sz w:val="22"/>
              </w:rPr>
            </w:pPr>
            <w:r>
              <w:rPr>
                <w:rFonts w:ascii="Times New Roman" w:hAnsi="Times New Roman" w:cs="Times New Roman"/>
                <w:sz w:val="22"/>
              </w:rPr>
              <w:t>2.3</w:t>
            </w:r>
          </w:p>
        </w:tc>
        <w:tc>
          <w:tcPr>
            <w:tcW w:w="2170" w:type="dxa"/>
            <w:tcBorders>
              <w:top w:val="single" w:sz="4" w:space="0" w:color="auto"/>
            </w:tcBorders>
          </w:tcPr>
          <w:p w14:paraId="55B31A72" w14:textId="6705B10E" w:rsidR="008F3824" w:rsidRPr="002624E7" w:rsidRDefault="002624E7" w:rsidP="008F3824">
            <w:pPr>
              <w:pStyle w:val="BodyText1"/>
              <w:spacing w:line="276" w:lineRule="auto"/>
              <w:jc w:val="center"/>
              <w:rPr>
                <w:rFonts w:ascii="Times New Roman" w:hAnsi="Times New Roman" w:cs="Times New Roman"/>
                <w:sz w:val="22"/>
              </w:rPr>
            </w:pPr>
            <w:r>
              <w:rPr>
                <w:rFonts w:ascii="Times New Roman" w:hAnsi="Times New Roman" w:cs="Times New Roman"/>
                <w:sz w:val="22"/>
              </w:rPr>
              <w:t>&lt; 0.0001</w:t>
            </w:r>
          </w:p>
        </w:tc>
      </w:tr>
      <w:tr w:rsidR="002624E7" w:rsidRPr="006B7FA6" w14:paraId="2993F7F0" w14:textId="77777777" w:rsidTr="008F3824">
        <w:tc>
          <w:tcPr>
            <w:tcW w:w="2726" w:type="dxa"/>
          </w:tcPr>
          <w:p w14:paraId="4F789556" w14:textId="633EAFDE" w:rsidR="002624E7" w:rsidRPr="00466988" w:rsidRDefault="002624E7" w:rsidP="002624E7">
            <w:pPr>
              <w:pStyle w:val="BodyText1"/>
              <w:spacing w:line="276" w:lineRule="auto"/>
              <w:jc w:val="both"/>
              <w:rPr>
                <w:rFonts w:ascii="Times New Roman" w:hAnsi="Times New Roman" w:cs="Times New Roman"/>
                <w:sz w:val="22"/>
              </w:rPr>
            </w:pPr>
            <w:r>
              <w:rPr>
                <w:rFonts w:ascii="Times New Roman" w:hAnsi="Times New Roman" w:cs="Times New Roman"/>
                <w:sz w:val="22"/>
              </w:rPr>
              <w:t>miR-320c</w:t>
            </w:r>
          </w:p>
        </w:tc>
        <w:tc>
          <w:tcPr>
            <w:tcW w:w="2377" w:type="dxa"/>
          </w:tcPr>
          <w:p w14:paraId="627DB7DD" w14:textId="2A73BA92" w:rsidR="002624E7" w:rsidRPr="00466988" w:rsidRDefault="002624E7" w:rsidP="002624E7">
            <w:pPr>
              <w:pStyle w:val="BodyText1"/>
              <w:spacing w:line="276" w:lineRule="auto"/>
              <w:jc w:val="center"/>
              <w:rPr>
                <w:rFonts w:ascii="Times New Roman" w:hAnsi="Times New Roman" w:cs="Times New Roman"/>
                <w:sz w:val="22"/>
              </w:rPr>
            </w:pPr>
            <w:r>
              <w:rPr>
                <w:rFonts w:ascii="Times New Roman" w:hAnsi="Times New Roman" w:cs="Times New Roman"/>
                <w:sz w:val="22"/>
              </w:rPr>
              <w:t>4.3</w:t>
            </w:r>
          </w:p>
        </w:tc>
        <w:tc>
          <w:tcPr>
            <w:tcW w:w="1096" w:type="dxa"/>
          </w:tcPr>
          <w:p w14:paraId="6005F190" w14:textId="0148135D" w:rsidR="002624E7" w:rsidRPr="00466988" w:rsidRDefault="002624E7" w:rsidP="002624E7">
            <w:pPr>
              <w:pStyle w:val="BodyText1"/>
              <w:spacing w:line="276" w:lineRule="auto"/>
              <w:jc w:val="center"/>
              <w:rPr>
                <w:rFonts w:ascii="Times New Roman" w:hAnsi="Times New Roman" w:cs="Times New Roman"/>
                <w:sz w:val="22"/>
              </w:rPr>
            </w:pPr>
            <w:r>
              <w:rPr>
                <w:rFonts w:ascii="Times New Roman" w:hAnsi="Times New Roman" w:cs="Times New Roman"/>
                <w:sz w:val="22"/>
              </w:rPr>
              <w:t>2.3</w:t>
            </w:r>
          </w:p>
        </w:tc>
        <w:tc>
          <w:tcPr>
            <w:tcW w:w="2170" w:type="dxa"/>
          </w:tcPr>
          <w:p w14:paraId="5F10FBAD" w14:textId="77FB586D" w:rsidR="002624E7" w:rsidRPr="002624E7" w:rsidRDefault="002624E7" w:rsidP="002624E7">
            <w:pPr>
              <w:pStyle w:val="BodyText1"/>
              <w:spacing w:line="276" w:lineRule="auto"/>
              <w:jc w:val="center"/>
              <w:rPr>
                <w:rFonts w:ascii="Times New Roman" w:hAnsi="Times New Roman" w:cs="Times New Roman"/>
                <w:sz w:val="22"/>
              </w:rPr>
            </w:pPr>
            <w:r w:rsidRPr="00BC3017">
              <w:rPr>
                <w:rFonts w:ascii="Times New Roman" w:hAnsi="Times New Roman" w:cs="Times New Roman"/>
                <w:sz w:val="22"/>
              </w:rPr>
              <w:t>&lt; 0.0001</w:t>
            </w:r>
          </w:p>
        </w:tc>
      </w:tr>
      <w:tr w:rsidR="002624E7" w:rsidRPr="006B7FA6" w14:paraId="6ED2F074" w14:textId="77777777" w:rsidTr="008F3824">
        <w:tc>
          <w:tcPr>
            <w:tcW w:w="2726" w:type="dxa"/>
          </w:tcPr>
          <w:p w14:paraId="2C9B6EBB" w14:textId="321845BB" w:rsidR="002624E7" w:rsidRPr="00466988" w:rsidRDefault="002624E7" w:rsidP="002624E7">
            <w:pPr>
              <w:pStyle w:val="BodyText1"/>
              <w:spacing w:line="276" w:lineRule="auto"/>
              <w:jc w:val="both"/>
              <w:rPr>
                <w:rFonts w:ascii="Times New Roman" w:hAnsi="Times New Roman" w:cs="Times New Roman"/>
                <w:sz w:val="22"/>
              </w:rPr>
            </w:pPr>
            <w:r>
              <w:rPr>
                <w:rFonts w:ascii="Times New Roman" w:hAnsi="Times New Roman" w:cs="Times New Roman"/>
                <w:sz w:val="22"/>
              </w:rPr>
              <w:t>miR-642a-3p</w:t>
            </w:r>
          </w:p>
        </w:tc>
        <w:tc>
          <w:tcPr>
            <w:tcW w:w="2377" w:type="dxa"/>
          </w:tcPr>
          <w:p w14:paraId="7D0AF148" w14:textId="57C69CF3" w:rsidR="002624E7" w:rsidRPr="00466988" w:rsidRDefault="002624E7" w:rsidP="002624E7">
            <w:pPr>
              <w:pStyle w:val="BodyText1"/>
              <w:spacing w:line="276" w:lineRule="auto"/>
              <w:jc w:val="center"/>
              <w:rPr>
                <w:rFonts w:ascii="Times New Roman" w:hAnsi="Times New Roman" w:cs="Times New Roman"/>
                <w:sz w:val="22"/>
              </w:rPr>
            </w:pPr>
            <w:r>
              <w:rPr>
                <w:rFonts w:ascii="Times New Roman" w:hAnsi="Times New Roman" w:cs="Times New Roman"/>
                <w:sz w:val="22"/>
              </w:rPr>
              <w:t>4.3</w:t>
            </w:r>
          </w:p>
        </w:tc>
        <w:tc>
          <w:tcPr>
            <w:tcW w:w="1096" w:type="dxa"/>
          </w:tcPr>
          <w:p w14:paraId="61F3CCC8" w14:textId="72406BAF" w:rsidR="002624E7" w:rsidRPr="00466988" w:rsidRDefault="002624E7" w:rsidP="002624E7">
            <w:pPr>
              <w:pStyle w:val="BodyText1"/>
              <w:spacing w:line="276" w:lineRule="auto"/>
              <w:jc w:val="center"/>
              <w:rPr>
                <w:rFonts w:ascii="Times New Roman" w:hAnsi="Times New Roman" w:cs="Times New Roman"/>
                <w:sz w:val="22"/>
              </w:rPr>
            </w:pPr>
            <w:r>
              <w:rPr>
                <w:rFonts w:ascii="Times New Roman" w:hAnsi="Times New Roman" w:cs="Times New Roman"/>
                <w:sz w:val="22"/>
              </w:rPr>
              <w:t>2.0</w:t>
            </w:r>
          </w:p>
        </w:tc>
        <w:tc>
          <w:tcPr>
            <w:tcW w:w="2170" w:type="dxa"/>
          </w:tcPr>
          <w:p w14:paraId="6103EE1E" w14:textId="007C536C" w:rsidR="002624E7" w:rsidRPr="002624E7" w:rsidRDefault="002624E7" w:rsidP="002624E7">
            <w:pPr>
              <w:pStyle w:val="BodyText1"/>
              <w:spacing w:line="276" w:lineRule="auto"/>
              <w:jc w:val="center"/>
              <w:rPr>
                <w:rFonts w:ascii="Times New Roman" w:hAnsi="Times New Roman" w:cs="Times New Roman"/>
                <w:sz w:val="22"/>
              </w:rPr>
            </w:pPr>
            <w:r w:rsidRPr="00BC3017">
              <w:rPr>
                <w:rFonts w:ascii="Times New Roman" w:hAnsi="Times New Roman" w:cs="Times New Roman"/>
                <w:sz w:val="22"/>
              </w:rPr>
              <w:t>&lt; 0.0001</w:t>
            </w:r>
          </w:p>
        </w:tc>
      </w:tr>
      <w:tr w:rsidR="002624E7" w:rsidRPr="006B7FA6" w14:paraId="1620BC2F" w14:textId="77777777" w:rsidTr="008F3824">
        <w:tc>
          <w:tcPr>
            <w:tcW w:w="2726" w:type="dxa"/>
          </w:tcPr>
          <w:p w14:paraId="1039728E" w14:textId="7D80C408" w:rsidR="002624E7" w:rsidRDefault="002624E7" w:rsidP="002624E7">
            <w:pPr>
              <w:pStyle w:val="BodyText1"/>
              <w:spacing w:line="276" w:lineRule="auto"/>
              <w:jc w:val="both"/>
              <w:rPr>
                <w:rFonts w:ascii="Times New Roman" w:hAnsi="Times New Roman" w:cs="Times New Roman"/>
                <w:sz w:val="22"/>
              </w:rPr>
            </w:pPr>
            <w:r>
              <w:rPr>
                <w:rFonts w:ascii="Times New Roman" w:hAnsi="Times New Roman" w:cs="Times New Roman"/>
                <w:sz w:val="22"/>
              </w:rPr>
              <w:t>miR-1207-5p</w:t>
            </w:r>
          </w:p>
        </w:tc>
        <w:tc>
          <w:tcPr>
            <w:tcW w:w="2377" w:type="dxa"/>
          </w:tcPr>
          <w:p w14:paraId="0C618909" w14:textId="7B9653B7" w:rsidR="002624E7" w:rsidRPr="00466988" w:rsidRDefault="002624E7" w:rsidP="002624E7">
            <w:pPr>
              <w:pStyle w:val="BodyText1"/>
              <w:spacing w:line="276" w:lineRule="auto"/>
              <w:jc w:val="center"/>
              <w:rPr>
                <w:rFonts w:ascii="Times New Roman" w:hAnsi="Times New Roman" w:cs="Times New Roman"/>
                <w:sz w:val="22"/>
              </w:rPr>
            </w:pPr>
            <w:r>
              <w:rPr>
                <w:rFonts w:ascii="Times New Roman" w:hAnsi="Times New Roman" w:cs="Times New Roman"/>
                <w:sz w:val="22"/>
              </w:rPr>
              <w:t>5.2</w:t>
            </w:r>
          </w:p>
        </w:tc>
        <w:tc>
          <w:tcPr>
            <w:tcW w:w="1096" w:type="dxa"/>
          </w:tcPr>
          <w:p w14:paraId="06EC7B2B" w14:textId="3EB85E4E" w:rsidR="002624E7" w:rsidRPr="00466988" w:rsidRDefault="002624E7" w:rsidP="002624E7">
            <w:pPr>
              <w:pStyle w:val="BodyText1"/>
              <w:spacing w:line="276" w:lineRule="auto"/>
              <w:jc w:val="center"/>
              <w:rPr>
                <w:rFonts w:ascii="Times New Roman" w:hAnsi="Times New Roman" w:cs="Times New Roman"/>
                <w:sz w:val="22"/>
              </w:rPr>
            </w:pPr>
            <w:r>
              <w:rPr>
                <w:rFonts w:ascii="Times New Roman" w:hAnsi="Times New Roman" w:cs="Times New Roman"/>
                <w:sz w:val="22"/>
              </w:rPr>
              <w:t>1.8</w:t>
            </w:r>
          </w:p>
        </w:tc>
        <w:tc>
          <w:tcPr>
            <w:tcW w:w="2170" w:type="dxa"/>
          </w:tcPr>
          <w:p w14:paraId="393DE255" w14:textId="3C991998" w:rsidR="002624E7" w:rsidRPr="00466988" w:rsidRDefault="002624E7" w:rsidP="002624E7">
            <w:pPr>
              <w:pStyle w:val="BodyText1"/>
              <w:spacing w:line="276" w:lineRule="auto"/>
              <w:jc w:val="center"/>
              <w:rPr>
                <w:rFonts w:ascii="Times New Roman" w:hAnsi="Times New Roman" w:cs="Times New Roman"/>
                <w:sz w:val="22"/>
              </w:rPr>
            </w:pPr>
            <w:r w:rsidRPr="00BC3017">
              <w:rPr>
                <w:rFonts w:ascii="Times New Roman" w:hAnsi="Times New Roman" w:cs="Times New Roman"/>
                <w:sz w:val="22"/>
              </w:rPr>
              <w:t>&lt; 0.0001</w:t>
            </w:r>
          </w:p>
        </w:tc>
      </w:tr>
      <w:tr w:rsidR="002624E7" w:rsidRPr="006B7FA6" w14:paraId="77BFCB72" w14:textId="77777777" w:rsidTr="008F3824">
        <w:tc>
          <w:tcPr>
            <w:tcW w:w="2726" w:type="dxa"/>
          </w:tcPr>
          <w:p w14:paraId="4F1E0B7A" w14:textId="1778193A" w:rsidR="002624E7" w:rsidRDefault="002624E7" w:rsidP="002624E7">
            <w:pPr>
              <w:pStyle w:val="BodyText1"/>
              <w:spacing w:line="276" w:lineRule="auto"/>
              <w:jc w:val="both"/>
              <w:rPr>
                <w:rFonts w:ascii="Times New Roman" w:hAnsi="Times New Roman" w:cs="Times New Roman"/>
                <w:sz w:val="22"/>
              </w:rPr>
            </w:pPr>
            <w:r>
              <w:rPr>
                <w:rFonts w:ascii="Times New Roman" w:hAnsi="Times New Roman" w:cs="Times New Roman"/>
                <w:sz w:val="22"/>
              </w:rPr>
              <w:t>miR-940</w:t>
            </w:r>
          </w:p>
        </w:tc>
        <w:tc>
          <w:tcPr>
            <w:tcW w:w="2377" w:type="dxa"/>
          </w:tcPr>
          <w:p w14:paraId="4EAB27D4" w14:textId="424EA056" w:rsidR="002624E7" w:rsidRPr="00466988" w:rsidRDefault="002624E7" w:rsidP="002624E7">
            <w:pPr>
              <w:pStyle w:val="BodyText1"/>
              <w:spacing w:line="276" w:lineRule="auto"/>
              <w:jc w:val="center"/>
              <w:rPr>
                <w:rFonts w:ascii="Times New Roman" w:hAnsi="Times New Roman" w:cs="Times New Roman"/>
                <w:sz w:val="22"/>
              </w:rPr>
            </w:pPr>
            <w:r>
              <w:rPr>
                <w:rFonts w:ascii="Times New Roman" w:hAnsi="Times New Roman" w:cs="Times New Roman"/>
                <w:sz w:val="22"/>
              </w:rPr>
              <w:t>7.5</w:t>
            </w:r>
          </w:p>
        </w:tc>
        <w:tc>
          <w:tcPr>
            <w:tcW w:w="1096" w:type="dxa"/>
          </w:tcPr>
          <w:p w14:paraId="1723C80F" w14:textId="102414F9" w:rsidR="002624E7" w:rsidRPr="00466988" w:rsidRDefault="002624E7" w:rsidP="002624E7">
            <w:pPr>
              <w:pStyle w:val="BodyText1"/>
              <w:spacing w:line="276" w:lineRule="auto"/>
              <w:jc w:val="center"/>
              <w:rPr>
                <w:rFonts w:ascii="Times New Roman" w:hAnsi="Times New Roman" w:cs="Times New Roman"/>
                <w:sz w:val="22"/>
              </w:rPr>
            </w:pPr>
            <w:r>
              <w:rPr>
                <w:rFonts w:ascii="Times New Roman" w:hAnsi="Times New Roman" w:cs="Times New Roman"/>
                <w:sz w:val="22"/>
              </w:rPr>
              <w:t>-1.7</w:t>
            </w:r>
          </w:p>
        </w:tc>
        <w:tc>
          <w:tcPr>
            <w:tcW w:w="2170" w:type="dxa"/>
          </w:tcPr>
          <w:p w14:paraId="52BEAB55" w14:textId="5877C15F" w:rsidR="002624E7" w:rsidRPr="00466988" w:rsidRDefault="002624E7" w:rsidP="002624E7">
            <w:pPr>
              <w:pStyle w:val="BodyText1"/>
              <w:spacing w:line="276" w:lineRule="auto"/>
              <w:jc w:val="center"/>
              <w:rPr>
                <w:rFonts w:ascii="Times New Roman" w:hAnsi="Times New Roman" w:cs="Times New Roman"/>
                <w:sz w:val="22"/>
              </w:rPr>
            </w:pPr>
            <w:r w:rsidRPr="00BC3017">
              <w:rPr>
                <w:rFonts w:ascii="Times New Roman" w:hAnsi="Times New Roman" w:cs="Times New Roman"/>
                <w:sz w:val="22"/>
              </w:rPr>
              <w:t>&lt; 0.0001</w:t>
            </w:r>
          </w:p>
        </w:tc>
      </w:tr>
      <w:tr w:rsidR="002624E7" w:rsidRPr="006B7FA6" w14:paraId="3B517734" w14:textId="77777777" w:rsidTr="008F3824">
        <w:trPr>
          <w:cnfStyle w:val="010000000000" w:firstRow="0" w:lastRow="1" w:firstColumn="0" w:lastColumn="0" w:oddVBand="0" w:evenVBand="0" w:oddHBand="0" w:evenHBand="0" w:firstRowFirstColumn="0" w:firstRowLastColumn="0" w:lastRowFirstColumn="0" w:lastRowLastColumn="0"/>
        </w:trPr>
        <w:tc>
          <w:tcPr>
            <w:tcW w:w="2726" w:type="dxa"/>
            <w:tcBorders>
              <w:top w:val="none" w:sz="0" w:space="0" w:color="auto"/>
              <w:bottom w:val="none" w:sz="0" w:space="0" w:color="auto"/>
            </w:tcBorders>
          </w:tcPr>
          <w:p w14:paraId="4237DAF5" w14:textId="7359AEAF" w:rsidR="002624E7" w:rsidRPr="002624E7" w:rsidRDefault="002624E7" w:rsidP="002624E7">
            <w:pPr>
              <w:pStyle w:val="BodyText1"/>
              <w:spacing w:line="276" w:lineRule="auto"/>
              <w:jc w:val="both"/>
              <w:rPr>
                <w:rFonts w:ascii="Times New Roman" w:hAnsi="Times New Roman" w:cs="Times New Roman"/>
                <w:b w:val="0"/>
                <w:bCs w:val="0"/>
                <w:sz w:val="22"/>
              </w:rPr>
            </w:pPr>
            <w:r w:rsidRPr="008F3824">
              <w:rPr>
                <w:rFonts w:ascii="Times New Roman" w:hAnsi="Times New Roman" w:cs="Times New Roman"/>
                <w:b w:val="0"/>
                <w:bCs w:val="0"/>
                <w:sz w:val="22"/>
              </w:rPr>
              <w:t>miR-485-3p</w:t>
            </w:r>
          </w:p>
        </w:tc>
        <w:tc>
          <w:tcPr>
            <w:tcW w:w="2377" w:type="dxa"/>
            <w:tcBorders>
              <w:top w:val="none" w:sz="0" w:space="0" w:color="auto"/>
              <w:bottom w:val="none" w:sz="0" w:space="0" w:color="auto"/>
            </w:tcBorders>
          </w:tcPr>
          <w:p w14:paraId="73D7C7C9" w14:textId="6AD93E06" w:rsidR="002624E7" w:rsidRPr="002624E7" w:rsidRDefault="002624E7" w:rsidP="002624E7">
            <w:pPr>
              <w:pStyle w:val="BodyText1"/>
              <w:spacing w:line="276" w:lineRule="auto"/>
              <w:jc w:val="center"/>
              <w:rPr>
                <w:rFonts w:ascii="Times New Roman" w:hAnsi="Times New Roman" w:cs="Times New Roman"/>
                <w:b w:val="0"/>
                <w:bCs w:val="0"/>
                <w:sz w:val="22"/>
              </w:rPr>
            </w:pPr>
            <w:r w:rsidRPr="002624E7">
              <w:rPr>
                <w:rFonts w:ascii="Times New Roman" w:hAnsi="Times New Roman" w:cs="Times New Roman"/>
                <w:b w:val="0"/>
                <w:bCs w:val="0"/>
                <w:sz w:val="22"/>
              </w:rPr>
              <w:t>4.6</w:t>
            </w:r>
          </w:p>
        </w:tc>
        <w:tc>
          <w:tcPr>
            <w:tcW w:w="1096" w:type="dxa"/>
            <w:tcBorders>
              <w:top w:val="none" w:sz="0" w:space="0" w:color="auto"/>
              <w:bottom w:val="none" w:sz="0" w:space="0" w:color="auto"/>
            </w:tcBorders>
          </w:tcPr>
          <w:p w14:paraId="3818619B" w14:textId="089C39A6" w:rsidR="002624E7" w:rsidRPr="002624E7" w:rsidRDefault="002624E7" w:rsidP="002624E7">
            <w:pPr>
              <w:pStyle w:val="BodyText1"/>
              <w:spacing w:line="276" w:lineRule="auto"/>
              <w:jc w:val="center"/>
              <w:rPr>
                <w:rFonts w:ascii="Times New Roman" w:hAnsi="Times New Roman" w:cs="Times New Roman"/>
                <w:b w:val="0"/>
                <w:bCs w:val="0"/>
                <w:sz w:val="22"/>
              </w:rPr>
            </w:pPr>
            <w:r w:rsidRPr="002624E7">
              <w:rPr>
                <w:rFonts w:ascii="Times New Roman" w:hAnsi="Times New Roman" w:cs="Times New Roman"/>
                <w:b w:val="0"/>
                <w:bCs w:val="0"/>
                <w:sz w:val="22"/>
              </w:rPr>
              <w:t>-1.5</w:t>
            </w:r>
          </w:p>
        </w:tc>
        <w:tc>
          <w:tcPr>
            <w:tcW w:w="2170" w:type="dxa"/>
            <w:tcBorders>
              <w:top w:val="none" w:sz="0" w:space="0" w:color="auto"/>
              <w:bottom w:val="none" w:sz="0" w:space="0" w:color="auto"/>
            </w:tcBorders>
          </w:tcPr>
          <w:p w14:paraId="1A654D41" w14:textId="05424710" w:rsidR="002624E7" w:rsidRPr="002624E7" w:rsidRDefault="002624E7" w:rsidP="002624E7">
            <w:pPr>
              <w:pStyle w:val="BodyText1"/>
              <w:spacing w:line="276" w:lineRule="auto"/>
              <w:jc w:val="center"/>
              <w:rPr>
                <w:rFonts w:ascii="Times New Roman" w:hAnsi="Times New Roman" w:cs="Times New Roman"/>
                <w:b w:val="0"/>
                <w:bCs w:val="0"/>
                <w:sz w:val="22"/>
              </w:rPr>
            </w:pPr>
            <w:r w:rsidRPr="002624E7">
              <w:rPr>
                <w:rFonts w:ascii="Times New Roman" w:hAnsi="Times New Roman" w:cs="Times New Roman"/>
                <w:b w:val="0"/>
                <w:bCs w:val="0"/>
                <w:sz w:val="22"/>
              </w:rPr>
              <w:t>&lt; 0.0001</w:t>
            </w:r>
          </w:p>
        </w:tc>
      </w:tr>
    </w:tbl>
    <w:p w14:paraId="2E00DEB8" w14:textId="25ED992F" w:rsidR="00DE20A4" w:rsidRDefault="004D7B97" w:rsidP="004D7B97">
      <w:pPr>
        <w:pStyle w:val="Caption"/>
      </w:pPr>
      <w:bookmarkStart w:id="191" w:name="_Ref57141136"/>
      <w:bookmarkStart w:id="192" w:name="_Toc60597180"/>
      <w:r>
        <w:t xml:space="preserve">Table </w:t>
      </w:r>
      <w:r>
        <w:fldChar w:fldCharType="begin"/>
      </w:r>
      <w:r>
        <w:instrText xml:space="preserve"> STYLEREF 1 \s </w:instrText>
      </w:r>
      <w:r>
        <w:fldChar w:fldCharType="separate"/>
      </w:r>
      <w:r w:rsidR="00885DE4">
        <w:rPr>
          <w:noProof/>
        </w:rPr>
        <w:t>3</w:t>
      </w:r>
      <w:r>
        <w:fldChar w:fldCharType="end"/>
      </w:r>
      <w:r>
        <w:noBreakHyphen/>
      </w:r>
      <w:r>
        <w:fldChar w:fldCharType="begin"/>
      </w:r>
      <w:r>
        <w:instrText xml:space="preserve"> SEQ Table \* ARABIC \s 1 </w:instrText>
      </w:r>
      <w:r>
        <w:fldChar w:fldCharType="separate"/>
      </w:r>
      <w:r w:rsidR="00885DE4">
        <w:rPr>
          <w:noProof/>
        </w:rPr>
        <w:t>3</w:t>
      </w:r>
      <w:r>
        <w:fldChar w:fldCharType="end"/>
      </w:r>
      <w:bookmarkEnd w:id="191"/>
      <w:r>
        <w:t xml:space="preserve"> miRNAs significantly differentially expressed in RNA from plasma comparing IPAH vs HV (absolute log fold-change ≥ 1.5 &amp; adjust p-value ≤ 0.05).</w:t>
      </w:r>
      <w:bookmarkEnd w:id="192"/>
      <w:r>
        <w:t xml:space="preserve"> </w:t>
      </w:r>
    </w:p>
    <w:p w14:paraId="337CFF6F" w14:textId="4DF1DE0E" w:rsidR="00A80649" w:rsidRDefault="00046F65" w:rsidP="00DF4843">
      <w:pPr>
        <w:pStyle w:val="Body"/>
      </w:pPr>
      <w:r>
        <w:t>Each miRNA</w:t>
      </w:r>
      <w:r w:rsidR="00D426DF">
        <w:t>, except the previously discussed miR-630,</w:t>
      </w:r>
      <w:r>
        <w:t xml:space="preserve"> was investigated in PubMed for associations with PAH using the search string</w:t>
      </w:r>
      <w:r w:rsidR="00180DCB">
        <w:t>, the miRNA of interest replacing the parameter place holder &lt;</w:t>
      </w:r>
      <w:proofErr w:type="spellStart"/>
      <w:r w:rsidR="00180DCB">
        <w:t>mirna_of_interest</w:t>
      </w:r>
      <w:proofErr w:type="spellEnd"/>
      <w:r w:rsidR="00180DCB">
        <w:t>&gt;</w:t>
      </w:r>
      <w:r w:rsidR="00864CF4">
        <w:t xml:space="preserve"> </w:t>
      </w:r>
      <w:r w:rsidR="00625727">
        <w:fldChar w:fldCharType="begin"/>
      </w:r>
      <w:r w:rsidR="00625727">
        <w:instrText xml:space="preserve"> REF _Ref57142337 \h </w:instrText>
      </w:r>
      <w:r w:rsidR="00625727">
        <w:fldChar w:fldCharType="separate"/>
      </w:r>
      <w:r w:rsidR="00885DE4">
        <w:t xml:space="preserve">Figure </w:t>
      </w:r>
      <w:r w:rsidR="00885DE4">
        <w:rPr>
          <w:noProof/>
        </w:rPr>
        <w:t>3</w:t>
      </w:r>
      <w:r w:rsidR="00885DE4">
        <w:noBreakHyphen/>
      </w:r>
      <w:r w:rsidR="00885DE4">
        <w:rPr>
          <w:noProof/>
        </w:rPr>
        <w:t>5</w:t>
      </w:r>
      <w:r w:rsidR="00625727">
        <w:fldChar w:fldCharType="end"/>
      </w:r>
      <w:r w:rsidR="00180DCB">
        <w:t>.</w:t>
      </w:r>
      <w:r w:rsidR="00F61B13">
        <w:t xml:space="preserve"> However, none of the miRNAs had any previous association with PAH, with all but miR-642a-3p returning 0 results. MiR-642a-3p returned 257 results, however, no abstracts were found t</w:t>
      </w:r>
      <w:r w:rsidR="00A13AA0">
        <w:t xml:space="preserve">o </w:t>
      </w:r>
      <w:r w:rsidR="00F21F84">
        <w:t>mention</w:t>
      </w:r>
      <w:r w:rsidR="00A13AA0">
        <w:t xml:space="preserve"> </w:t>
      </w:r>
      <w:r w:rsidR="00F61B13">
        <w:t>miR-642a-3p upon screening the first 30 abstracts as ordered by the PubMed “Best Match” algorithm.</w:t>
      </w:r>
      <w:r w:rsidR="00717A72">
        <w:t xml:space="preserve"> Concluding that this is likely a quirk of the PubMed search and there has been no relevant publications in </w:t>
      </w:r>
      <w:proofErr w:type="gramStart"/>
      <w:r w:rsidR="00717A72">
        <w:t xml:space="preserve">PAH </w:t>
      </w:r>
      <w:r w:rsidR="00A2038D">
        <w:t xml:space="preserve"> </w:t>
      </w:r>
      <w:r w:rsidR="00717A72">
        <w:t>for</w:t>
      </w:r>
      <w:proofErr w:type="gramEnd"/>
      <w:r w:rsidR="00717A72">
        <w:t xml:space="preserve"> miR-642a-3p</w:t>
      </w:r>
      <w:r w:rsidR="005F3309">
        <w:t>.</w:t>
      </w:r>
    </w:p>
    <w:p w14:paraId="01F73E1F" w14:textId="77777777" w:rsidR="00A80649" w:rsidRDefault="00A80649">
      <w:pPr>
        <w:rPr>
          <w:rFonts w:ascii="TUOS Blake" w:eastAsia="TUOS Blake" w:hAnsi="TUOS Blake" w:cs="TUOS Blake"/>
          <w:color w:val="000000"/>
          <w:bdr w:val="nil"/>
        </w:rPr>
      </w:pPr>
      <w:r>
        <w:br w:type="page"/>
      </w:r>
    </w:p>
    <w:p w14:paraId="49B9786D" w14:textId="77777777" w:rsidR="00625727" w:rsidRDefault="00864CF4" w:rsidP="00864CF4">
      <w:pPr>
        <w:pStyle w:val="Caption"/>
      </w:pPr>
      <w:r>
        <w:rPr>
          <w:noProof/>
        </w:rPr>
        <w:lastRenderedPageBreak/>
        <w:drawing>
          <wp:inline distT="0" distB="0" distL="0" distR="0" wp14:anchorId="51A07D9F" wp14:editId="5D1D575F">
            <wp:extent cx="5764530" cy="722630"/>
            <wp:effectExtent l="0" t="0" r="1270" b="127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23"/>
                    <a:stretch>
                      <a:fillRect/>
                    </a:stretch>
                  </pic:blipFill>
                  <pic:spPr>
                    <a:xfrm>
                      <a:off x="0" y="0"/>
                      <a:ext cx="5764530" cy="722630"/>
                    </a:xfrm>
                    <a:prstGeom prst="rect">
                      <a:avLst/>
                    </a:prstGeom>
                  </pic:spPr>
                </pic:pic>
              </a:graphicData>
            </a:graphic>
          </wp:inline>
        </w:drawing>
      </w:r>
    </w:p>
    <w:p w14:paraId="2A70793A" w14:textId="69A20544" w:rsidR="00864CF4" w:rsidRDefault="00864CF4" w:rsidP="00864CF4">
      <w:pPr>
        <w:pStyle w:val="Caption"/>
      </w:pPr>
      <w:bookmarkStart w:id="193" w:name="_Ref57142337"/>
      <w:bookmarkStart w:id="194" w:name="_Toc60597207"/>
      <w:r>
        <w:t xml:space="preserve">Figure </w:t>
      </w:r>
      <w:r>
        <w:fldChar w:fldCharType="begin"/>
      </w:r>
      <w:r>
        <w:instrText xml:space="preserve"> STYLEREF 1 \s </w:instrText>
      </w:r>
      <w:r>
        <w:fldChar w:fldCharType="separate"/>
      </w:r>
      <w:r w:rsidR="00885DE4">
        <w:rPr>
          <w:noProof/>
        </w:rPr>
        <w:t>3</w:t>
      </w:r>
      <w:r>
        <w:fldChar w:fldCharType="end"/>
      </w:r>
      <w:r>
        <w:noBreakHyphen/>
      </w:r>
      <w:r>
        <w:fldChar w:fldCharType="begin"/>
      </w:r>
      <w:r>
        <w:instrText xml:space="preserve"> SEQ Figure \* ARABIC \s 1 </w:instrText>
      </w:r>
      <w:r>
        <w:fldChar w:fldCharType="separate"/>
      </w:r>
      <w:r w:rsidR="00885DE4">
        <w:rPr>
          <w:noProof/>
        </w:rPr>
        <w:t>5</w:t>
      </w:r>
      <w:r>
        <w:fldChar w:fldCharType="end"/>
      </w:r>
      <w:bookmarkEnd w:id="193"/>
      <w:r w:rsidR="00D47D3E">
        <w:t xml:space="preserve"> Search string template used to identify specific miRNA related PAH publications.</w:t>
      </w:r>
      <w:bookmarkEnd w:id="194"/>
    </w:p>
    <w:p w14:paraId="7CA3B07C" w14:textId="09E39E37" w:rsidR="00C7412D" w:rsidRDefault="00C7412D" w:rsidP="00DF4843">
      <w:pPr>
        <w:pStyle w:val="Body"/>
      </w:pPr>
    </w:p>
    <w:p w14:paraId="707F6FF4" w14:textId="10877EEF" w:rsidR="00484885" w:rsidRPr="00484885" w:rsidRDefault="00435108" w:rsidP="00484885">
      <w:pPr>
        <w:pStyle w:val="Heading3"/>
        <w:numPr>
          <w:ilvl w:val="1"/>
          <w:numId w:val="7"/>
        </w:numPr>
        <w:spacing w:before="80" w:after="80"/>
      </w:pPr>
      <w:bookmarkStart w:id="195" w:name="_Toc60773926"/>
      <w:r>
        <w:t xml:space="preserve">Platelet miRNA </w:t>
      </w:r>
      <w:r w:rsidR="00484885">
        <w:t>C</w:t>
      </w:r>
      <w:r>
        <w:t xml:space="preserve">ontamination in </w:t>
      </w:r>
      <w:r w:rsidR="00484885">
        <w:t>P</w:t>
      </w:r>
      <w:r>
        <w:t>lasma</w:t>
      </w:r>
      <w:bookmarkEnd w:id="195"/>
    </w:p>
    <w:p w14:paraId="39D3F4F8" w14:textId="68B40537" w:rsidR="00CA6B5D" w:rsidRDefault="001D00DA" w:rsidP="00CA6B5D">
      <w:pPr>
        <w:pStyle w:val="Body"/>
      </w:pPr>
      <w:r>
        <w:t xml:space="preserve">Contamination </w:t>
      </w:r>
      <w:r w:rsidR="00307791">
        <w:t>with</w:t>
      </w:r>
      <w:r>
        <w:t xml:space="preserve"> platelet derived miRNAs is a concern when investigating plasma miRNAs.</w:t>
      </w:r>
      <w:r w:rsidRPr="001D00DA">
        <w:t xml:space="preserve"> </w:t>
      </w:r>
      <w:r>
        <w:t xml:space="preserve">In a case-control study </w:t>
      </w:r>
      <w:r w:rsidR="00CE5AA8">
        <w:t>Mitchel et al., identified</w:t>
      </w:r>
      <w:r w:rsidR="007110F4">
        <w:t xml:space="preserve"> </w:t>
      </w:r>
      <w:r w:rsidR="00CE5AA8">
        <w:t xml:space="preserve">significant correlation </w:t>
      </w:r>
      <w:r w:rsidR="00BA79E1">
        <w:t xml:space="preserve">of miRNA plasma expression </w:t>
      </w:r>
      <w:r w:rsidR="00CE5AA8">
        <w:t>to platelet</w:t>
      </w:r>
      <w:r w:rsidR="00D21628">
        <w:t xml:space="preserve"> count</w:t>
      </w:r>
      <w:r w:rsidR="00BA79E1">
        <w:t xml:space="preserve"> in archival plasma</w:t>
      </w:r>
      <w:r w:rsidR="007110F4">
        <w:t xml:space="preserve"> </w:t>
      </w:r>
      <w:r w:rsidR="004E19A5">
        <w:rPr>
          <w:rFonts w:eastAsiaTheme="minorEastAsia"/>
        </w:rPr>
        <w:fldChar w:fldCharType="begin"/>
      </w:r>
      <w:r w:rsidR="004E19A5">
        <w:rPr>
          <w:rFonts w:eastAsiaTheme="minorEastAsia"/>
        </w:rPr>
        <w:instrText xml:space="preserve"> ADDIN PAPERS2_CITATIONS &lt;citation&gt;&lt;priority&gt;117&lt;/priority&gt;&lt;uuid&gt;8330E704-BEEA-4CD5-9753-DCFC008C2C36&lt;/uuid&gt;&lt;publications&gt;&lt;publication&gt;&lt;subtype&gt;400&lt;/subtype&gt;&lt;title&gt;Platelets confound the measurement of extracellular miRNA in archived plasma&lt;/title&gt;&lt;url&gt;http://www.nature.com/articles/srep32651&lt;/url&gt;&lt;volume&gt;6&lt;/volume&gt;&lt;publication_date&gt;99201609131200000000222000&lt;/publication_date&gt;&lt;uuid&gt;E8B8B3DD-65EC-4692-87A0-F8F67E8BB347&lt;/uuid&gt;&lt;type&gt;400&lt;/type&gt;&lt;number&gt;1&lt;/number&gt;&lt;doi&gt;10.1038/srep32651&lt;/doi&gt;&lt;startpage&gt;2202&lt;/startpage&gt;&lt;bundle&gt;&lt;publication&gt;&lt;title&gt;Scientific Reports&lt;/title&gt;&lt;uuid&gt;809338AD-D3BD-4569-B598-17E86AA4A45B&lt;/uuid&gt;&lt;subtype&gt;-100&lt;/subtype&gt;&lt;publisher&gt;Nature Publishing Group&lt;/publisher&gt;&lt;type&gt;-100&lt;/type&gt;&lt;url&gt;http://www.nature.com&lt;/url&gt;&lt;/publication&gt;&lt;/bundle&gt;&lt;authors&gt;&lt;author&gt;&lt;lastName&gt;Mitchell&lt;/lastName&gt;&lt;firstName&gt;Adam&lt;/firstName&gt;&lt;middleNames&gt;J&lt;/middleNames&gt;&lt;/author&gt;&lt;author&gt;&lt;lastName&gt;Gray&lt;/lastName&gt;&lt;firstName&gt;Warren&lt;/firstName&gt;&lt;middleNames&gt;D&lt;/middleNames&gt;&lt;/author&gt;&lt;author&gt;&lt;lastName&gt;Hayek&lt;/lastName&gt;&lt;firstName&gt;Salim&lt;/firstName&gt;&lt;middleNames&gt;S&lt;/middleNames&gt;&lt;/author&gt;&lt;author&gt;&lt;lastName&gt;Ko&lt;/lastName&gt;&lt;firstName&gt;Yi-An&lt;/firstName&gt;&lt;/author&gt;&lt;author&gt;&lt;lastName&gt;Thomas&lt;/lastName&gt;&lt;firstName&gt;Sheena&lt;/firstName&gt;&lt;/author&gt;&lt;author&gt;&lt;lastName&gt;Rooney&lt;/lastName&gt;&lt;firstName&gt;Kim&lt;/firstName&gt;&lt;/author&gt;&lt;author&gt;&lt;lastName&gt;Awad&lt;/lastName&gt;&lt;firstName&gt;Mosaab&lt;/firstName&gt;&lt;/author&gt;&lt;author&gt;&lt;lastName&gt;Roback&lt;/lastName&gt;&lt;firstName&gt;John&lt;/firstName&gt;&lt;middleNames&gt;D&lt;/middleNames&gt;&lt;/author&gt;&lt;author&gt;&lt;lastName&gt;Quyyumi&lt;/lastName&gt;&lt;firstName&gt;Arshed&lt;/firstName&gt;&lt;/author&gt;&lt;author&gt;&lt;lastName&gt;Searles&lt;/lastName&gt;&lt;firstName&gt;Charles&lt;/firstName&gt;&lt;middleNames&gt;D&lt;/middleNames&gt;&lt;/author&gt;&lt;/authors&gt;&lt;/publication&gt;&lt;/publications&gt;&lt;cites&gt;&lt;/cites&gt;&lt;/citation&gt;</w:instrText>
      </w:r>
      <w:r w:rsidR="004E19A5">
        <w:rPr>
          <w:rFonts w:eastAsiaTheme="minorEastAsia"/>
        </w:rPr>
        <w:fldChar w:fldCharType="separate"/>
      </w:r>
      <w:r w:rsidR="004E19A5">
        <w:rPr>
          <w:rFonts w:eastAsiaTheme="minorEastAsia"/>
        </w:rPr>
        <w:t>(Mitchell et al., 2016)</w:t>
      </w:r>
      <w:r w:rsidR="004E19A5">
        <w:rPr>
          <w:rFonts w:eastAsiaTheme="minorEastAsia"/>
        </w:rPr>
        <w:fldChar w:fldCharType="end"/>
      </w:r>
      <w:r w:rsidR="00D21628">
        <w:t xml:space="preserve">. </w:t>
      </w:r>
      <w:r w:rsidR="00CA6B5D">
        <w:t xml:space="preserve">In a qPCR array identifying miRNAs associated with peripheral artery disease the 5 most differentially expressed miRNAs were investigated for their relationship to platelets. </w:t>
      </w:r>
      <w:r w:rsidR="008B6C07">
        <w:t>H</w:t>
      </w:r>
      <w:r w:rsidR="00CA6B5D">
        <w:t>igh correlation amongst themselves was seen, suggestive of a common cellular origin</w:t>
      </w:r>
      <w:r w:rsidR="008B6C07">
        <w:t xml:space="preserve"> and</w:t>
      </w:r>
      <w:r w:rsidR="00CA6B5D">
        <w:t xml:space="preserve"> all 5 had highly significant correlation to platelet count.</w:t>
      </w:r>
      <w:r w:rsidR="003C754A">
        <w:t xml:space="preserve"> </w:t>
      </w:r>
      <w:r w:rsidR="00823429">
        <w:t>These findings t</w:t>
      </w:r>
      <w:r w:rsidR="003C754A">
        <w:t xml:space="preserve">ogether this </w:t>
      </w:r>
      <w:r w:rsidR="00823429">
        <w:t>suggest</w:t>
      </w:r>
      <w:r w:rsidR="003C754A">
        <w:t xml:space="preserve"> that </w:t>
      </w:r>
      <w:r w:rsidR="00823429">
        <w:t xml:space="preserve">the miRNAs identified </w:t>
      </w:r>
      <w:r w:rsidR="003C754A">
        <w:t>were related to platelet contamination.</w:t>
      </w:r>
    </w:p>
    <w:p w14:paraId="58172517" w14:textId="77777777" w:rsidR="00CA6B5D" w:rsidRDefault="00CA6B5D" w:rsidP="00CA6B5D">
      <w:pPr>
        <w:pStyle w:val="Body"/>
      </w:pPr>
    </w:p>
    <w:p w14:paraId="2F050508" w14:textId="665BB139" w:rsidR="00722CA8" w:rsidRDefault="00D86AC5" w:rsidP="00CA6B5D">
      <w:pPr>
        <w:pStyle w:val="Body"/>
      </w:pPr>
      <w:r>
        <w:t>Whilst correlations with platelet count could not be made</w:t>
      </w:r>
      <w:r w:rsidR="00823429">
        <w:t xml:space="preserve"> in our samples</w:t>
      </w:r>
      <w:r>
        <w:t xml:space="preserve">, as platelet counts were not recorded, the 5 miRNAs in Mitchel et al., can be looked at. </w:t>
      </w:r>
      <w:r w:rsidR="00823429">
        <w:t>N</w:t>
      </w:r>
      <w:r>
        <w:t xml:space="preserve">one of the 5 miRNAs were present in the expression set following filtering. However, </w:t>
      </w:r>
      <w:r w:rsidR="00823429">
        <w:t>in</w:t>
      </w:r>
      <w:r>
        <w:t xml:space="preserve"> </w:t>
      </w:r>
      <w:r w:rsidR="00B53282">
        <w:t>the unfiltered results</w:t>
      </w:r>
      <w:r w:rsidR="00CA6B5D">
        <w:t xml:space="preserve">, </w:t>
      </w:r>
      <w:r w:rsidR="00B53282">
        <w:t>the</w:t>
      </w:r>
      <w:r>
        <w:t xml:space="preserve"> low </w:t>
      </w:r>
      <w:r w:rsidR="00510CFE">
        <w:t xml:space="preserve">expression </w:t>
      </w:r>
      <w:r w:rsidR="00823429">
        <w:t>of</w:t>
      </w:r>
      <w:r w:rsidR="00510CFE">
        <w:t xml:space="preserve"> the </w:t>
      </w:r>
      <w:r w:rsidR="00B53282">
        <w:t xml:space="preserve">5 miRNAs </w:t>
      </w:r>
      <w:r w:rsidR="00510CFE">
        <w:t xml:space="preserve">can be seen, </w:t>
      </w:r>
      <w:r w:rsidR="00B53282">
        <w:t>the two most differentially expressed miRNAs miR-630 and miR-320c</w:t>
      </w:r>
      <w:r w:rsidR="00510CFE">
        <w:t xml:space="preserve"> are also shown to provide context </w:t>
      </w:r>
      <w:r w:rsidR="00510CFE">
        <w:fldChar w:fldCharType="begin"/>
      </w:r>
      <w:r w:rsidR="00510CFE">
        <w:instrText xml:space="preserve"> REF _Ref59386742 \h </w:instrText>
      </w:r>
      <w:r w:rsidR="00510CFE">
        <w:fldChar w:fldCharType="separate"/>
      </w:r>
      <w:r w:rsidR="00885DE4">
        <w:t xml:space="preserve">Figure </w:t>
      </w:r>
      <w:r w:rsidR="00885DE4">
        <w:rPr>
          <w:noProof/>
        </w:rPr>
        <w:t>3</w:t>
      </w:r>
      <w:r w:rsidR="00885DE4">
        <w:noBreakHyphen/>
      </w:r>
      <w:r w:rsidR="00885DE4">
        <w:rPr>
          <w:noProof/>
        </w:rPr>
        <w:t>6</w:t>
      </w:r>
      <w:r w:rsidR="00510CFE">
        <w:fldChar w:fldCharType="end"/>
      </w:r>
      <w:r w:rsidR="00510CFE">
        <w:t xml:space="preserve">. </w:t>
      </w:r>
      <w:r w:rsidR="003C754A">
        <w:t xml:space="preserve">This is not conclusive evidence of a lack of platelet derived miRNA </w:t>
      </w:r>
      <w:proofErr w:type="gramStart"/>
      <w:r w:rsidR="003C754A">
        <w:t>contamination</w:t>
      </w:r>
      <w:r w:rsidR="00B07500">
        <w:t>,</w:t>
      </w:r>
      <w:proofErr w:type="gramEnd"/>
      <w:r w:rsidR="00B07500">
        <w:t xml:space="preserve"> however, </w:t>
      </w:r>
      <w:r w:rsidR="003C754A">
        <w:t>it show</w:t>
      </w:r>
      <w:r w:rsidR="00133325">
        <w:t>s</w:t>
      </w:r>
      <w:r w:rsidR="003C754A">
        <w:t xml:space="preserve"> that the 5 platelet correlate</w:t>
      </w:r>
      <w:r w:rsidR="00277860">
        <w:t>d</w:t>
      </w:r>
      <w:r w:rsidR="003C754A">
        <w:t xml:space="preserve"> miRNAs in peripheral artery disease were</w:t>
      </w:r>
      <w:r w:rsidR="00B07500">
        <w:t xml:space="preserve"> not found to be expressed in the plasma miRNA microarrays</w:t>
      </w:r>
      <w:r w:rsidR="00133325">
        <w:t xml:space="preserve"> in this study</w:t>
      </w:r>
      <w:r w:rsidR="00B07500">
        <w:t>.</w:t>
      </w:r>
    </w:p>
    <w:p w14:paraId="1DD00E79" w14:textId="20AB6041" w:rsidR="003C754A" w:rsidRDefault="003C754A" w:rsidP="00CA6B5D">
      <w:pPr>
        <w:pStyle w:val="Body"/>
      </w:pPr>
      <w:r>
        <w:rPr>
          <w:noProof/>
        </w:rPr>
        <w:lastRenderedPageBreak/>
        <w:drawing>
          <wp:inline distT="0" distB="0" distL="0" distR="0" wp14:anchorId="699866E4" wp14:editId="0F34F40F">
            <wp:extent cx="5764530" cy="3202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stretch>
                      <a:fillRect/>
                    </a:stretch>
                  </pic:blipFill>
                  <pic:spPr>
                    <a:xfrm>
                      <a:off x="0" y="0"/>
                      <a:ext cx="5764530" cy="3202305"/>
                    </a:xfrm>
                    <a:prstGeom prst="rect">
                      <a:avLst/>
                    </a:prstGeom>
                  </pic:spPr>
                </pic:pic>
              </a:graphicData>
            </a:graphic>
          </wp:inline>
        </w:drawing>
      </w:r>
    </w:p>
    <w:p w14:paraId="77DA6820" w14:textId="46A98114" w:rsidR="00D86E53" w:rsidRDefault="003C754A" w:rsidP="003C754A">
      <w:pPr>
        <w:pStyle w:val="Caption"/>
      </w:pPr>
      <w:bookmarkStart w:id="196" w:name="_Ref59386742"/>
      <w:bookmarkStart w:id="197" w:name="_Ref54726197"/>
      <w:bookmarkStart w:id="198" w:name="_Toc60597208"/>
      <w:r>
        <w:t xml:space="preserve">Figure </w:t>
      </w:r>
      <w:r w:rsidR="00864CF4">
        <w:fldChar w:fldCharType="begin"/>
      </w:r>
      <w:r w:rsidR="00864CF4">
        <w:instrText xml:space="preserve"> STYLEREF 1 \s </w:instrText>
      </w:r>
      <w:r w:rsidR="00864CF4">
        <w:fldChar w:fldCharType="separate"/>
      </w:r>
      <w:r w:rsidR="00885DE4">
        <w:rPr>
          <w:noProof/>
        </w:rPr>
        <w:t>3</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6</w:t>
      </w:r>
      <w:r w:rsidR="00864CF4">
        <w:fldChar w:fldCharType="end"/>
      </w:r>
      <w:bookmarkEnd w:id="196"/>
      <w:r>
        <w:t xml:space="preserve"> Comparison of miRNA microarray relative expression of platelet related miRNAs in Mitchel et al., to the two most highly differentially expressed miRNAs in HV vs IPAH plasma samples.</w:t>
      </w:r>
      <w:bookmarkEnd w:id="197"/>
      <w:bookmarkEnd w:id="198"/>
    </w:p>
    <w:p w14:paraId="43ABB6D7" w14:textId="77777777" w:rsidR="009F3C69" w:rsidRPr="009F3C69" w:rsidRDefault="009F3C69" w:rsidP="009F3C69"/>
    <w:p w14:paraId="7D6BDF42" w14:textId="6E4F1999" w:rsidR="00FF170D" w:rsidRDefault="00650017" w:rsidP="00FF170D">
      <w:pPr>
        <w:pStyle w:val="Body"/>
      </w:pPr>
      <w:r>
        <w:t>It should be noted that</w:t>
      </w:r>
      <w:r w:rsidR="003C754A">
        <w:t xml:space="preserve"> Mitchel et al., </w:t>
      </w:r>
      <w:r>
        <w:t>stated</w:t>
      </w:r>
      <w:r w:rsidR="00C2589D">
        <w:t xml:space="preserve"> that in order to achieve a platelet poor plasma (PPP) sample before freezing sample</w:t>
      </w:r>
      <w:r w:rsidR="003C754A">
        <w:t xml:space="preserve">s </w:t>
      </w:r>
      <w:r w:rsidR="00C2589D">
        <w:t>must be centrifuged twice. Once to remove most of the cellular matter and the second to reduce the number of residual platelets. Unfortunately, the STH-</w:t>
      </w:r>
      <w:proofErr w:type="spellStart"/>
      <w:r w:rsidR="00C2589D">
        <w:t>Obs</w:t>
      </w:r>
      <w:proofErr w:type="spellEnd"/>
      <w:r w:rsidR="00C2589D">
        <w:t xml:space="preserve"> protocol only has 1 centrifugation step which could lead to unwanted plasma miRNAs in our plasma samples.</w:t>
      </w:r>
      <w:r w:rsidR="00632C48">
        <w:t xml:space="preserve"> This may mean our samples were not optimally processed and i</w:t>
      </w:r>
      <w:r w:rsidR="00372099">
        <w:t xml:space="preserve">f the data were available </w:t>
      </w:r>
      <w:r w:rsidR="00722CA8">
        <w:t xml:space="preserve">it </w:t>
      </w:r>
      <w:r w:rsidR="00632C48">
        <w:t xml:space="preserve">would be even more </w:t>
      </w:r>
      <w:r w:rsidR="00722CA8">
        <w:t xml:space="preserve">prudent to identify miRNAs </w:t>
      </w:r>
      <w:r w:rsidR="003C754A">
        <w:t>with</w:t>
      </w:r>
      <w:r w:rsidR="00722CA8">
        <w:t xml:space="preserve"> a </w:t>
      </w:r>
      <w:r w:rsidR="001E797D">
        <w:t>high correlation</w:t>
      </w:r>
      <w:r w:rsidR="00722CA8">
        <w:t xml:space="preserve"> to </w:t>
      </w:r>
      <w:r w:rsidR="00372099">
        <w:t>platelet</w:t>
      </w:r>
      <w:r w:rsidR="00722CA8">
        <w:t xml:space="preserve"> levels.</w:t>
      </w:r>
      <w:bookmarkStart w:id="199" w:name="_Toc297817829"/>
      <w:bookmarkStart w:id="200" w:name="_Toc297818280"/>
      <w:bookmarkStart w:id="201" w:name="_Toc297818563"/>
      <w:bookmarkStart w:id="202" w:name="_Toc246745627"/>
      <w:r w:rsidR="003C754A">
        <w:t xml:space="preserve"> In the absence of a direct measurement d</w:t>
      </w:r>
      <w:r w:rsidR="00FF170D">
        <w:t xml:space="preserve">econvolution of the plasma results </w:t>
      </w:r>
      <w:r w:rsidR="0066641D">
        <w:t xml:space="preserve">like </w:t>
      </w:r>
      <w:r w:rsidR="004B1FC7" w:rsidRPr="004B1FC7">
        <w:t xml:space="preserve">Srinivasan </w:t>
      </w:r>
      <w:r w:rsidR="0066641D">
        <w:t xml:space="preserve">et al., </w:t>
      </w:r>
      <w:r w:rsidR="00514D59">
        <w:t xml:space="preserve">may give an indication of </w:t>
      </w:r>
      <w:r w:rsidR="003C754A">
        <w:t>the presence of</w:t>
      </w:r>
      <w:r w:rsidR="00514D59">
        <w:t xml:space="preserve"> miRNAs coming from</w:t>
      </w:r>
      <w:r w:rsidR="003C754A">
        <w:t xml:space="preserve"> platelets</w:t>
      </w:r>
      <w:r w:rsidR="00514D59">
        <w:t>.</w:t>
      </w:r>
      <w:r w:rsidR="003B1650">
        <w:t xml:space="preserve"> </w:t>
      </w:r>
    </w:p>
    <w:p w14:paraId="57D611C2" w14:textId="37812A15" w:rsidR="00FF170D" w:rsidRPr="00E5229C" w:rsidRDefault="00FF170D" w:rsidP="00E4064F">
      <w:pPr>
        <w:pStyle w:val="Body"/>
        <w:sectPr w:rsidR="00FF170D" w:rsidRPr="00E5229C" w:rsidSect="00E4064F">
          <w:footerReference w:type="even" r:id="rId25"/>
          <w:footerReference w:type="default" r:id="rId26"/>
          <w:type w:val="continuous"/>
          <w:pgSz w:w="11900" w:h="16840"/>
          <w:pgMar w:top="1411" w:right="1411" w:bottom="1411" w:left="1411" w:header="706" w:footer="706" w:gutter="0"/>
          <w:cols w:space="720"/>
          <w:titlePg/>
          <w:docGrid w:linePitch="360"/>
        </w:sectPr>
      </w:pPr>
    </w:p>
    <w:p w14:paraId="4A743051" w14:textId="77777777" w:rsidR="00E4064F" w:rsidRPr="00E5229C" w:rsidRDefault="00E4064F" w:rsidP="00E4064F">
      <w:pPr>
        <w:pStyle w:val="Body"/>
        <w:sectPr w:rsidR="00E4064F" w:rsidRPr="00E5229C" w:rsidSect="000D1B2E">
          <w:type w:val="continuous"/>
          <w:pgSz w:w="11900" w:h="16840"/>
          <w:pgMar w:top="1411" w:right="1411" w:bottom="1411" w:left="1411" w:header="706" w:footer="706" w:gutter="0"/>
          <w:cols w:space="720"/>
          <w:titlePg/>
          <w:docGrid w:linePitch="360"/>
        </w:sectPr>
      </w:pPr>
    </w:p>
    <w:p w14:paraId="39DECBD9" w14:textId="77777777" w:rsidR="007E6F68" w:rsidRDefault="007E6F68">
      <w:pPr>
        <w:rPr>
          <w:rFonts w:ascii="Helvetica" w:eastAsia="Helvetica" w:hAnsi="Helvetica" w:cs="Helvetica"/>
          <w:b/>
          <w:bCs/>
          <w:color w:val="000000"/>
          <w:sz w:val="36"/>
          <w:szCs w:val="36"/>
          <w:bdr w:val="nil"/>
        </w:rPr>
      </w:pPr>
      <w:bookmarkStart w:id="203" w:name="_Ref353882125"/>
      <w:bookmarkStart w:id="204" w:name="_Toc297817830"/>
      <w:bookmarkStart w:id="205" w:name="_Toc297818281"/>
      <w:bookmarkStart w:id="206" w:name="_Toc297818564"/>
      <w:bookmarkEnd w:id="199"/>
      <w:bookmarkEnd w:id="200"/>
      <w:bookmarkEnd w:id="201"/>
      <w:r>
        <w:br w:type="page"/>
      </w:r>
    </w:p>
    <w:p w14:paraId="666E8264" w14:textId="3C91A11E" w:rsidR="00E4064F" w:rsidRDefault="00E4064F" w:rsidP="00E4064F">
      <w:pPr>
        <w:pStyle w:val="Heading1"/>
        <w:numPr>
          <w:ilvl w:val="0"/>
          <w:numId w:val="7"/>
        </w:numPr>
        <w:spacing w:before="120" w:after="120"/>
      </w:pPr>
      <w:bookmarkStart w:id="207" w:name="_Toc60773927"/>
      <w:r w:rsidRPr="00E5229C">
        <w:lastRenderedPageBreak/>
        <w:t xml:space="preserve">Identification of </w:t>
      </w:r>
      <w:r>
        <w:t>Biomarker Panels of IPAH</w:t>
      </w:r>
      <w:bookmarkEnd w:id="203"/>
      <w:bookmarkEnd w:id="207"/>
    </w:p>
    <w:p w14:paraId="388D36E8" w14:textId="77777777" w:rsidR="00E4064F" w:rsidRPr="006C4DCF" w:rsidRDefault="00E4064F" w:rsidP="00E4064F"/>
    <w:p w14:paraId="1C80306F" w14:textId="77777777" w:rsidR="00E4064F" w:rsidRPr="00E5229C" w:rsidRDefault="00E4064F" w:rsidP="00E4064F">
      <w:pPr>
        <w:pStyle w:val="Heading2"/>
        <w:numPr>
          <w:ilvl w:val="1"/>
          <w:numId w:val="7"/>
        </w:numPr>
        <w:spacing w:before="120" w:after="120"/>
        <w:ind w:left="578" w:hanging="578"/>
      </w:pPr>
      <w:bookmarkStart w:id="208" w:name="_Toc60773928"/>
      <w:r w:rsidRPr="00E5229C">
        <w:t>Introduction</w:t>
      </w:r>
      <w:bookmarkEnd w:id="204"/>
      <w:bookmarkEnd w:id="205"/>
      <w:bookmarkEnd w:id="206"/>
      <w:bookmarkEnd w:id="208"/>
    </w:p>
    <w:bookmarkEnd w:id="202"/>
    <w:p w14:paraId="7CCED71B" w14:textId="77777777" w:rsidR="00E4064F" w:rsidRDefault="00E4064F" w:rsidP="00E4064F">
      <w:pPr>
        <w:pStyle w:val="Body"/>
      </w:pPr>
      <w:r>
        <w:t xml:space="preserve">Diagnosis of IPAH is a long process requiring invasive procedures such as right heart catheterisation (RHC) at a specialist treatment Centre to confirm diagnosis. A panel of biomarkers could potentially be used as a screening tool in suspected cases of IPAH, reducing unnecessary catheterisation. Detailed in this </w:t>
      </w:r>
      <w:r w:rsidRPr="002B3AAC">
        <w:t xml:space="preserve">chapter are </w:t>
      </w:r>
      <w:r>
        <w:t>the demographics</w:t>
      </w:r>
      <w:r w:rsidRPr="002B3AAC">
        <w:t xml:space="preserve"> of patient groups, experiments and analysis performed to identify circulating</w:t>
      </w:r>
      <w:r>
        <w:t xml:space="preserve"> biomarkers that identify IPAH from HV.</w:t>
      </w:r>
    </w:p>
    <w:p w14:paraId="261F1D46" w14:textId="77777777" w:rsidR="00E4064F" w:rsidRDefault="00E4064F" w:rsidP="00E4064F">
      <w:pPr>
        <w:rPr>
          <w:b/>
        </w:rPr>
      </w:pPr>
    </w:p>
    <w:p w14:paraId="12B2C0A7" w14:textId="77777777" w:rsidR="00E4064F" w:rsidRPr="00572AEF" w:rsidRDefault="00E4064F" w:rsidP="00E4064F">
      <w:pPr>
        <w:pStyle w:val="Heading2"/>
        <w:numPr>
          <w:ilvl w:val="1"/>
          <w:numId w:val="7"/>
        </w:numPr>
        <w:spacing w:before="120" w:after="120"/>
        <w:ind w:left="578" w:hanging="578"/>
      </w:pPr>
      <w:bookmarkStart w:id="209" w:name="_Toc60773929"/>
      <w:r>
        <w:t>Methods</w:t>
      </w:r>
      <w:bookmarkEnd w:id="209"/>
    </w:p>
    <w:p w14:paraId="17F44F75" w14:textId="17A21223" w:rsidR="00E4064F" w:rsidRDefault="00E4064F" w:rsidP="00E4064F">
      <w:pPr>
        <w:pStyle w:val="Body"/>
      </w:pPr>
      <w:r>
        <w:t xml:space="preserve">Human plasma in citrate buffer was acquired from the Sheffield Pulmonary Hypertension Biobank and from the Imperial College London Pulmonary Hypertension Biobank </w:t>
      </w:r>
      <w:r>
        <w:fldChar w:fldCharType="begin"/>
      </w:r>
      <w:r>
        <w:instrText xml:space="preserve"> REF _Ref344047186 \h </w:instrText>
      </w:r>
      <w:r>
        <w:fldChar w:fldCharType="separate"/>
      </w:r>
      <w:r w:rsidR="00885DE4">
        <w:t xml:space="preserve">Table </w:t>
      </w:r>
      <w:r w:rsidR="00885DE4">
        <w:rPr>
          <w:noProof/>
        </w:rPr>
        <w:t>4</w:t>
      </w:r>
      <w:r w:rsidR="00885DE4">
        <w:noBreakHyphen/>
      </w:r>
      <w:r w:rsidR="00885DE4">
        <w:rPr>
          <w:noProof/>
        </w:rPr>
        <w:t>1</w:t>
      </w:r>
      <w:r>
        <w:fldChar w:fldCharType="end"/>
      </w:r>
      <w:r w:rsidR="00A63477">
        <w:t>.</w:t>
      </w:r>
      <w:r>
        <w:t xml:space="preserve"> RNA was extracted as described in </w:t>
      </w:r>
      <w:r>
        <w:fldChar w:fldCharType="begin"/>
      </w:r>
      <w:r>
        <w:instrText xml:space="preserve"> REF _Ref344043648 \r \h </w:instrText>
      </w:r>
      <w:r>
        <w:fldChar w:fldCharType="separate"/>
      </w:r>
      <w:r w:rsidR="00885DE4">
        <w:t>2.1</w:t>
      </w:r>
      <w:r>
        <w:fldChar w:fldCharType="end"/>
      </w:r>
      <w:r>
        <w:t xml:space="preserve"> and miRNA microarray performed as described in </w:t>
      </w:r>
      <w:r>
        <w:fldChar w:fldCharType="begin"/>
      </w:r>
      <w:r>
        <w:instrText xml:space="preserve"> REF _Ref344043668 \r \h </w:instrText>
      </w:r>
      <w:r>
        <w:fldChar w:fldCharType="separate"/>
      </w:r>
      <w:r w:rsidR="00885DE4">
        <w:t>2.2</w:t>
      </w:r>
      <w:r>
        <w:fldChar w:fldCharType="end"/>
      </w:r>
      <w:r>
        <w:t>.</w:t>
      </w:r>
      <w:r w:rsidR="00154F09">
        <w:t xml:space="preserve"> </w:t>
      </w:r>
    </w:p>
    <w:tbl>
      <w:tblPr>
        <w:tblStyle w:val="DefaultTableStyle"/>
        <w:tblW w:w="5447" w:type="dxa"/>
        <w:tblInd w:w="1668" w:type="dxa"/>
        <w:tblBorders>
          <w:insideV w:val="none" w:sz="0" w:space="0" w:color="auto"/>
        </w:tblBorders>
        <w:tblLook w:val="0660" w:firstRow="1" w:lastRow="1" w:firstColumn="0" w:lastColumn="0" w:noHBand="1" w:noVBand="1"/>
      </w:tblPr>
      <w:tblGrid>
        <w:gridCol w:w="2094"/>
        <w:gridCol w:w="2410"/>
        <w:gridCol w:w="943"/>
      </w:tblGrid>
      <w:tr w:rsidR="00E4064F" w:rsidRPr="007F7A1E" w14:paraId="1367F817" w14:textId="77777777" w:rsidTr="000D1B2E">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bottom w:val="single" w:sz="4" w:space="0" w:color="auto"/>
            </w:tcBorders>
          </w:tcPr>
          <w:p w14:paraId="12990443" w14:textId="77777777" w:rsidR="00E4064F" w:rsidRPr="007F7A1E" w:rsidRDefault="00E4064F" w:rsidP="000D1B2E">
            <w:pPr>
              <w:pStyle w:val="BodyText1"/>
              <w:spacing w:line="276" w:lineRule="auto"/>
              <w:jc w:val="both"/>
              <w:rPr>
                <w:rFonts w:ascii="Times New Roman" w:hAnsi="Times New Roman" w:cs="Times New Roman"/>
                <w:sz w:val="22"/>
              </w:rPr>
            </w:pPr>
            <w:r w:rsidRPr="007F7A1E">
              <w:rPr>
                <w:rFonts w:ascii="Times New Roman" w:hAnsi="Times New Roman" w:cs="Times New Roman"/>
                <w:sz w:val="22"/>
              </w:rPr>
              <w:t xml:space="preserve">Sample </w:t>
            </w:r>
            <w:r>
              <w:rPr>
                <w:rFonts w:ascii="Times New Roman" w:hAnsi="Times New Roman" w:cs="Times New Roman"/>
                <w:sz w:val="22"/>
              </w:rPr>
              <w:t>Source</w:t>
            </w:r>
          </w:p>
        </w:tc>
        <w:tc>
          <w:tcPr>
            <w:tcW w:w="0" w:type="auto"/>
            <w:tcBorders>
              <w:top w:val="single" w:sz="4" w:space="0" w:color="auto"/>
              <w:bottom w:val="single" w:sz="4" w:space="0" w:color="auto"/>
            </w:tcBorders>
          </w:tcPr>
          <w:p w14:paraId="13454021" w14:textId="77777777" w:rsidR="00E4064F" w:rsidRPr="007F7A1E" w:rsidRDefault="00E4064F" w:rsidP="000D1B2E">
            <w:pPr>
              <w:pStyle w:val="BodyText1"/>
              <w:spacing w:line="276" w:lineRule="auto"/>
              <w:jc w:val="both"/>
              <w:rPr>
                <w:rFonts w:ascii="Times New Roman" w:hAnsi="Times New Roman" w:cs="Times New Roman"/>
                <w:sz w:val="22"/>
              </w:rPr>
            </w:pPr>
            <w:r w:rsidRPr="007F7A1E">
              <w:rPr>
                <w:rFonts w:ascii="Times New Roman" w:hAnsi="Times New Roman" w:cs="Times New Roman"/>
                <w:sz w:val="22"/>
              </w:rPr>
              <w:t>Healthy Volunteer</w:t>
            </w:r>
          </w:p>
        </w:tc>
        <w:tc>
          <w:tcPr>
            <w:tcW w:w="0" w:type="auto"/>
            <w:tcBorders>
              <w:top w:val="single" w:sz="4" w:space="0" w:color="auto"/>
              <w:bottom w:val="single" w:sz="4" w:space="0" w:color="auto"/>
            </w:tcBorders>
          </w:tcPr>
          <w:p w14:paraId="62B9F7E5" w14:textId="77777777" w:rsidR="00E4064F" w:rsidRPr="007F7A1E" w:rsidRDefault="00E4064F" w:rsidP="000D1B2E">
            <w:pPr>
              <w:pStyle w:val="BodyText1"/>
              <w:spacing w:line="276" w:lineRule="auto"/>
              <w:jc w:val="both"/>
              <w:rPr>
                <w:rFonts w:ascii="Times New Roman" w:hAnsi="Times New Roman" w:cs="Times New Roman"/>
                <w:sz w:val="22"/>
              </w:rPr>
            </w:pPr>
            <w:r w:rsidRPr="007F7A1E">
              <w:rPr>
                <w:rFonts w:ascii="Times New Roman" w:hAnsi="Times New Roman" w:cs="Times New Roman"/>
                <w:sz w:val="22"/>
              </w:rPr>
              <w:t>IPAH</w:t>
            </w:r>
          </w:p>
        </w:tc>
      </w:tr>
      <w:tr w:rsidR="00E4064F" w:rsidRPr="007F7A1E" w14:paraId="081F1329" w14:textId="77777777" w:rsidTr="000D1B2E">
        <w:tc>
          <w:tcPr>
            <w:tcW w:w="0" w:type="auto"/>
            <w:tcBorders>
              <w:top w:val="single" w:sz="4" w:space="0" w:color="auto"/>
            </w:tcBorders>
          </w:tcPr>
          <w:p w14:paraId="16A5536A" w14:textId="77777777" w:rsidR="00E4064F" w:rsidRPr="007F7A1E" w:rsidRDefault="00E4064F" w:rsidP="000D1B2E">
            <w:pPr>
              <w:pStyle w:val="BodyText1"/>
              <w:spacing w:line="276" w:lineRule="auto"/>
              <w:jc w:val="both"/>
              <w:rPr>
                <w:rFonts w:ascii="Times New Roman" w:hAnsi="Times New Roman" w:cs="Times New Roman"/>
                <w:sz w:val="22"/>
              </w:rPr>
            </w:pPr>
            <w:r w:rsidRPr="007F7A1E">
              <w:rPr>
                <w:rFonts w:ascii="Times New Roman" w:hAnsi="Times New Roman" w:cs="Times New Roman"/>
                <w:sz w:val="22"/>
              </w:rPr>
              <w:t>Sheffield</w:t>
            </w:r>
          </w:p>
        </w:tc>
        <w:tc>
          <w:tcPr>
            <w:tcW w:w="0" w:type="auto"/>
            <w:tcBorders>
              <w:top w:val="single" w:sz="4" w:space="0" w:color="auto"/>
            </w:tcBorders>
          </w:tcPr>
          <w:p w14:paraId="5F7DC0CE" w14:textId="77777777" w:rsidR="00E4064F" w:rsidRPr="007F7A1E" w:rsidRDefault="00E4064F" w:rsidP="000D1B2E">
            <w:pPr>
              <w:pStyle w:val="BodyText1"/>
              <w:spacing w:line="276" w:lineRule="auto"/>
              <w:jc w:val="both"/>
              <w:rPr>
                <w:rFonts w:ascii="Times New Roman" w:hAnsi="Times New Roman" w:cs="Times New Roman"/>
                <w:sz w:val="22"/>
              </w:rPr>
            </w:pPr>
            <w:r w:rsidRPr="007F7A1E">
              <w:rPr>
                <w:rFonts w:ascii="Times New Roman" w:hAnsi="Times New Roman" w:cs="Times New Roman"/>
                <w:sz w:val="22"/>
              </w:rPr>
              <w:t>21</w:t>
            </w:r>
          </w:p>
        </w:tc>
        <w:tc>
          <w:tcPr>
            <w:tcW w:w="0" w:type="auto"/>
            <w:tcBorders>
              <w:top w:val="single" w:sz="4" w:space="0" w:color="auto"/>
            </w:tcBorders>
          </w:tcPr>
          <w:p w14:paraId="765A7A9F" w14:textId="77777777" w:rsidR="00E4064F" w:rsidRPr="007F7A1E" w:rsidRDefault="00E4064F" w:rsidP="000D1B2E">
            <w:pPr>
              <w:pStyle w:val="BodyText1"/>
              <w:spacing w:line="276" w:lineRule="auto"/>
              <w:jc w:val="both"/>
              <w:rPr>
                <w:rFonts w:ascii="Times New Roman" w:hAnsi="Times New Roman" w:cs="Times New Roman"/>
                <w:sz w:val="22"/>
              </w:rPr>
            </w:pPr>
            <w:r w:rsidRPr="007F7A1E">
              <w:rPr>
                <w:rFonts w:ascii="Times New Roman" w:hAnsi="Times New Roman" w:cs="Times New Roman"/>
                <w:sz w:val="22"/>
              </w:rPr>
              <w:t>34</w:t>
            </w:r>
          </w:p>
        </w:tc>
      </w:tr>
      <w:tr w:rsidR="00E4064F" w:rsidRPr="006B7FA6" w14:paraId="2CB584BC" w14:textId="77777777" w:rsidTr="000D1B2E">
        <w:tc>
          <w:tcPr>
            <w:tcW w:w="0" w:type="auto"/>
          </w:tcPr>
          <w:p w14:paraId="2B2EC6DD" w14:textId="77777777" w:rsidR="00E4064F" w:rsidRPr="00466988" w:rsidRDefault="00E4064F" w:rsidP="000D1B2E">
            <w:pPr>
              <w:pStyle w:val="BodyText1"/>
              <w:spacing w:line="276" w:lineRule="auto"/>
              <w:jc w:val="both"/>
              <w:rPr>
                <w:rFonts w:ascii="Times New Roman" w:hAnsi="Times New Roman" w:cs="Times New Roman"/>
                <w:sz w:val="22"/>
              </w:rPr>
            </w:pPr>
            <w:r w:rsidRPr="00466988">
              <w:rPr>
                <w:rFonts w:ascii="Times New Roman" w:hAnsi="Times New Roman" w:cs="Times New Roman"/>
                <w:sz w:val="22"/>
              </w:rPr>
              <w:t>Imperial College</w:t>
            </w:r>
          </w:p>
        </w:tc>
        <w:tc>
          <w:tcPr>
            <w:tcW w:w="0" w:type="auto"/>
          </w:tcPr>
          <w:p w14:paraId="3C8FE440" w14:textId="77777777" w:rsidR="00E4064F" w:rsidRPr="00466988" w:rsidRDefault="00E4064F" w:rsidP="000D1B2E">
            <w:pPr>
              <w:pStyle w:val="BodyText1"/>
              <w:spacing w:line="276" w:lineRule="auto"/>
              <w:jc w:val="both"/>
              <w:rPr>
                <w:rFonts w:ascii="Times New Roman" w:hAnsi="Times New Roman" w:cs="Times New Roman"/>
                <w:sz w:val="22"/>
              </w:rPr>
            </w:pPr>
            <w:r w:rsidRPr="00466988">
              <w:rPr>
                <w:rFonts w:ascii="Times New Roman" w:hAnsi="Times New Roman" w:cs="Times New Roman"/>
                <w:sz w:val="22"/>
              </w:rPr>
              <w:t>12</w:t>
            </w:r>
          </w:p>
        </w:tc>
        <w:tc>
          <w:tcPr>
            <w:tcW w:w="0" w:type="auto"/>
          </w:tcPr>
          <w:p w14:paraId="77344E87" w14:textId="77777777" w:rsidR="00E4064F" w:rsidRPr="00466988" w:rsidRDefault="00E4064F" w:rsidP="000D1B2E">
            <w:pPr>
              <w:pStyle w:val="BodyText1"/>
              <w:spacing w:line="276" w:lineRule="auto"/>
              <w:jc w:val="both"/>
              <w:rPr>
                <w:rFonts w:ascii="Times New Roman" w:hAnsi="Times New Roman" w:cs="Times New Roman"/>
                <w:sz w:val="22"/>
              </w:rPr>
            </w:pPr>
            <w:r w:rsidRPr="00466988">
              <w:rPr>
                <w:rFonts w:ascii="Times New Roman" w:hAnsi="Times New Roman" w:cs="Times New Roman"/>
                <w:sz w:val="22"/>
              </w:rPr>
              <w:t>12</w:t>
            </w:r>
          </w:p>
        </w:tc>
      </w:tr>
      <w:tr w:rsidR="00E4064F" w:rsidRPr="006B7FA6" w14:paraId="0A73BD83" w14:textId="77777777" w:rsidTr="000D1B2E">
        <w:trPr>
          <w:cnfStyle w:val="010000000000" w:firstRow="0" w:lastRow="1" w:firstColumn="0" w:lastColumn="0" w:oddVBand="0" w:evenVBand="0" w:oddHBand="0" w:evenHBand="0" w:firstRowFirstColumn="0" w:firstRowLastColumn="0" w:lastRowFirstColumn="0" w:lastRowLastColumn="0"/>
        </w:trPr>
        <w:tc>
          <w:tcPr>
            <w:tcW w:w="0" w:type="auto"/>
          </w:tcPr>
          <w:p w14:paraId="4AB1E528" w14:textId="77777777" w:rsidR="00E4064F" w:rsidRPr="00466988" w:rsidRDefault="00E4064F" w:rsidP="000D1B2E">
            <w:pPr>
              <w:pStyle w:val="BodyText1"/>
              <w:spacing w:line="276" w:lineRule="auto"/>
              <w:jc w:val="both"/>
              <w:rPr>
                <w:rFonts w:ascii="Times New Roman" w:hAnsi="Times New Roman" w:cs="Times New Roman"/>
                <w:sz w:val="22"/>
              </w:rPr>
            </w:pPr>
            <w:r>
              <w:rPr>
                <w:rFonts w:ascii="Times New Roman" w:hAnsi="Times New Roman" w:cs="Times New Roman"/>
                <w:sz w:val="22"/>
              </w:rPr>
              <w:t>Total</w:t>
            </w:r>
          </w:p>
        </w:tc>
        <w:tc>
          <w:tcPr>
            <w:tcW w:w="0" w:type="auto"/>
          </w:tcPr>
          <w:p w14:paraId="25B1069A" w14:textId="77777777" w:rsidR="00E4064F" w:rsidRPr="00466988" w:rsidRDefault="00E4064F" w:rsidP="000D1B2E">
            <w:pPr>
              <w:pStyle w:val="BodyText1"/>
              <w:spacing w:line="276" w:lineRule="auto"/>
              <w:jc w:val="both"/>
              <w:rPr>
                <w:rFonts w:ascii="Times New Roman" w:hAnsi="Times New Roman" w:cs="Times New Roman"/>
                <w:sz w:val="22"/>
              </w:rPr>
            </w:pPr>
            <w:r w:rsidRPr="00466988">
              <w:rPr>
                <w:rFonts w:ascii="Times New Roman" w:hAnsi="Times New Roman" w:cs="Times New Roman"/>
                <w:sz w:val="22"/>
              </w:rPr>
              <w:t>33</w:t>
            </w:r>
          </w:p>
        </w:tc>
        <w:tc>
          <w:tcPr>
            <w:tcW w:w="0" w:type="auto"/>
          </w:tcPr>
          <w:p w14:paraId="1356F7F9" w14:textId="77777777" w:rsidR="00E4064F" w:rsidRPr="00466988" w:rsidRDefault="00E4064F" w:rsidP="000D1B2E">
            <w:pPr>
              <w:pStyle w:val="BodyText1"/>
              <w:spacing w:line="276" w:lineRule="auto"/>
              <w:jc w:val="both"/>
              <w:rPr>
                <w:rFonts w:ascii="Times New Roman" w:hAnsi="Times New Roman" w:cs="Times New Roman"/>
                <w:sz w:val="22"/>
              </w:rPr>
            </w:pPr>
            <w:r w:rsidRPr="00466988">
              <w:rPr>
                <w:rFonts w:ascii="Times New Roman" w:hAnsi="Times New Roman" w:cs="Times New Roman"/>
                <w:sz w:val="22"/>
              </w:rPr>
              <w:t>47</w:t>
            </w:r>
          </w:p>
        </w:tc>
      </w:tr>
    </w:tbl>
    <w:p w14:paraId="153A0AF5" w14:textId="1A55A87F" w:rsidR="00E4064F" w:rsidRDefault="00E4064F" w:rsidP="00E4064F">
      <w:pPr>
        <w:pStyle w:val="Caption"/>
      </w:pPr>
      <w:bookmarkStart w:id="210" w:name="_Ref344047186"/>
      <w:bookmarkStart w:id="211" w:name="_Toc354233092"/>
      <w:bookmarkStart w:id="212" w:name="_Toc60597181"/>
      <w:r>
        <w:t xml:space="preserve">Table </w:t>
      </w:r>
      <w:r w:rsidR="004D7B97">
        <w:fldChar w:fldCharType="begin"/>
      </w:r>
      <w:r w:rsidR="004D7B97">
        <w:instrText xml:space="preserve"> STYLEREF 1 \s </w:instrText>
      </w:r>
      <w:r w:rsidR="004D7B97">
        <w:fldChar w:fldCharType="separate"/>
      </w:r>
      <w:r w:rsidR="00885DE4">
        <w:rPr>
          <w:noProof/>
        </w:rPr>
        <w:t>4</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1</w:t>
      </w:r>
      <w:r w:rsidR="004D7B97">
        <w:fldChar w:fldCharType="end"/>
      </w:r>
      <w:bookmarkEnd w:id="210"/>
      <w:r>
        <w:rPr>
          <w:b/>
        </w:rPr>
        <w:t xml:space="preserve"> </w:t>
      </w:r>
      <w:r>
        <w:t>Summary of patient and control numbers from Sheffield and Imperial College in the IPAH biomarker identification cohort.</w:t>
      </w:r>
      <w:bookmarkEnd w:id="211"/>
      <w:bookmarkEnd w:id="212"/>
    </w:p>
    <w:p w14:paraId="0A332C5A" w14:textId="77777777" w:rsidR="00361167" w:rsidRDefault="00361167" w:rsidP="00361167">
      <w:pPr>
        <w:pStyle w:val="Body"/>
      </w:pPr>
    </w:p>
    <w:p w14:paraId="60124172" w14:textId="7C388B09" w:rsidR="00361167" w:rsidRDefault="00361167" w:rsidP="00361167">
      <w:pPr>
        <w:pStyle w:val="Body"/>
      </w:pPr>
      <w:r>
        <w:lastRenderedPageBreak/>
        <w:t xml:space="preserve">Patient demographics in </w:t>
      </w:r>
      <w:r>
        <w:fldChar w:fldCharType="begin"/>
      </w:r>
      <w:r>
        <w:instrText xml:space="preserve"> REF _Ref21782047 \h </w:instrText>
      </w:r>
      <w:r>
        <w:fldChar w:fldCharType="separate"/>
      </w:r>
      <w:r w:rsidR="00885DE4" w:rsidRPr="0058247F">
        <w:rPr>
          <w:i/>
          <w:iCs/>
        </w:rPr>
        <w:t xml:space="preserve">Table </w:t>
      </w:r>
      <w:r w:rsidR="00885DE4">
        <w:rPr>
          <w:i/>
          <w:iCs/>
          <w:noProof/>
        </w:rPr>
        <w:t>4</w:t>
      </w:r>
      <w:r w:rsidR="00885DE4">
        <w:rPr>
          <w:i/>
          <w:iCs/>
        </w:rPr>
        <w:noBreakHyphen/>
      </w:r>
      <w:r w:rsidR="00885DE4">
        <w:rPr>
          <w:i/>
          <w:iCs/>
          <w:noProof/>
        </w:rPr>
        <w:t>2</w:t>
      </w:r>
      <w:r>
        <w:fldChar w:fldCharType="end"/>
      </w:r>
      <w:r>
        <w:t xml:space="preserve"> show patients well matched, with non-significance, in age, gender and ethnicity. </w:t>
      </w:r>
      <w:r w:rsidR="00637C96">
        <w:t>IPAH patients are shown to have PAH from the appropriate values in the catheter based diagnostic measures.</w:t>
      </w:r>
    </w:p>
    <w:p w14:paraId="4BEDBA6A" w14:textId="77777777" w:rsidR="00E4064F" w:rsidRDefault="00E4064F" w:rsidP="00E4064F"/>
    <w:tbl>
      <w:tblPr>
        <w:tblStyle w:val="GridTable3-Accent5"/>
        <w:tblW w:w="0" w:type="auto"/>
        <w:tblLook w:val="04A0" w:firstRow="1" w:lastRow="0" w:firstColumn="1" w:lastColumn="0" w:noHBand="0" w:noVBand="1"/>
      </w:tblPr>
      <w:tblGrid>
        <w:gridCol w:w="2977"/>
        <w:gridCol w:w="1985"/>
        <w:gridCol w:w="2126"/>
        <w:gridCol w:w="1922"/>
      </w:tblGrid>
      <w:tr w:rsidR="00F45DD1" w:rsidRPr="00541911" w14:paraId="14952040" w14:textId="77777777" w:rsidTr="002143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7" w:type="dxa"/>
          </w:tcPr>
          <w:p w14:paraId="66D4481B" w14:textId="77777777" w:rsidR="00F45DD1" w:rsidRPr="00541911" w:rsidRDefault="00F45DD1" w:rsidP="00F27D55">
            <w:pPr>
              <w:rPr>
                <w:rFonts w:ascii="TUOS Blake" w:hAnsi="TUOS Blake"/>
                <w:b w:val="0"/>
                <w:bCs w:val="0"/>
                <w:sz w:val="22"/>
                <w:szCs w:val="22"/>
              </w:rPr>
            </w:pPr>
          </w:p>
        </w:tc>
        <w:tc>
          <w:tcPr>
            <w:tcW w:w="1985" w:type="dxa"/>
          </w:tcPr>
          <w:p w14:paraId="78DF1FA1" w14:textId="77777777" w:rsidR="00F45DD1" w:rsidRPr="00541911" w:rsidRDefault="00F45DD1" w:rsidP="00F27D55">
            <w:pPr>
              <w:cnfStyle w:val="100000000000" w:firstRow="1" w:lastRow="0" w:firstColumn="0" w:lastColumn="0" w:oddVBand="0" w:evenVBand="0" w:oddHBand="0" w:evenHBand="0" w:firstRowFirstColumn="0" w:firstRowLastColumn="0" w:lastRowFirstColumn="0" w:lastRowLastColumn="0"/>
              <w:rPr>
                <w:rFonts w:ascii="TUOS Blake" w:hAnsi="TUOS Blake"/>
                <w:sz w:val="22"/>
                <w:szCs w:val="22"/>
              </w:rPr>
            </w:pPr>
            <w:r w:rsidRPr="00541911">
              <w:rPr>
                <w:rFonts w:ascii="TUOS Blake" w:hAnsi="TUOS Blake"/>
                <w:sz w:val="22"/>
                <w:szCs w:val="22"/>
              </w:rPr>
              <w:t>HV</w:t>
            </w:r>
          </w:p>
        </w:tc>
        <w:tc>
          <w:tcPr>
            <w:tcW w:w="2126" w:type="dxa"/>
          </w:tcPr>
          <w:p w14:paraId="22CD4BF1" w14:textId="77777777" w:rsidR="00F45DD1" w:rsidRPr="00541911" w:rsidRDefault="00F45DD1" w:rsidP="00F27D55">
            <w:pPr>
              <w:cnfStyle w:val="100000000000" w:firstRow="1" w:lastRow="0" w:firstColumn="0" w:lastColumn="0" w:oddVBand="0" w:evenVBand="0" w:oddHBand="0" w:evenHBand="0" w:firstRowFirstColumn="0" w:firstRowLastColumn="0" w:lastRowFirstColumn="0" w:lastRowLastColumn="0"/>
              <w:rPr>
                <w:rFonts w:ascii="TUOS Blake" w:hAnsi="TUOS Blake"/>
                <w:sz w:val="22"/>
                <w:szCs w:val="22"/>
              </w:rPr>
            </w:pPr>
            <w:r w:rsidRPr="00541911">
              <w:rPr>
                <w:rFonts w:ascii="TUOS Blake" w:hAnsi="TUOS Blake"/>
                <w:sz w:val="22"/>
                <w:szCs w:val="22"/>
              </w:rPr>
              <w:t>IPAH</w:t>
            </w:r>
          </w:p>
        </w:tc>
        <w:tc>
          <w:tcPr>
            <w:tcW w:w="1922" w:type="dxa"/>
          </w:tcPr>
          <w:p w14:paraId="38E7181F" w14:textId="77777777" w:rsidR="00F45DD1" w:rsidRPr="00541911" w:rsidRDefault="00F45DD1" w:rsidP="00F27D55">
            <w:pPr>
              <w:cnfStyle w:val="100000000000" w:firstRow="1" w:lastRow="0" w:firstColumn="0" w:lastColumn="0" w:oddVBand="0" w:evenVBand="0" w:oddHBand="0" w:evenHBand="0" w:firstRowFirstColumn="0" w:firstRowLastColumn="0" w:lastRowFirstColumn="0" w:lastRowLastColumn="0"/>
              <w:rPr>
                <w:rFonts w:ascii="TUOS Blake" w:hAnsi="TUOS Blake"/>
                <w:sz w:val="22"/>
                <w:szCs w:val="22"/>
              </w:rPr>
            </w:pPr>
            <w:r w:rsidRPr="00541911">
              <w:rPr>
                <w:rFonts w:ascii="TUOS Blake" w:hAnsi="TUOS Blake"/>
                <w:sz w:val="22"/>
                <w:szCs w:val="22"/>
              </w:rPr>
              <w:t>p-value</w:t>
            </w:r>
          </w:p>
        </w:tc>
      </w:tr>
      <w:tr w:rsidR="00F45DD1" w:rsidRPr="00541911" w14:paraId="4BCD599C" w14:textId="77777777" w:rsidTr="0021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802F990" w14:textId="77777777" w:rsidR="00F45DD1" w:rsidRPr="00541911" w:rsidRDefault="00F45DD1" w:rsidP="00F27D55">
            <w:pPr>
              <w:rPr>
                <w:rFonts w:ascii="TUOS Blake" w:hAnsi="TUOS Blake"/>
                <w:b/>
                <w:bCs/>
                <w:i w:val="0"/>
                <w:iCs w:val="0"/>
                <w:sz w:val="22"/>
                <w:szCs w:val="22"/>
              </w:rPr>
            </w:pPr>
            <w:r w:rsidRPr="00541911">
              <w:rPr>
                <w:rFonts w:ascii="TUOS Blake" w:hAnsi="TUOS Blake"/>
                <w:b/>
                <w:bCs/>
                <w:i w:val="0"/>
                <w:iCs w:val="0"/>
                <w:sz w:val="22"/>
                <w:szCs w:val="22"/>
              </w:rPr>
              <w:t>N</w:t>
            </w:r>
          </w:p>
        </w:tc>
        <w:tc>
          <w:tcPr>
            <w:tcW w:w="1985" w:type="dxa"/>
          </w:tcPr>
          <w:p w14:paraId="652CD9A2" w14:textId="77777777" w:rsidR="00F45DD1" w:rsidRPr="00541911" w:rsidRDefault="00F45DD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541911">
              <w:rPr>
                <w:rFonts w:ascii="TUOS Blake" w:hAnsi="TUOS Blake"/>
                <w:sz w:val="22"/>
                <w:szCs w:val="22"/>
              </w:rPr>
              <w:t>21</w:t>
            </w:r>
          </w:p>
        </w:tc>
        <w:tc>
          <w:tcPr>
            <w:tcW w:w="2126" w:type="dxa"/>
          </w:tcPr>
          <w:p w14:paraId="04A61145" w14:textId="77777777" w:rsidR="00F45DD1" w:rsidRPr="00541911" w:rsidRDefault="00F45DD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541911">
              <w:rPr>
                <w:rFonts w:ascii="TUOS Blake" w:hAnsi="TUOS Blake"/>
                <w:sz w:val="22"/>
                <w:szCs w:val="22"/>
              </w:rPr>
              <w:t>34</w:t>
            </w:r>
          </w:p>
        </w:tc>
        <w:tc>
          <w:tcPr>
            <w:tcW w:w="1922" w:type="dxa"/>
          </w:tcPr>
          <w:p w14:paraId="71F12961" w14:textId="77777777" w:rsidR="00F45DD1" w:rsidRPr="00541911" w:rsidRDefault="00F45DD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541911">
              <w:rPr>
                <w:rFonts w:ascii="TUOS Blake" w:hAnsi="TUOS Blake"/>
                <w:sz w:val="22"/>
                <w:szCs w:val="22"/>
              </w:rPr>
              <w:t>-</w:t>
            </w:r>
          </w:p>
        </w:tc>
      </w:tr>
      <w:tr w:rsidR="00F45DD1" w:rsidRPr="00541911" w14:paraId="11085F26" w14:textId="77777777" w:rsidTr="00214395">
        <w:tc>
          <w:tcPr>
            <w:cnfStyle w:val="001000000000" w:firstRow="0" w:lastRow="0" w:firstColumn="1" w:lastColumn="0" w:oddVBand="0" w:evenVBand="0" w:oddHBand="0" w:evenHBand="0" w:firstRowFirstColumn="0" w:firstRowLastColumn="0" w:lastRowFirstColumn="0" w:lastRowLastColumn="0"/>
            <w:tcW w:w="2977" w:type="dxa"/>
          </w:tcPr>
          <w:p w14:paraId="1FF39AC1" w14:textId="77777777" w:rsidR="00F45DD1" w:rsidRPr="00541911" w:rsidRDefault="00F45DD1" w:rsidP="00F27D55">
            <w:pPr>
              <w:rPr>
                <w:rFonts w:ascii="TUOS Blake" w:hAnsi="TUOS Blake"/>
                <w:b/>
                <w:bCs/>
                <w:i w:val="0"/>
                <w:iCs w:val="0"/>
                <w:sz w:val="22"/>
                <w:szCs w:val="22"/>
              </w:rPr>
            </w:pPr>
            <w:r w:rsidRPr="00541911">
              <w:rPr>
                <w:rFonts w:ascii="TUOS Blake" w:hAnsi="TUOS Blake"/>
                <w:b/>
                <w:bCs/>
                <w:i w:val="0"/>
                <w:iCs w:val="0"/>
                <w:sz w:val="22"/>
                <w:szCs w:val="22"/>
              </w:rPr>
              <w:t xml:space="preserve">Age </w:t>
            </w:r>
          </w:p>
        </w:tc>
        <w:tc>
          <w:tcPr>
            <w:tcW w:w="1985" w:type="dxa"/>
          </w:tcPr>
          <w:p w14:paraId="5F8492DC" w14:textId="77777777" w:rsidR="00F45DD1" w:rsidRPr="00541911" w:rsidRDefault="00F45DD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541911">
              <w:rPr>
                <w:rFonts w:ascii="TUOS Blake" w:hAnsi="TUOS Blake"/>
                <w:color w:val="000000"/>
                <w:sz w:val="22"/>
                <w:szCs w:val="22"/>
              </w:rPr>
              <w:t>47.4 (35.6 - 60)</w:t>
            </w:r>
          </w:p>
        </w:tc>
        <w:tc>
          <w:tcPr>
            <w:tcW w:w="2126" w:type="dxa"/>
          </w:tcPr>
          <w:p w14:paraId="7C02FD53" w14:textId="77777777" w:rsidR="00F45DD1" w:rsidRPr="00541911" w:rsidRDefault="00F45DD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541911">
              <w:rPr>
                <w:rFonts w:ascii="TUOS Blake" w:hAnsi="TUOS Blake"/>
                <w:color w:val="000000"/>
                <w:sz w:val="22"/>
                <w:szCs w:val="22"/>
              </w:rPr>
              <w:t>53.7 (44.8 - 65.7)</w:t>
            </w:r>
          </w:p>
        </w:tc>
        <w:tc>
          <w:tcPr>
            <w:tcW w:w="1922" w:type="dxa"/>
          </w:tcPr>
          <w:p w14:paraId="19BD5F94" w14:textId="77777777" w:rsidR="00F45DD1" w:rsidRPr="00541911" w:rsidRDefault="00F45DD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541911">
              <w:rPr>
                <w:rFonts w:ascii="TUOS Blake" w:hAnsi="TUOS Blake"/>
                <w:sz w:val="22"/>
                <w:szCs w:val="22"/>
              </w:rPr>
              <w:t>NS</w:t>
            </w:r>
          </w:p>
        </w:tc>
      </w:tr>
      <w:tr w:rsidR="00F45DD1" w:rsidRPr="00541911" w14:paraId="70B884C3" w14:textId="77777777" w:rsidTr="0021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936F8FE" w14:textId="3F83AA61" w:rsidR="00F45DD1" w:rsidRPr="00541911" w:rsidRDefault="00F45DD1" w:rsidP="00F27D55">
            <w:pPr>
              <w:rPr>
                <w:rFonts w:ascii="TUOS Blake" w:hAnsi="TUOS Blake"/>
                <w:b/>
                <w:bCs/>
                <w:i w:val="0"/>
                <w:iCs w:val="0"/>
                <w:sz w:val="22"/>
                <w:szCs w:val="22"/>
              </w:rPr>
            </w:pPr>
            <w:r w:rsidRPr="00541911">
              <w:rPr>
                <w:rFonts w:ascii="TUOS Blake" w:hAnsi="TUOS Blake"/>
                <w:b/>
                <w:bCs/>
                <w:i w:val="0"/>
                <w:iCs w:val="0"/>
                <w:sz w:val="22"/>
                <w:szCs w:val="22"/>
              </w:rPr>
              <w:t>Gender</w:t>
            </w:r>
            <w:r w:rsidR="00214395">
              <w:rPr>
                <w:rFonts w:ascii="TUOS Blake" w:hAnsi="TUOS Blake"/>
                <w:b/>
                <w:bCs/>
                <w:i w:val="0"/>
                <w:iCs w:val="0"/>
                <w:sz w:val="22"/>
                <w:szCs w:val="22"/>
              </w:rPr>
              <w:t xml:space="preserve"> </w:t>
            </w:r>
            <w:r w:rsidRPr="00541911">
              <w:rPr>
                <w:rFonts w:ascii="TUOS Blake" w:hAnsi="TUOS Blake"/>
                <w:b/>
                <w:bCs/>
                <w:i w:val="0"/>
                <w:iCs w:val="0"/>
                <w:sz w:val="22"/>
                <w:szCs w:val="22"/>
              </w:rPr>
              <w:t>(% Female)</w:t>
            </w:r>
          </w:p>
        </w:tc>
        <w:tc>
          <w:tcPr>
            <w:tcW w:w="1985" w:type="dxa"/>
          </w:tcPr>
          <w:p w14:paraId="1CFAE6FE" w14:textId="77777777" w:rsidR="00F45DD1" w:rsidRPr="00541911" w:rsidRDefault="00F45DD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541911">
              <w:rPr>
                <w:rFonts w:ascii="TUOS Blake" w:hAnsi="TUOS Blake"/>
                <w:sz w:val="22"/>
                <w:szCs w:val="22"/>
              </w:rPr>
              <w:t>57%</w:t>
            </w:r>
          </w:p>
        </w:tc>
        <w:tc>
          <w:tcPr>
            <w:tcW w:w="2126" w:type="dxa"/>
          </w:tcPr>
          <w:p w14:paraId="607C5305" w14:textId="77777777" w:rsidR="00F45DD1" w:rsidRPr="00541911" w:rsidRDefault="00F45DD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541911">
              <w:rPr>
                <w:rFonts w:ascii="TUOS Blake" w:hAnsi="TUOS Blake"/>
                <w:sz w:val="22"/>
                <w:szCs w:val="22"/>
              </w:rPr>
              <w:t>59%</w:t>
            </w:r>
          </w:p>
        </w:tc>
        <w:tc>
          <w:tcPr>
            <w:tcW w:w="1922" w:type="dxa"/>
          </w:tcPr>
          <w:p w14:paraId="1C89E23A" w14:textId="77777777" w:rsidR="00F45DD1" w:rsidRPr="00541911" w:rsidRDefault="00F45DD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541911">
              <w:rPr>
                <w:rFonts w:ascii="TUOS Blake" w:hAnsi="TUOS Blake"/>
                <w:sz w:val="22"/>
                <w:szCs w:val="22"/>
              </w:rPr>
              <w:t>NS</w:t>
            </w:r>
          </w:p>
        </w:tc>
      </w:tr>
      <w:tr w:rsidR="00F45DD1" w:rsidRPr="00541911" w14:paraId="2EFD37D0" w14:textId="77777777" w:rsidTr="00214395">
        <w:tc>
          <w:tcPr>
            <w:cnfStyle w:val="001000000000" w:firstRow="0" w:lastRow="0" w:firstColumn="1" w:lastColumn="0" w:oddVBand="0" w:evenVBand="0" w:oddHBand="0" w:evenHBand="0" w:firstRowFirstColumn="0" w:firstRowLastColumn="0" w:lastRowFirstColumn="0" w:lastRowLastColumn="0"/>
            <w:tcW w:w="2977" w:type="dxa"/>
          </w:tcPr>
          <w:p w14:paraId="71CA27CB" w14:textId="1BFDDF9D" w:rsidR="00F45DD1" w:rsidRPr="00541911" w:rsidRDefault="00F45DD1" w:rsidP="00F27D55">
            <w:pPr>
              <w:rPr>
                <w:rFonts w:ascii="TUOS Blake" w:hAnsi="TUOS Blake"/>
                <w:b/>
                <w:bCs/>
                <w:i w:val="0"/>
                <w:iCs w:val="0"/>
                <w:sz w:val="22"/>
                <w:szCs w:val="22"/>
              </w:rPr>
            </w:pPr>
            <w:r w:rsidRPr="00541911">
              <w:rPr>
                <w:rFonts w:ascii="TUOS Blake" w:hAnsi="TUOS Blake"/>
                <w:b/>
                <w:bCs/>
                <w:i w:val="0"/>
                <w:iCs w:val="0"/>
                <w:sz w:val="22"/>
                <w:szCs w:val="22"/>
              </w:rPr>
              <w:t>Ethnicity</w:t>
            </w:r>
            <w:r w:rsidR="00214395">
              <w:rPr>
                <w:rFonts w:ascii="TUOS Blake" w:hAnsi="TUOS Blake"/>
                <w:b/>
                <w:bCs/>
                <w:i w:val="0"/>
                <w:iCs w:val="0"/>
                <w:sz w:val="22"/>
                <w:szCs w:val="22"/>
              </w:rPr>
              <w:t xml:space="preserve"> </w:t>
            </w:r>
            <w:r w:rsidRPr="00541911">
              <w:rPr>
                <w:rFonts w:ascii="TUOS Blake" w:hAnsi="TUOS Blake"/>
                <w:b/>
                <w:bCs/>
                <w:i w:val="0"/>
                <w:iCs w:val="0"/>
                <w:sz w:val="22"/>
                <w:szCs w:val="22"/>
              </w:rPr>
              <w:t>(%</w:t>
            </w:r>
            <w:r w:rsidR="00214395">
              <w:rPr>
                <w:rFonts w:ascii="TUOS Blake" w:hAnsi="TUOS Blake"/>
                <w:b/>
                <w:bCs/>
                <w:i w:val="0"/>
                <w:iCs w:val="0"/>
                <w:sz w:val="22"/>
                <w:szCs w:val="22"/>
              </w:rPr>
              <w:t xml:space="preserve"> </w:t>
            </w:r>
            <w:r w:rsidRPr="00541911">
              <w:rPr>
                <w:rFonts w:ascii="TUOS Blake" w:hAnsi="TUOS Blake"/>
                <w:b/>
                <w:bCs/>
                <w:i w:val="0"/>
                <w:iCs w:val="0"/>
                <w:sz w:val="22"/>
                <w:szCs w:val="22"/>
              </w:rPr>
              <w:t>Caucasian)</w:t>
            </w:r>
          </w:p>
        </w:tc>
        <w:tc>
          <w:tcPr>
            <w:tcW w:w="1985" w:type="dxa"/>
          </w:tcPr>
          <w:p w14:paraId="736599CB" w14:textId="77777777" w:rsidR="00F45DD1" w:rsidRPr="00541911" w:rsidRDefault="00F45DD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541911">
              <w:rPr>
                <w:rFonts w:ascii="TUOS Blake" w:hAnsi="TUOS Blake"/>
                <w:sz w:val="22"/>
                <w:szCs w:val="22"/>
              </w:rPr>
              <w:t>100%</w:t>
            </w:r>
          </w:p>
        </w:tc>
        <w:tc>
          <w:tcPr>
            <w:tcW w:w="2126" w:type="dxa"/>
          </w:tcPr>
          <w:p w14:paraId="1BC9F51D" w14:textId="77777777" w:rsidR="00F45DD1" w:rsidRPr="00541911" w:rsidRDefault="00F45DD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541911">
              <w:rPr>
                <w:rFonts w:ascii="TUOS Blake" w:hAnsi="TUOS Blake"/>
                <w:sz w:val="22"/>
                <w:szCs w:val="22"/>
              </w:rPr>
              <w:t>85%</w:t>
            </w:r>
          </w:p>
        </w:tc>
        <w:tc>
          <w:tcPr>
            <w:tcW w:w="1922" w:type="dxa"/>
          </w:tcPr>
          <w:p w14:paraId="2DCD1076" w14:textId="77777777" w:rsidR="00F45DD1" w:rsidRPr="00541911" w:rsidRDefault="00F45DD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541911">
              <w:rPr>
                <w:rFonts w:ascii="TUOS Blake" w:hAnsi="TUOS Blake"/>
                <w:sz w:val="22"/>
                <w:szCs w:val="22"/>
              </w:rPr>
              <w:t>NS</w:t>
            </w:r>
          </w:p>
        </w:tc>
      </w:tr>
      <w:tr w:rsidR="00F45DD1" w:rsidRPr="00541911" w14:paraId="03B544A6" w14:textId="77777777" w:rsidTr="0021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3530233" w14:textId="77777777" w:rsidR="00F45DD1" w:rsidRPr="00541911" w:rsidRDefault="00F45DD1" w:rsidP="00F27D55">
            <w:pPr>
              <w:rPr>
                <w:rFonts w:ascii="TUOS Blake" w:hAnsi="TUOS Blake"/>
                <w:b/>
                <w:bCs/>
                <w:i w:val="0"/>
                <w:iCs w:val="0"/>
                <w:sz w:val="22"/>
                <w:szCs w:val="22"/>
              </w:rPr>
            </w:pPr>
            <w:proofErr w:type="spellStart"/>
            <w:r w:rsidRPr="00541911">
              <w:rPr>
                <w:rFonts w:ascii="TUOS Blake" w:hAnsi="TUOS Blake"/>
                <w:b/>
                <w:bCs/>
                <w:i w:val="0"/>
                <w:iCs w:val="0"/>
                <w:sz w:val="22"/>
                <w:szCs w:val="22"/>
              </w:rPr>
              <w:t>mPAP</w:t>
            </w:r>
            <w:proofErr w:type="spellEnd"/>
            <w:r w:rsidRPr="00541911">
              <w:rPr>
                <w:rFonts w:ascii="TUOS Blake" w:hAnsi="TUOS Blake"/>
                <w:b/>
                <w:bCs/>
                <w:i w:val="0"/>
                <w:iCs w:val="0"/>
                <w:sz w:val="22"/>
                <w:szCs w:val="22"/>
              </w:rPr>
              <w:t xml:space="preserve"> (mmHg)</w:t>
            </w:r>
          </w:p>
        </w:tc>
        <w:tc>
          <w:tcPr>
            <w:tcW w:w="1985" w:type="dxa"/>
          </w:tcPr>
          <w:p w14:paraId="62883DFC" w14:textId="77777777" w:rsidR="00F45DD1" w:rsidRPr="00541911" w:rsidRDefault="00F45DD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p>
        </w:tc>
        <w:tc>
          <w:tcPr>
            <w:tcW w:w="2126" w:type="dxa"/>
          </w:tcPr>
          <w:p w14:paraId="1FBED620" w14:textId="77777777" w:rsidR="00F45DD1" w:rsidRPr="00541911" w:rsidRDefault="00F45DD1" w:rsidP="00F27D55">
            <w:pPr>
              <w:cnfStyle w:val="000000100000" w:firstRow="0" w:lastRow="0" w:firstColumn="0" w:lastColumn="0" w:oddVBand="0" w:evenVBand="0" w:oddHBand="1" w:evenHBand="0" w:firstRowFirstColumn="0" w:firstRowLastColumn="0" w:lastRowFirstColumn="0" w:lastRowLastColumn="0"/>
              <w:rPr>
                <w:rFonts w:ascii="TUOS Blake" w:hAnsi="TUOS Blake"/>
                <w:color w:val="000000"/>
                <w:sz w:val="22"/>
                <w:szCs w:val="22"/>
              </w:rPr>
            </w:pPr>
            <w:r w:rsidRPr="00541911">
              <w:rPr>
                <w:rFonts w:ascii="TUOS Blake" w:hAnsi="TUOS Blake"/>
                <w:color w:val="000000"/>
                <w:sz w:val="22"/>
                <w:szCs w:val="22"/>
              </w:rPr>
              <w:t>58.7 (12.3)</w:t>
            </w:r>
          </w:p>
        </w:tc>
        <w:tc>
          <w:tcPr>
            <w:tcW w:w="1922" w:type="dxa"/>
          </w:tcPr>
          <w:p w14:paraId="77293A7A" w14:textId="77777777" w:rsidR="00F45DD1" w:rsidRPr="00541911" w:rsidRDefault="00F45DD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541911">
              <w:rPr>
                <w:rFonts w:ascii="TUOS Blake" w:hAnsi="TUOS Blake"/>
                <w:sz w:val="22"/>
                <w:szCs w:val="22"/>
              </w:rPr>
              <w:t>-</w:t>
            </w:r>
          </w:p>
        </w:tc>
      </w:tr>
      <w:tr w:rsidR="00F45DD1" w:rsidRPr="00541911" w14:paraId="79CBC8BF" w14:textId="77777777" w:rsidTr="00214395">
        <w:tc>
          <w:tcPr>
            <w:cnfStyle w:val="001000000000" w:firstRow="0" w:lastRow="0" w:firstColumn="1" w:lastColumn="0" w:oddVBand="0" w:evenVBand="0" w:oddHBand="0" w:evenHBand="0" w:firstRowFirstColumn="0" w:firstRowLastColumn="0" w:lastRowFirstColumn="0" w:lastRowLastColumn="0"/>
            <w:tcW w:w="2977" w:type="dxa"/>
          </w:tcPr>
          <w:p w14:paraId="5C173E30" w14:textId="2118F98C" w:rsidR="00F45DD1" w:rsidRPr="00541911" w:rsidRDefault="00F45DD1" w:rsidP="00F27D55">
            <w:pPr>
              <w:rPr>
                <w:rFonts w:ascii="TUOS Blake" w:hAnsi="TUOS Blake"/>
                <w:b/>
                <w:bCs/>
                <w:i w:val="0"/>
                <w:iCs w:val="0"/>
                <w:sz w:val="22"/>
                <w:szCs w:val="22"/>
              </w:rPr>
            </w:pPr>
            <w:r w:rsidRPr="00541911">
              <w:rPr>
                <w:rFonts w:ascii="TUOS Blake" w:hAnsi="TUOS Blake"/>
                <w:b/>
                <w:bCs/>
                <w:i w:val="0"/>
                <w:iCs w:val="0"/>
                <w:sz w:val="22"/>
                <w:szCs w:val="22"/>
              </w:rPr>
              <w:t>PVR</w:t>
            </w:r>
            <w:r w:rsidR="00214395">
              <w:rPr>
                <w:rFonts w:ascii="TUOS Blake" w:hAnsi="TUOS Blake"/>
                <w:b/>
                <w:bCs/>
                <w:i w:val="0"/>
                <w:iCs w:val="0"/>
                <w:sz w:val="22"/>
                <w:szCs w:val="22"/>
              </w:rPr>
              <w:t xml:space="preserve"> </w:t>
            </w:r>
            <w:r w:rsidRPr="00541911">
              <w:rPr>
                <w:rFonts w:ascii="TUOS Blake" w:hAnsi="TUOS Blake"/>
                <w:b/>
                <w:bCs/>
                <w:i w:val="0"/>
                <w:iCs w:val="0"/>
                <w:sz w:val="22"/>
                <w:szCs w:val="22"/>
              </w:rPr>
              <w:t>(</w:t>
            </w:r>
            <w:proofErr w:type="spellStart"/>
            <w:r w:rsidRPr="00541911">
              <w:rPr>
                <w:rFonts w:ascii="TUOS Blake" w:hAnsi="TUOS Blake"/>
                <w:b/>
                <w:bCs/>
                <w:i w:val="0"/>
                <w:iCs w:val="0"/>
                <w:sz w:val="22"/>
                <w:szCs w:val="22"/>
              </w:rPr>
              <w:t>Dynes.s</w:t>
            </w:r>
            <w:proofErr w:type="spellEnd"/>
            <w:r w:rsidRPr="00541911">
              <w:rPr>
                <w:rFonts w:ascii="TUOS Blake" w:hAnsi="TUOS Blake"/>
                <w:b/>
                <w:bCs/>
                <w:i w:val="0"/>
                <w:iCs w:val="0"/>
                <w:sz w:val="22"/>
                <w:szCs w:val="22"/>
              </w:rPr>
              <w:t>/cm</w:t>
            </w:r>
            <w:r w:rsidRPr="00541911">
              <w:rPr>
                <w:rFonts w:ascii="TUOS Blake" w:hAnsi="TUOS Blake"/>
                <w:b/>
                <w:bCs/>
                <w:i w:val="0"/>
                <w:iCs w:val="0"/>
                <w:sz w:val="22"/>
                <w:szCs w:val="22"/>
                <w:vertAlign w:val="superscript"/>
              </w:rPr>
              <w:t>5</w:t>
            </w:r>
            <w:r w:rsidRPr="00541911">
              <w:rPr>
                <w:rFonts w:ascii="TUOS Blake" w:hAnsi="TUOS Blake"/>
                <w:b/>
                <w:bCs/>
                <w:i w:val="0"/>
                <w:iCs w:val="0"/>
                <w:sz w:val="22"/>
                <w:szCs w:val="22"/>
              </w:rPr>
              <w:t>)</w:t>
            </w:r>
          </w:p>
        </w:tc>
        <w:tc>
          <w:tcPr>
            <w:tcW w:w="1985" w:type="dxa"/>
          </w:tcPr>
          <w:p w14:paraId="02B9A5E3" w14:textId="77777777" w:rsidR="00F45DD1" w:rsidRPr="00541911" w:rsidRDefault="00F45DD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p>
        </w:tc>
        <w:tc>
          <w:tcPr>
            <w:tcW w:w="2126" w:type="dxa"/>
          </w:tcPr>
          <w:p w14:paraId="271D9EE7" w14:textId="77777777" w:rsidR="00F45DD1" w:rsidRPr="00541911" w:rsidRDefault="00F45DD1" w:rsidP="00F27D55">
            <w:pPr>
              <w:cnfStyle w:val="000000000000" w:firstRow="0" w:lastRow="0" w:firstColumn="0" w:lastColumn="0" w:oddVBand="0" w:evenVBand="0" w:oddHBand="0" w:evenHBand="0" w:firstRowFirstColumn="0" w:firstRowLastColumn="0" w:lastRowFirstColumn="0" w:lastRowLastColumn="0"/>
              <w:rPr>
                <w:rFonts w:ascii="TUOS Blake" w:hAnsi="TUOS Blake"/>
                <w:color w:val="000000"/>
                <w:sz w:val="22"/>
                <w:szCs w:val="22"/>
              </w:rPr>
            </w:pPr>
            <w:r w:rsidRPr="00541911">
              <w:rPr>
                <w:rFonts w:ascii="TUOS Blake" w:hAnsi="TUOS Blake"/>
                <w:color w:val="000000"/>
                <w:sz w:val="22"/>
                <w:szCs w:val="22"/>
              </w:rPr>
              <w:t>919.8 (463.7)</w:t>
            </w:r>
          </w:p>
        </w:tc>
        <w:tc>
          <w:tcPr>
            <w:tcW w:w="1922" w:type="dxa"/>
          </w:tcPr>
          <w:p w14:paraId="3665C88E" w14:textId="77777777" w:rsidR="00F45DD1" w:rsidRPr="00541911" w:rsidRDefault="00F45DD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541911">
              <w:rPr>
                <w:rFonts w:ascii="TUOS Blake" w:hAnsi="TUOS Blake"/>
                <w:sz w:val="22"/>
                <w:szCs w:val="22"/>
              </w:rPr>
              <w:t>-</w:t>
            </w:r>
          </w:p>
        </w:tc>
      </w:tr>
      <w:tr w:rsidR="00F45DD1" w:rsidRPr="00541911" w14:paraId="53BB7109" w14:textId="77777777" w:rsidTr="0021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9E14D70" w14:textId="77777777" w:rsidR="00F45DD1" w:rsidRPr="00541911" w:rsidRDefault="00F45DD1" w:rsidP="00F27D55">
            <w:pPr>
              <w:rPr>
                <w:rFonts w:ascii="TUOS Blake" w:hAnsi="TUOS Blake"/>
                <w:b/>
                <w:bCs/>
                <w:i w:val="0"/>
                <w:iCs w:val="0"/>
                <w:sz w:val="22"/>
                <w:szCs w:val="22"/>
              </w:rPr>
            </w:pPr>
            <w:r w:rsidRPr="00541911">
              <w:rPr>
                <w:rFonts w:ascii="TUOS Blake" w:hAnsi="TUOS Blake"/>
                <w:b/>
                <w:bCs/>
                <w:i w:val="0"/>
                <w:iCs w:val="0"/>
                <w:sz w:val="22"/>
                <w:szCs w:val="22"/>
              </w:rPr>
              <w:t>Cardiac Output (L/min)</w:t>
            </w:r>
          </w:p>
        </w:tc>
        <w:tc>
          <w:tcPr>
            <w:tcW w:w="1985" w:type="dxa"/>
          </w:tcPr>
          <w:p w14:paraId="73647383" w14:textId="77777777" w:rsidR="00F45DD1" w:rsidRPr="00541911" w:rsidRDefault="00F45DD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p>
        </w:tc>
        <w:tc>
          <w:tcPr>
            <w:tcW w:w="2126" w:type="dxa"/>
          </w:tcPr>
          <w:p w14:paraId="6FB060C6" w14:textId="77777777" w:rsidR="00F45DD1" w:rsidRPr="00541911" w:rsidRDefault="00F45DD1" w:rsidP="00F27D55">
            <w:pPr>
              <w:cnfStyle w:val="000000100000" w:firstRow="0" w:lastRow="0" w:firstColumn="0" w:lastColumn="0" w:oddVBand="0" w:evenVBand="0" w:oddHBand="1" w:evenHBand="0" w:firstRowFirstColumn="0" w:firstRowLastColumn="0" w:lastRowFirstColumn="0" w:lastRowLastColumn="0"/>
              <w:rPr>
                <w:rFonts w:ascii="TUOS Blake" w:hAnsi="TUOS Blake"/>
                <w:color w:val="000000"/>
                <w:sz w:val="22"/>
                <w:szCs w:val="22"/>
              </w:rPr>
            </w:pPr>
            <w:r w:rsidRPr="00541911">
              <w:rPr>
                <w:rFonts w:ascii="TUOS Blake" w:hAnsi="TUOS Blake"/>
                <w:color w:val="000000"/>
                <w:sz w:val="22"/>
                <w:szCs w:val="22"/>
              </w:rPr>
              <w:t>5 (1.7)</w:t>
            </w:r>
          </w:p>
        </w:tc>
        <w:tc>
          <w:tcPr>
            <w:tcW w:w="1922" w:type="dxa"/>
          </w:tcPr>
          <w:p w14:paraId="5C7D7341" w14:textId="77777777" w:rsidR="00F45DD1" w:rsidRPr="00541911" w:rsidRDefault="00F45DD1"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541911">
              <w:rPr>
                <w:rFonts w:ascii="TUOS Blake" w:hAnsi="TUOS Blake"/>
                <w:sz w:val="22"/>
                <w:szCs w:val="22"/>
              </w:rPr>
              <w:t>-</w:t>
            </w:r>
          </w:p>
        </w:tc>
      </w:tr>
      <w:tr w:rsidR="00F45DD1" w:rsidRPr="00541911" w14:paraId="45186731" w14:textId="77777777" w:rsidTr="00214395">
        <w:tc>
          <w:tcPr>
            <w:cnfStyle w:val="001000000000" w:firstRow="0" w:lastRow="0" w:firstColumn="1" w:lastColumn="0" w:oddVBand="0" w:evenVBand="0" w:oddHBand="0" w:evenHBand="0" w:firstRowFirstColumn="0" w:firstRowLastColumn="0" w:lastRowFirstColumn="0" w:lastRowLastColumn="0"/>
            <w:tcW w:w="2977" w:type="dxa"/>
          </w:tcPr>
          <w:p w14:paraId="58EC39BD" w14:textId="77777777" w:rsidR="00F45DD1" w:rsidRPr="00541911" w:rsidRDefault="00F45DD1" w:rsidP="00F27D55">
            <w:pPr>
              <w:rPr>
                <w:rFonts w:ascii="TUOS Blake" w:hAnsi="TUOS Blake"/>
                <w:b/>
                <w:bCs/>
                <w:i w:val="0"/>
                <w:iCs w:val="0"/>
                <w:sz w:val="22"/>
                <w:szCs w:val="22"/>
              </w:rPr>
            </w:pPr>
            <w:r w:rsidRPr="00541911">
              <w:rPr>
                <w:rFonts w:ascii="TUOS Blake" w:hAnsi="TUOS Blake"/>
                <w:b/>
                <w:bCs/>
                <w:i w:val="0"/>
                <w:iCs w:val="0"/>
                <w:sz w:val="22"/>
                <w:szCs w:val="22"/>
              </w:rPr>
              <w:t>PA Wedge Pressure (mmHg)</w:t>
            </w:r>
          </w:p>
        </w:tc>
        <w:tc>
          <w:tcPr>
            <w:tcW w:w="1985" w:type="dxa"/>
          </w:tcPr>
          <w:p w14:paraId="796FEED5" w14:textId="77777777" w:rsidR="00F45DD1" w:rsidRPr="00541911" w:rsidRDefault="00F45DD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p>
        </w:tc>
        <w:tc>
          <w:tcPr>
            <w:tcW w:w="2126" w:type="dxa"/>
          </w:tcPr>
          <w:p w14:paraId="562A6627" w14:textId="77777777" w:rsidR="00F45DD1" w:rsidRPr="00541911" w:rsidRDefault="00F45DD1" w:rsidP="00F27D55">
            <w:pPr>
              <w:cnfStyle w:val="000000000000" w:firstRow="0" w:lastRow="0" w:firstColumn="0" w:lastColumn="0" w:oddVBand="0" w:evenVBand="0" w:oddHBand="0" w:evenHBand="0" w:firstRowFirstColumn="0" w:firstRowLastColumn="0" w:lastRowFirstColumn="0" w:lastRowLastColumn="0"/>
              <w:rPr>
                <w:rFonts w:ascii="TUOS Blake" w:hAnsi="TUOS Blake"/>
                <w:color w:val="000000"/>
                <w:sz w:val="22"/>
                <w:szCs w:val="22"/>
              </w:rPr>
            </w:pPr>
            <w:r w:rsidRPr="00541911">
              <w:rPr>
                <w:rFonts w:ascii="TUOS Blake" w:hAnsi="TUOS Blake"/>
                <w:color w:val="000000"/>
                <w:sz w:val="22"/>
                <w:szCs w:val="22"/>
              </w:rPr>
              <w:t>10.3 (3.2)</w:t>
            </w:r>
          </w:p>
        </w:tc>
        <w:tc>
          <w:tcPr>
            <w:tcW w:w="1922" w:type="dxa"/>
          </w:tcPr>
          <w:p w14:paraId="339DBAEA" w14:textId="77777777" w:rsidR="00F45DD1" w:rsidRPr="00541911" w:rsidRDefault="00F45DD1"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541911">
              <w:rPr>
                <w:rFonts w:ascii="TUOS Blake" w:hAnsi="TUOS Blake"/>
                <w:sz w:val="22"/>
                <w:szCs w:val="22"/>
              </w:rPr>
              <w:t>-</w:t>
            </w:r>
          </w:p>
        </w:tc>
      </w:tr>
    </w:tbl>
    <w:p w14:paraId="6256AD69" w14:textId="77777777" w:rsidR="00E4064F" w:rsidRDefault="00E4064F" w:rsidP="00E4064F"/>
    <w:p w14:paraId="282D6ACA" w14:textId="2017B2A0" w:rsidR="0058247F" w:rsidRPr="0058247F" w:rsidRDefault="00E4064F" w:rsidP="0058247F">
      <w:pPr>
        <w:pStyle w:val="Body"/>
        <w:rPr>
          <w:i/>
          <w:iCs/>
        </w:rPr>
      </w:pPr>
      <w:bookmarkStart w:id="213" w:name="_Ref21782047"/>
      <w:bookmarkStart w:id="214" w:name="_Toc60597182"/>
      <w:r w:rsidRPr="0058247F">
        <w:rPr>
          <w:i/>
          <w:iCs/>
        </w:rPr>
        <w:t xml:space="preserve">Table </w:t>
      </w:r>
      <w:r w:rsidR="004D7B97">
        <w:rPr>
          <w:i/>
          <w:iCs/>
        </w:rPr>
        <w:fldChar w:fldCharType="begin"/>
      </w:r>
      <w:r w:rsidR="004D7B97">
        <w:rPr>
          <w:i/>
          <w:iCs/>
        </w:rPr>
        <w:instrText xml:space="preserve"> STYLEREF 1 \s </w:instrText>
      </w:r>
      <w:r w:rsidR="004D7B97">
        <w:rPr>
          <w:i/>
          <w:iCs/>
        </w:rPr>
        <w:fldChar w:fldCharType="separate"/>
      </w:r>
      <w:r w:rsidR="00885DE4">
        <w:rPr>
          <w:i/>
          <w:iCs/>
          <w:noProof/>
        </w:rPr>
        <w:t>4</w:t>
      </w:r>
      <w:r w:rsidR="004D7B97">
        <w:rPr>
          <w:i/>
          <w:iCs/>
        </w:rPr>
        <w:fldChar w:fldCharType="end"/>
      </w:r>
      <w:r w:rsidR="004D7B97">
        <w:rPr>
          <w:i/>
          <w:iCs/>
        </w:rPr>
        <w:noBreakHyphen/>
      </w:r>
      <w:r w:rsidR="004D7B97">
        <w:rPr>
          <w:i/>
          <w:iCs/>
        </w:rPr>
        <w:fldChar w:fldCharType="begin"/>
      </w:r>
      <w:r w:rsidR="004D7B97">
        <w:rPr>
          <w:i/>
          <w:iCs/>
        </w:rPr>
        <w:instrText xml:space="preserve"> SEQ Table \* ARABIC \s 1 </w:instrText>
      </w:r>
      <w:r w:rsidR="004D7B97">
        <w:rPr>
          <w:i/>
          <w:iCs/>
        </w:rPr>
        <w:fldChar w:fldCharType="separate"/>
      </w:r>
      <w:r w:rsidR="00885DE4">
        <w:rPr>
          <w:i/>
          <w:iCs/>
          <w:noProof/>
        </w:rPr>
        <w:t>2</w:t>
      </w:r>
      <w:r w:rsidR="004D7B97">
        <w:rPr>
          <w:i/>
          <w:iCs/>
        </w:rPr>
        <w:fldChar w:fldCharType="end"/>
      </w:r>
      <w:bookmarkEnd w:id="213"/>
      <w:r w:rsidRPr="0058247F">
        <w:rPr>
          <w:i/>
          <w:iCs/>
        </w:rPr>
        <w:t xml:space="preserve"> Summary demographics of the Sheffield IPAH biomarker identification cohort. </w:t>
      </w:r>
      <w:r w:rsidR="0058247F" w:rsidRPr="0058247F">
        <w:rPr>
          <w:i/>
          <w:iCs/>
        </w:rPr>
        <w:t>Normally distributed data shown as mean + standard deviation and comparisons made using Students t-test.  Non-normally distributed data shown as median + interquartile range and comparisons made using Mann Whitney U-test. Categorical data was tested with Chi-Squared.</w:t>
      </w:r>
      <w:bookmarkEnd w:id="214"/>
    </w:p>
    <w:p w14:paraId="32477E0C" w14:textId="71667F20" w:rsidR="00E4064F" w:rsidRDefault="00E4064F" w:rsidP="00E4064F">
      <w:pPr>
        <w:pStyle w:val="Caption"/>
      </w:pPr>
    </w:p>
    <w:p w14:paraId="7F5FD203" w14:textId="77777777" w:rsidR="00AD7862" w:rsidRPr="00AD7862" w:rsidRDefault="00AD7862" w:rsidP="00AD7862"/>
    <w:p w14:paraId="7BBB5139" w14:textId="77777777" w:rsidR="00E4064F" w:rsidRPr="00572AEF" w:rsidRDefault="00E4064F" w:rsidP="00E4064F">
      <w:pPr>
        <w:pStyle w:val="Heading2"/>
        <w:numPr>
          <w:ilvl w:val="1"/>
          <w:numId w:val="7"/>
        </w:numPr>
        <w:spacing w:before="120" w:after="120"/>
        <w:ind w:left="578" w:hanging="578"/>
      </w:pPr>
      <w:bookmarkStart w:id="215" w:name="_Ref349732197"/>
      <w:bookmarkStart w:id="216" w:name="_Toc60773930"/>
      <w:r>
        <w:t>IPAH from HV Biomarker Feature Selection</w:t>
      </w:r>
      <w:bookmarkEnd w:id="215"/>
      <w:bookmarkEnd w:id="216"/>
    </w:p>
    <w:p w14:paraId="5C27E0C1" w14:textId="77777777" w:rsidR="00E4064F" w:rsidRPr="00181E06" w:rsidRDefault="00E4064F" w:rsidP="00E4064F">
      <w:pPr>
        <w:rPr>
          <w:b/>
        </w:rPr>
      </w:pPr>
    </w:p>
    <w:p w14:paraId="00E63F6F" w14:textId="2E3BB059" w:rsidR="00E4064F" w:rsidRDefault="00E4064F" w:rsidP="00E4064F">
      <w:pPr>
        <w:pStyle w:val="Body"/>
      </w:pPr>
      <w:r>
        <w:t xml:space="preserve">Identification of biomarkers of IPAH was performed </w:t>
      </w:r>
      <w:r w:rsidRPr="000F0939">
        <w:t>on the data subset containing IPAH and HV created from the whole miRNA microarray data set</w:t>
      </w:r>
      <w:r w:rsidR="00154F09" w:rsidRPr="000F0939">
        <w:t xml:space="preserve"> </w:t>
      </w:r>
      <w:r w:rsidR="003C2E01" w:rsidRPr="000F0939">
        <w:t xml:space="preserve">of </w:t>
      </w:r>
      <w:r w:rsidR="00154F09" w:rsidRPr="000F0939">
        <w:t>210 miRNAs</w:t>
      </w:r>
      <w:r w:rsidRPr="000F0939">
        <w:t>. Analysis</w:t>
      </w:r>
      <w:r>
        <w:t xml:space="preserve"> was performed as described in</w:t>
      </w:r>
      <w:r w:rsidR="00AB625F">
        <w:t xml:space="preserve"> </w:t>
      </w:r>
      <w:r w:rsidR="00281765">
        <w:fldChar w:fldCharType="begin"/>
      </w:r>
      <w:r w:rsidR="00281765">
        <w:instrText xml:space="preserve"> REF _Ref344043668 \r \h </w:instrText>
      </w:r>
      <w:r w:rsidR="00281765">
        <w:fldChar w:fldCharType="separate"/>
      </w:r>
      <w:r w:rsidR="00885DE4">
        <w:t>2.2</w:t>
      </w:r>
      <w:r w:rsidR="00281765">
        <w:fldChar w:fldCharType="end"/>
      </w:r>
      <w:r w:rsidR="00FE2932">
        <w:t xml:space="preserve"> and </w:t>
      </w:r>
      <w:r w:rsidR="00FE2932">
        <w:fldChar w:fldCharType="begin"/>
      </w:r>
      <w:r w:rsidR="00FE2932">
        <w:instrText xml:space="preserve"> REF _Ref54450657 \r \h </w:instrText>
      </w:r>
      <w:r w:rsidR="00FE2932">
        <w:fldChar w:fldCharType="separate"/>
      </w:r>
      <w:r w:rsidR="00885DE4">
        <w:t>2.4</w:t>
      </w:r>
      <w:r w:rsidR="00FE2932">
        <w:fldChar w:fldCharType="end"/>
      </w:r>
      <w:r w:rsidR="00FE2932">
        <w:t>.</w:t>
      </w:r>
      <w:r>
        <w:t xml:space="preserve"> </w:t>
      </w:r>
      <w:r w:rsidRPr="00E37568">
        <w:t>180</w:t>
      </w:r>
      <w:r>
        <w:t xml:space="preserve"> miRNAs with a ROC AUC &lt;0.65 were identified and removed from the initial </w:t>
      </w:r>
      <w:r w:rsidRPr="00E37568">
        <w:t xml:space="preserve">393 </w:t>
      </w:r>
      <w:r>
        <w:t xml:space="preserve">miRNAs. Spearman correlation analysis on the remaining miRNAs identified </w:t>
      </w:r>
      <w:r w:rsidRPr="00E37568">
        <w:t xml:space="preserve">198 </w:t>
      </w:r>
      <w:r>
        <w:t xml:space="preserve">correlating miRNAs that were removed leaving a filtered data set containing </w:t>
      </w:r>
      <w:r w:rsidRPr="00E37568">
        <w:t xml:space="preserve">15 </w:t>
      </w:r>
      <w:r>
        <w:t xml:space="preserve">miRNAs for feature selection. Feature selection was </w:t>
      </w:r>
      <w:r>
        <w:lastRenderedPageBreak/>
        <w:t>performed with both Boruta and LASSO algorithms identifying a combined total of 10</w:t>
      </w:r>
      <w:r w:rsidRPr="00E37568">
        <w:t xml:space="preserve"> </w:t>
      </w:r>
      <w:r>
        <w:t xml:space="preserve">unique </w:t>
      </w:r>
      <w:proofErr w:type="spellStart"/>
      <w:r>
        <w:t>miRs</w:t>
      </w:r>
      <w:proofErr w:type="spellEnd"/>
      <w:r>
        <w:t>; All 10 were identified in Boruta and 9 by LASSO (</w:t>
      </w:r>
      <w:r>
        <w:rPr>
          <w:b/>
        </w:rPr>
        <w:fldChar w:fldCharType="begin"/>
      </w:r>
      <w:r>
        <w:instrText xml:space="preserve"> REF _Ref344111760 \h </w:instrText>
      </w:r>
      <w:r>
        <w:rPr>
          <w:b/>
        </w:rPr>
      </w:r>
      <w:r>
        <w:rPr>
          <w:b/>
        </w:rPr>
        <w:fldChar w:fldCharType="separate"/>
      </w:r>
      <w:r w:rsidR="00885DE4">
        <w:t xml:space="preserve">Table </w:t>
      </w:r>
      <w:r w:rsidR="00885DE4">
        <w:rPr>
          <w:noProof/>
        </w:rPr>
        <w:t>4</w:t>
      </w:r>
      <w:r w:rsidR="00885DE4">
        <w:noBreakHyphen/>
      </w:r>
      <w:r w:rsidR="00885DE4">
        <w:rPr>
          <w:noProof/>
        </w:rPr>
        <w:t>3</w:t>
      </w:r>
      <w:r>
        <w:rPr>
          <w:b/>
        </w:rPr>
        <w:fldChar w:fldCharType="end"/>
      </w:r>
      <w:r>
        <w:t xml:space="preserve">). </w:t>
      </w:r>
    </w:p>
    <w:tbl>
      <w:tblPr>
        <w:tblStyle w:val="DefaultTableStyle"/>
        <w:tblW w:w="6594" w:type="dxa"/>
        <w:jc w:val="center"/>
        <w:tblBorders>
          <w:insideV w:val="none" w:sz="0" w:space="0" w:color="auto"/>
        </w:tblBorders>
        <w:tblLook w:val="0620" w:firstRow="1" w:lastRow="0" w:firstColumn="0" w:lastColumn="0" w:noHBand="1" w:noVBand="1"/>
      </w:tblPr>
      <w:tblGrid>
        <w:gridCol w:w="1445"/>
        <w:gridCol w:w="3614"/>
        <w:gridCol w:w="1535"/>
      </w:tblGrid>
      <w:tr w:rsidR="00E4064F" w:rsidRPr="007F7A1E" w14:paraId="5D55BC8B" w14:textId="77777777" w:rsidTr="000D1B2E">
        <w:trPr>
          <w:cnfStyle w:val="100000000000" w:firstRow="1" w:lastRow="0" w:firstColumn="0" w:lastColumn="0" w:oddVBand="0" w:evenVBand="0" w:oddHBand="0" w:evenHBand="0" w:firstRowFirstColumn="0" w:firstRowLastColumn="0" w:lastRowFirstColumn="0" w:lastRowLastColumn="0"/>
          <w:trHeight w:hRule="exact" w:val="432"/>
          <w:jc w:val="center"/>
        </w:trPr>
        <w:tc>
          <w:tcPr>
            <w:tcW w:w="0" w:type="auto"/>
            <w:tcBorders>
              <w:top w:val="single" w:sz="4" w:space="0" w:color="auto"/>
              <w:bottom w:val="single" w:sz="4" w:space="0" w:color="auto"/>
            </w:tcBorders>
          </w:tcPr>
          <w:p w14:paraId="1C1C2758" w14:textId="77777777" w:rsidR="00E4064F" w:rsidRPr="00D136D3" w:rsidRDefault="00E4064F" w:rsidP="000D1B2E">
            <w:pPr>
              <w:pStyle w:val="BodyText1"/>
              <w:jc w:val="both"/>
              <w:rPr>
                <w:rFonts w:ascii="TUOS Blake" w:hAnsi="TUOS Blake" w:cs="Times New Roman"/>
              </w:rPr>
            </w:pPr>
            <w:r w:rsidRPr="00D136D3">
              <w:rPr>
                <w:rFonts w:ascii="TUOS Blake" w:hAnsi="TUOS Blake" w:cs="Times New Roman"/>
              </w:rPr>
              <w:t>microRNA</w:t>
            </w:r>
          </w:p>
        </w:tc>
        <w:tc>
          <w:tcPr>
            <w:tcW w:w="0" w:type="auto"/>
            <w:tcBorders>
              <w:top w:val="single" w:sz="4" w:space="0" w:color="auto"/>
              <w:bottom w:val="single" w:sz="4" w:space="0" w:color="auto"/>
            </w:tcBorders>
          </w:tcPr>
          <w:p w14:paraId="7F1E2046" w14:textId="77777777" w:rsidR="00E4064F" w:rsidRPr="00D136D3" w:rsidRDefault="00E4064F" w:rsidP="000D1B2E">
            <w:pPr>
              <w:pStyle w:val="BodyText1"/>
              <w:jc w:val="center"/>
              <w:rPr>
                <w:rFonts w:ascii="TUOS Blake" w:hAnsi="TUOS Blake" w:cs="Times New Roman"/>
              </w:rPr>
            </w:pPr>
            <w:r w:rsidRPr="00D136D3">
              <w:rPr>
                <w:rFonts w:ascii="TUOS Blake" w:hAnsi="TUOS Blake" w:cs="Times New Roman"/>
              </w:rPr>
              <w:t>Boruta Feature Significance (%)</w:t>
            </w:r>
          </w:p>
        </w:tc>
        <w:tc>
          <w:tcPr>
            <w:tcW w:w="0" w:type="auto"/>
            <w:tcBorders>
              <w:top w:val="single" w:sz="4" w:space="0" w:color="auto"/>
              <w:bottom w:val="single" w:sz="4" w:space="0" w:color="auto"/>
            </w:tcBorders>
          </w:tcPr>
          <w:p w14:paraId="41C929CF" w14:textId="77777777" w:rsidR="00E4064F" w:rsidRPr="00D136D3" w:rsidRDefault="00E4064F" w:rsidP="000D1B2E">
            <w:pPr>
              <w:pStyle w:val="BodyText1"/>
              <w:jc w:val="center"/>
              <w:rPr>
                <w:rFonts w:ascii="TUOS Blake" w:hAnsi="TUOS Blake" w:cs="Times New Roman"/>
              </w:rPr>
            </w:pPr>
            <w:r w:rsidRPr="00D136D3">
              <w:rPr>
                <w:rFonts w:ascii="TUOS Blake" w:hAnsi="TUOS Blake" w:cs="Times New Roman"/>
              </w:rPr>
              <w:t>LASSO Rank</w:t>
            </w:r>
          </w:p>
        </w:tc>
      </w:tr>
      <w:tr w:rsidR="00E4064F" w:rsidRPr="007F7A1E" w14:paraId="34A53FF7" w14:textId="77777777" w:rsidTr="000D1B2E">
        <w:trPr>
          <w:trHeight w:hRule="exact" w:val="432"/>
          <w:jc w:val="center"/>
        </w:trPr>
        <w:tc>
          <w:tcPr>
            <w:tcW w:w="0" w:type="auto"/>
            <w:tcBorders>
              <w:top w:val="single" w:sz="4" w:space="0" w:color="auto"/>
            </w:tcBorders>
            <w:vAlign w:val="bottom"/>
          </w:tcPr>
          <w:p w14:paraId="3D2F123D" w14:textId="77777777" w:rsidR="00E4064F" w:rsidRPr="00F20C79" w:rsidRDefault="00E4064F" w:rsidP="000D1B2E">
            <w:pPr>
              <w:pStyle w:val="Body"/>
            </w:pPr>
            <w:r w:rsidRPr="00F20C79">
              <w:t>miR-187-5p</w:t>
            </w:r>
          </w:p>
        </w:tc>
        <w:tc>
          <w:tcPr>
            <w:tcW w:w="0" w:type="auto"/>
            <w:tcBorders>
              <w:top w:val="single" w:sz="4" w:space="0" w:color="auto"/>
            </w:tcBorders>
            <w:vAlign w:val="bottom"/>
          </w:tcPr>
          <w:p w14:paraId="51DB7DA9" w14:textId="77777777" w:rsidR="00E4064F" w:rsidRPr="00F20C79" w:rsidRDefault="00E4064F" w:rsidP="000D1B2E">
            <w:pPr>
              <w:pStyle w:val="Body"/>
              <w:jc w:val="center"/>
            </w:pPr>
            <w:r w:rsidRPr="00F20C79">
              <w:t>100</w:t>
            </w:r>
          </w:p>
        </w:tc>
        <w:tc>
          <w:tcPr>
            <w:tcW w:w="0" w:type="auto"/>
            <w:tcBorders>
              <w:top w:val="single" w:sz="4" w:space="0" w:color="auto"/>
            </w:tcBorders>
            <w:vAlign w:val="bottom"/>
          </w:tcPr>
          <w:p w14:paraId="6C708B84" w14:textId="77777777" w:rsidR="00E4064F" w:rsidRPr="00F20C79" w:rsidRDefault="00E4064F" w:rsidP="000D1B2E">
            <w:pPr>
              <w:pStyle w:val="Body"/>
              <w:jc w:val="center"/>
            </w:pPr>
            <w:r w:rsidRPr="00F20C79">
              <w:t>6</w:t>
            </w:r>
          </w:p>
        </w:tc>
      </w:tr>
      <w:tr w:rsidR="00E4064F" w:rsidRPr="007F7A1E" w14:paraId="5AE00B22" w14:textId="77777777" w:rsidTr="000D1B2E">
        <w:trPr>
          <w:trHeight w:hRule="exact" w:val="432"/>
          <w:jc w:val="center"/>
        </w:trPr>
        <w:tc>
          <w:tcPr>
            <w:tcW w:w="0" w:type="auto"/>
            <w:vAlign w:val="bottom"/>
          </w:tcPr>
          <w:p w14:paraId="4293A7B2" w14:textId="77777777" w:rsidR="00E4064F" w:rsidRPr="00F20C79" w:rsidRDefault="00E4064F" w:rsidP="000D1B2E">
            <w:pPr>
              <w:pStyle w:val="Body"/>
            </w:pPr>
            <w:r w:rsidRPr="00F20C79">
              <w:t>miR-331-3p</w:t>
            </w:r>
          </w:p>
        </w:tc>
        <w:tc>
          <w:tcPr>
            <w:tcW w:w="0" w:type="auto"/>
            <w:vAlign w:val="bottom"/>
          </w:tcPr>
          <w:p w14:paraId="35951DA6" w14:textId="77777777" w:rsidR="00E4064F" w:rsidRPr="00F20C79" w:rsidRDefault="00E4064F" w:rsidP="000D1B2E">
            <w:pPr>
              <w:pStyle w:val="Body"/>
              <w:jc w:val="center"/>
            </w:pPr>
            <w:r w:rsidRPr="00F20C79">
              <w:t>91.9</w:t>
            </w:r>
          </w:p>
        </w:tc>
        <w:tc>
          <w:tcPr>
            <w:tcW w:w="0" w:type="auto"/>
            <w:vAlign w:val="bottom"/>
          </w:tcPr>
          <w:p w14:paraId="349F35CF" w14:textId="77777777" w:rsidR="00E4064F" w:rsidRPr="00F20C79" w:rsidRDefault="00E4064F" w:rsidP="000D1B2E">
            <w:pPr>
              <w:pStyle w:val="Body"/>
              <w:jc w:val="center"/>
            </w:pPr>
            <w:r>
              <w:t>.</w:t>
            </w:r>
          </w:p>
        </w:tc>
      </w:tr>
      <w:tr w:rsidR="00E4064F" w:rsidRPr="007F7A1E" w14:paraId="3B27C4EA" w14:textId="77777777" w:rsidTr="000D1B2E">
        <w:trPr>
          <w:trHeight w:hRule="exact" w:val="432"/>
          <w:jc w:val="center"/>
        </w:trPr>
        <w:tc>
          <w:tcPr>
            <w:tcW w:w="0" w:type="auto"/>
            <w:vAlign w:val="bottom"/>
          </w:tcPr>
          <w:p w14:paraId="6017F563" w14:textId="77777777" w:rsidR="00E4064F" w:rsidRPr="00F20C79" w:rsidRDefault="00E4064F" w:rsidP="000D1B2E">
            <w:pPr>
              <w:pStyle w:val="Body"/>
            </w:pPr>
            <w:r w:rsidRPr="00F20C79">
              <w:t>miR-451a</w:t>
            </w:r>
          </w:p>
        </w:tc>
        <w:tc>
          <w:tcPr>
            <w:tcW w:w="0" w:type="auto"/>
            <w:vAlign w:val="bottom"/>
          </w:tcPr>
          <w:p w14:paraId="122DAF3C" w14:textId="77777777" w:rsidR="00E4064F" w:rsidRPr="00F20C79" w:rsidRDefault="00E4064F" w:rsidP="000D1B2E">
            <w:pPr>
              <w:pStyle w:val="Body"/>
              <w:jc w:val="center"/>
            </w:pPr>
            <w:r w:rsidRPr="00F20C79">
              <w:t>98</w:t>
            </w:r>
          </w:p>
        </w:tc>
        <w:tc>
          <w:tcPr>
            <w:tcW w:w="0" w:type="auto"/>
            <w:vAlign w:val="bottom"/>
          </w:tcPr>
          <w:p w14:paraId="7DA84338" w14:textId="77777777" w:rsidR="00E4064F" w:rsidRPr="00F20C79" w:rsidRDefault="00E4064F" w:rsidP="000D1B2E">
            <w:pPr>
              <w:pStyle w:val="Body"/>
              <w:jc w:val="center"/>
            </w:pPr>
            <w:r w:rsidRPr="00F20C79">
              <w:t>5</w:t>
            </w:r>
          </w:p>
        </w:tc>
      </w:tr>
      <w:tr w:rsidR="00E4064F" w:rsidRPr="007F7A1E" w14:paraId="7C48A8DB" w14:textId="77777777" w:rsidTr="000D1B2E">
        <w:trPr>
          <w:trHeight w:hRule="exact" w:val="432"/>
          <w:jc w:val="center"/>
        </w:trPr>
        <w:tc>
          <w:tcPr>
            <w:tcW w:w="0" w:type="auto"/>
            <w:vAlign w:val="bottom"/>
          </w:tcPr>
          <w:p w14:paraId="7FBA0B5D" w14:textId="77777777" w:rsidR="00E4064F" w:rsidRPr="00F20C79" w:rsidRDefault="00E4064F" w:rsidP="000D1B2E">
            <w:pPr>
              <w:pStyle w:val="Body"/>
            </w:pPr>
            <w:r w:rsidRPr="00F20C79">
              <w:t>miR-630</w:t>
            </w:r>
          </w:p>
        </w:tc>
        <w:tc>
          <w:tcPr>
            <w:tcW w:w="0" w:type="auto"/>
            <w:vAlign w:val="bottom"/>
          </w:tcPr>
          <w:p w14:paraId="1F52DE22" w14:textId="77777777" w:rsidR="00E4064F" w:rsidRPr="00F20C79" w:rsidRDefault="00E4064F" w:rsidP="000D1B2E">
            <w:pPr>
              <w:pStyle w:val="Body"/>
              <w:jc w:val="center"/>
            </w:pPr>
            <w:r w:rsidRPr="00F20C79">
              <w:t>79.8</w:t>
            </w:r>
          </w:p>
        </w:tc>
        <w:tc>
          <w:tcPr>
            <w:tcW w:w="0" w:type="auto"/>
            <w:vAlign w:val="bottom"/>
          </w:tcPr>
          <w:p w14:paraId="49206ED4" w14:textId="77777777" w:rsidR="00E4064F" w:rsidRPr="00F20C79" w:rsidRDefault="00E4064F" w:rsidP="000D1B2E">
            <w:pPr>
              <w:pStyle w:val="Body"/>
              <w:jc w:val="center"/>
            </w:pPr>
            <w:r w:rsidRPr="00F20C79">
              <w:t>3</w:t>
            </w:r>
          </w:p>
        </w:tc>
      </w:tr>
      <w:tr w:rsidR="00E4064F" w:rsidRPr="007F7A1E" w14:paraId="3460FBE8" w14:textId="77777777" w:rsidTr="000D1B2E">
        <w:trPr>
          <w:trHeight w:hRule="exact" w:val="432"/>
          <w:jc w:val="center"/>
        </w:trPr>
        <w:tc>
          <w:tcPr>
            <w:tcW w:w="0" w:type="auto"/>
            <w:vAlign w:val="bottom"/>
          </w:tcPr>
          <w:p w14:paraId="0A82E4B4" w14:textId="77777777" w:rsidR="00E4064F" w:rsidRPr="00F20C79" w:rsidRDefault="00E4064F" w:rsidP="000D1B2E">
            <w:pPr>
              <w:pStyle w:val="Body"/>
            </w:pPr>
            <w:r w:rsidRPr="00F20C79">
              <w:t>miR-636</w:t>
            </w:r>
          </w:p>
        </w:tc>
        <w:tc>
          <w:tcPr>
            <w:tcW w:w="0" w:type="auto"/>
            <w:vAlign w:val="bottom"/>
          </w:tcPr>
          <w:p w14:paraId="5A8C8CB4" w14:textId="77777777" w:rsidR="00E4064F" w:rsidRPr="00F20C79" w:rsidRDefault="00E4064F" w:rsidP="000D1B2E">
            <w:pPr>
              <w:pStyle w:val="Body"/>
              <w:jc w:val="center"/>
            </w:pPr>
            <w:r w:rsidRPr="00F20C79">
              <w:t>100</w:t>
            </w:r>
          </w:p>
        </w:tc>
        <w:tc>
          <w:tcPr>
            <w:tcW w:w="0" w:type="auto"/>
            <w:vAlign w:val="bottom"/>
          </w:tcPr>
          <w:p w14:paraId="5CFEC1E3" w14:textId="77777777" w:rsidR="00E4064F" w:rsidRPr="00F20C79" w:rsidRDefault="00E4064F" w:rsidP="000D1B2E">
            <w:pPr>
              <w:pStyle w:val="Body"/>
              <w:jc w:val="center"/>
            </w:pPr>
            <w:r w:rsidRPr="00F20C79">
              <w:t>1</w:t>
            </w:r>
          </w:p>
        </w:tc>
      </w:tr>
      <w:tr w:rsidR="00E4064F" w:rsidRPr="007F7A1E" w14:paraId="7E649653" w14:textId="77777777" w:rsidTr="000D1B2E">
        <w:trPr>
          <w:trHeight w:hRule="exact" w:val="432"/>
          <w:jc w:val="center"/>
        </w:trPr>
        <w:tc>
          <w:tcPr>
            <w:tcW w:w="0" w:type="auto"/>
            <w:vAlign w:val="bottom"/>
          </w:tcPr>
          <w:p w14:paraId="07ACAFFA" w14:textId="77777777" w:rsidR="00E4064F" w:rsidRPr="00F20C79" w:rsidRDefault="00E4064F" w:rsidP="000D1B2E">
            <w:pPr>
              <w:pStyle w:val="Body"/>
            </w:pPr>
            <w:r w:rsidRPr="00F20C79">
              <w:t>miR-671-5p</w:t>
            </w:r>
          </w:p>
        </w:tc>
        <w:tc>
          <w:tcPr>
            <w:tcW w:w="0" w:type="auto"/>
            <w:vAlign w:val="bottom"/>
          </w:tcPr>
          <w:p w14:paraId="06E7C23F" w14:textId="77777777" w:rsidR="00E4064F" w:rsidRPr="00F20C79" w:rsidRDefault="00E4064F" w:rsidP="000D1B2E">
            <w:pPr>
              <w:pStyle w:val="Body"/>
              <w:jc w:val="center"/>
            </w:pPr>
            <w:r w:rsidRPr="00F20C79">
              <w:t>94.9</w:t>
            </w:r>
          </w:p>
        </w:tc>
        <w:tc>
          <w:tcPr>
            <w:tcW w:w="0" w:type="auto"/>
            <w:vAlign w:val="bottom"/>
          </w:tcPr>
          <w:p w14:paraId="041395C0" w14:textId="77777777" w:rsidR="00E4064F" w:rsidRPr="00F20C79" w:rsidRDefault="00E4064F" w:rsidP="000D1B2E">
            <w:pPr>
              <w:pStyle w:val="Body"/>
              <w:jc w:val="center"/>
            </w:pPr>
            <w:r w:rsidRPr="00F20C79">
              <w:t>4</w:t>
            </w:r>
          </w:p>
        </w:tc>
      </w:tr>
      <w:tr w:rsidR="00E4064F" w:rsidRPr="007F7A1E" w14:paraId="22A78284" w14:textId="77777777" w:rsidTr="000D1B2E">
        <w:trPr>
          <w:trHeight w:hRule="exact" w:val="432"/>
          <w:jc w:val="center"/>
        </w:trPr>
        <w:tc>
          <w:tcPr>
            <w:tcW w:w="0" w:type="auto"/>
            <w:vAlign w:val="bottom"/>
          </w:tcPr>
          <w:p w14:paraId="73E7FB77" w14:textId="77777777" w:rsidR="00E4064F" w:rsidRPr="00F20C79" w:rsidRDefault="00E4064F" w:rsidP="000D1B2E">
            <w:pPr>
              <w:pStyle w:val="Body"/>
            </w:pPr>
            <w:r w:rsidRPr="00F20C79">
              <w:t>miR-877-3p</w:t>
            </w:r>
          </w:p>
        </w:tc>
        <w:tc>
          <w:tcPr>
            <w:tcW w:w="0" w:type="auto"/>
            <w:vAlign w:val="bottom"/>
          </w:tcPr>
          <w:p w14:paraId="25A6F440" w14:textId="77777777" w:rsidR="00E4064F" w:rsidRPr="00F20C79" w:rsidRDefault="00E4064F" w:rsidP="000D1B2E">
            <w:pPr>
              <w:pStyle w:val="Body"/>
              <w:jc w:val="center"/>
            </w:pPr>
            <w:r w:rsidRPr="00F20C79">
              <w:t>100</w:t>
            </w:r>
          </w:p>
        </w:tc>
        <w:tc>
          <w:tcPr>
            <w:tcW w:w="0" w:type="auto"/>
            <w:vAlign w:val="bottom"/>
          </w:tcPr>
          <w:p w14:paraId="10F50402" w14:textId="77777777" w:rsidR="00E4064F" w:rsidRPr="00F20C79" w:rsidRDefault="00E4064F" w:rsidP="000D1B2E">
            <w:pPr>
              <w:pStyle w:val="Body"/>
              <w:jc w:val="center"/>
            </w:pPr>
            <w:r w:rsidRPr="00F20C79">
              <w:t>7</w:t>
            </w:r>
          </w:p>
        </w:tc>
      </w:tr>
      <w:tr w:rsidR="00E4064F" w:rsidRPr="007F7A1E" w14:paraId="3D4BC8A1" w14:textId="77777777" w:rsidTr="000D1B2E">
        <w:trPr>
          <w:trHeight w:hRule="exact" w:val="432"/>
          <w:jc w:val="center"/>
        </w:trPr>
        <w:tc>
          <w:tcPr>
            <w:tcW w:w="0" w:type="auto"/>
            <w:vAlign w:val="bottom"/>
          </w:tcPr>
          <w:p w14:paraId="0F46C7DD" w14:textId="77777777" w:rsidR="00E4064F" w:rsidRPr="00F20C79" w:rsidRDefault="00E4064F" w:rsidP="000D1B2E">
            <w:pPr>
              <w:pStyle w:val="Body"/>
            </w:pPr>
            <w:r w:rsidRPr="00F20C79">
              <w:t>miR-1229-3p</w:t>
            </w:r>
          </w:p>
        </w:tc>
        <w:tc>
          <w:tcPr>
            <w:tcW w:w="0" w:type="auto"/>
            <w:vAlign w:val="bottom"/>
          </w:tcPr>
          <w:p w14:paraId="296E2ED2" w14:textId="77777777" w:rsidR="00E4064F" w:rsidRPr="00F20C79" w:rsidRDefault="00E4064F" w:rsidP="000D1B2E">
            <w:pPr>
              <w:pStyle w:val="Body"/>
              <w:jc w:val="center"/>
            </w:pPr>
            <w:r w:rsidRPr="00F20C79">
              <w:t>85.9</w:t>
            </w:r>
          </w:p>
        </w:tc>
        <w:tc>
          <w:tcPr>
            <w:tcW w:w="0" w:type="auto"/>
            <w:vAlign w:val="bottom"/>
          </w:tcPr>
          <w:p w14:paraId="0306F759" w14:textId="77777777" w:rsidR="00E4064F" w:rsidRPr="00F20C79" w:rsidRDefault="00E4064F" w:rsidP="000D1B2E">
            <w:pPr>
              <w:pStyle w:val="Body"/>
              <w:jc w:val="center"/>
            </w:pPr>
            <w:r w:rsidRPr="00F20C79">
              <w:t>8</w:t>
            </w:r>
          </w:p>
        </w:tc>
      </w:tr>
      <w:tr w:rsidR="00E4064F" w:rsidRPr="007F7A1E" w14:paraId="213B28F3" w14:textId="77777777" w:rsidTr="000D1B2E">
        <w:trPr>
          <w:trHeight w:hRule="exact" w:val="432"/>
          <w:jc w:val="center"/>
        </w:trPr>
        <w:tc>
          <w:tcPr>
            <w:tcW w:w="0" w:type="auto"/>
            <w:vAlign w:val="bottom"/>
          </w:tcPr>
          <w:p w14:paraId="1F5CA448" w14:textId="77777777" w:rsidR="00E4064F" w:rsidRPr="00F20C79" w:rsidRDefault="00E4064F" w:rsidP="000D1B2E">
            <w:pPr>
              <w:pStyle w:val="Body"/>
            </w:pPr>
            <w:r w:rsidRPr="00F20C79">
              <w:t>miR-1237-3p</w:t>
            </w:r>
          </w:p>
        </w:tc>
        <w:tc>
          <w:tcPr>
            <w:tcW w:w="0" w:type="auto"/>
            <w:vAlign w:val="bottom"/>
          </w:tcPr>
          <w:p w14:paraId="401715D4" w14:textId="77777777" w:rsidR="00E4064F" w:rsidRPr="00F20C79" w:rsidRDefault="00E4064F" w:rsidP="000D1B2E">
            <w:pPr>
              <w:pStyle w:val="Body"/>
              <w:jc w:val="center"/>
            </w:pPr>
            <w:r w:rsidRPr="00F20C79">
              <w:t>69.7</w:t>
            </w:r>
          </w:p>
        </w:tc>
        <w:tc>
          <w:tcPr>
            <w:tcW w:w="0" w:type="auto"/>
            <w:vAlign w:val="bottom"/>
          </w:tcPr>
          <w:p w14:paraId="50AD3E48" w14:textId="77777777" w:rsidR="00E4064F" w:rsidRPr="00F20C79" w:rsidRDefault="00E4064F" w:rsidP="000D1B2E">
            <w:pPr>
              <w:pStyle w:val="Body"/>
              <w:jc w:val="center"/>
            </w:pPr>
            <w:r w:rsidRPr="00F20C79">
              <w:t>9</w:t>
            </w:r>
          </w:p>
        </w:tc>
      </w:tr>
      <w:tr w:rsidR="00E4064F" w:rsidRPr="007F7A1E" w14:paraId="5A1E4996" w14:textId="77777777" w:rsidTr="000D1B2E">
        <w:trPr>
          <w:trHeight w:hRule="exact" w:val="432"/>
          <w:jc w:val="center"/>
        </w:trPr>
        <w:tc>
          <w:tcPr>
            <w:tcW w:w="0" w:type="auto"/>
            <w:vAlign w:val="bottom"/>
          </w:tcPr>
          <w:p w14:paraId="759EAF1E" w14:textId="77777777" w:rsidR="00E4064F" w:rsidRPr="00F20C79" w:rsidRDefault="00E4064F" w:rsidP="000D1B2E">
            <w:pPr>
              <w:pStyle w:val="Body"/>
            </w:pPr>
            <w:r w:rsidRPr="00F20C79">
              <w:t>miR-1972</w:t>
            </w:r>
          </w:p>
        </w:tc>
        <w:tc>
          <w:tcPr>
            <w:tcW w:w="0" w:type="auto"/>
            <w:vAlign w:val="bottom"/>
          </w:tcPr>
          <w:p w14:paraId="63B0FE9E" w14:textId="77777777" w:rsidR="00E4064F" w:rsidRPr="00F20C79" w:rsidRDefault="00E4064F" w:rsidP="000D1B2E">
            <w:pPr>
              <w:pStyle w:val="Body"/>
              <w:jc w:val="center"/>
            </w:pPr>
            <w:r w:rsidRPr="00F20C79">
              <w:t>98</w:t>
            </w:r>
          </w:p>
        </w:tc>
        <w:tc>
          <w:tcPr>
            <w:tcW w:w="0" w:type="auto"/>
            <w:vAlign w:val="bottom"/>
          </w:tcPr>
          <w:p w14:paraId="1824E2D2" w14:textId="77777777" w:rsidR="00E4064F" w:rsidRPr="00F20C79" w:rsidRDefault="00E4064F" w:rsidP="000D1B2E">
            <w:pPr>
              <w:pStyle w:val="Body"/>
              <w:jc w:val="center"/>
            </w:pPr>
            <w:r w:rsidRPr="00F20C79">
              <w:t>2</w:t>
            </w:r>
          </w:p>
        </w:tc>
      </w:tr>
    </w:tbl>
    <w:p w14:paraId="56F9DB47" w14:textId="335750F5" w:rsidR="00E4064F" w:rsidRDefault="00E4064F" w:rsidP="00E4064F">
      <w:pPr>
        <w:pStyle w:val="Caption"/>
      </w:pPr>
      <w:bookmarkStart w:id="217" w:name="_Ref344111760"/>
      <w:bookmarkStart w:id="218" w:name="_Toc354233093"/>
      <w:bookmarkStart w:id="219" w:name="_Toc60597183"/>
      <w:r>
        <w:t xml:space="preserve">Table </w:t>
      </w:r>
      <w:r w:rsidR="004D7B97">
        <w:fldChar w:fldCharType="begin"/>
      </w:r>
      <w:r w:rsidR="004D7B97">
        <w:instrText xml:space="preserve"> STYLEREF 1 \s </w:instrText>
      </w:r>
      <w:r w:rsidR="004D7B97">
        <w:fldChar w:fldCharType="separate"/>
      </w:r>
      <w:r w:rsidR="00885DE4">
        <w:rPr>
          <w:noProof/>
        </w:rPr>
        <w:t>4</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3</w:t>
      </w:r>
      <w:r w:rsidR="004D7B97">
        <w:fldChar w:fldCharType="end"/>
      </w:r>
      <w:bookmarkEnd w:id="217"/>
      <w:r>
        <w:t xml:space="preserve"> Biomarkers identified by both the Boruta and LASSO algorithms.</w:t>
      </w:r>
      <w:bookmarkEnd w:id="218"/>
      <w:bookmarkEnd w:id="219"/>
    </w:p>
    <w:p w14:paraId="4A5E2030" w14:textId="77777777" w:rsidR="00E4064F" w:rsidRDefault="00E4064F" w:rsidP="00E4064F">
      <w:pPr>
        <w:pStyle w:val="Heading2"/>
        <w:numPr>
          <w:ilvl w:val="0"/>
          <w:numId w:val="0"/>
        </w:numPr>
        <w:spacing w:before="120" w:after="120"/>
      </w:pPr>
    </w:p>
    <w:p w14:paraId="1805B2C6" w14:textId="77777777" w:rsidR="00E4064F" w:rsidRDefault="00E4064F" w:rsidP="00E4064F">
      <w:pPr>
        <w:pStyle w:val="Heading2"/>
        <w:numPr>
          <w:ilvl w:val="1"/>
          <w:numId w:val="7"/>
        </w:numPr>
        <w:spacing w:before="120" w:after="120"/>
        <w:ind w:left="578" w:hanging="578"/>
      </w:pPr>
      <w:bookmarkStart w:id="220" w:name="_Ref353351593"/>
      <w:bookmarkStart w:id="221" w:name="_Toc60773931"/>
      <w:r>
        <w:t>Combining Biomarkers with Decision Trees</w:t>
      </w:r>
      <w:bookmarkEnd w:id="220"/>
      <w:bookmarkEnd w:id="221"/>
    </w:p>
    <w:p w14:paraId="2DA80789" w14:textId="68E0F833" w:rsidR="00E4064F" w:rsidRDefault="00E4064F" w:rsidP="00E4064F">
      <w:pPr>
        <w:pStyle w:val="Body"/>
      </w:pPr>
      <w:r>
        <w:t xml:space="preserve">An </w:t>
      </w:r>
      <w:proofErr w:type="spellStart"/>
      <w:r w:rsidRPr="00441363">
        <w:t>Rpart</w:t>
      </w:r>
      <w:proofErr w:type="spellEnd"/>
      <w:r w:rsidRPr="00441363">
        <w:t xml:space="preserve"> decision tree </w:t>
      </w:r>
      <w:r>
        <w:t>model was used to discern a panel</w:t>
      </w:r>
      <w:r w:rsidRPr="00441363">
        <w:t xml:space="preserve"> of b</w:t>
      </w:r>
      <w:r>
        <w:t>iomarkers</w:t>
      </w:r>
      <w:r w:rsidRPr="00441363">
        <w:t>. The model was built using only the features</w:t>
      </w:r>
      <w:r>
        <w:t xml:space="preserve"> selected in section </w:t>
      </w:r>
      <w:r>
        <w:fldChar w:fldCharType="begin"/>
      </w:r>
      <w:r>
        <w:instrText xml:space="preserve"> REF _Ref349732197 \r \h </w:instrText>
      </w:r>
      <w:r>
        <w:fldChar w:fldCharType="separate"/>
      </w:r>
      <w:r w:rsidR="00885DE4">
        <w:t>4.3</w:t>
      </w:r>
      <w:r>
        <w:fldChar w:fldCharType="end"/>
      </w:r>
      <w:r>
        <w:t>. To minimise</w:t>
      </w:r>
      <w:r w:rsidRPr="00441363">
        <w:t xml:space="preserve"> over-fitting 5-fold cross-validation was </w:t>
      </w:r>
      <w:r>
        <w:t>employed</w:t>
      </w:r>
      <w:r w:rsidRPr="00441363">
        <w:t>.</w:t>
      </w:r>
      <w:r>
        <w:t xml:space="preserve"> The resulting decision tree is shown in </w:t>
      </w:r>
      <w:r>
        <w:fldChar w:fldCharType="begin"/>
      </w:r>
      <w:r>
        <w:instrText xml:space="preserve"> REF _Ref353364943 \h </w:instrText>
      </w:r>
      <w:r>
        <w:fldChar w:fldCharType="separate"/>
      </w:r>
      <w:r w:rsidR="00885DE4">
        <w:t xml:space="preserve">Figure </w:t>
      </w:r>
      <w:r w:rsidR="00885DE4">
        <w:rPr>
          <w:noProof/>
        </w:rPr>
        <w:t>4</w:t>
      </w:r>
      <w:r w:rsidR="00885DE4">
        <w:noBreakHyphen/>
      </w:r>
      <w:r w:rsidR="00885DE4">
        <w:rPr>
          <w:noProof/>
        </w:rPr>
        <w:t>1</w:t>
      </w:r>
      <w:r>
        <w:fldChar w:fldCharType="end"/>
      </w:r>
      <w:r>
        <w:t xml:space="preserve"> and the diagnostic power is summarised in the metrics detailed in</w:t>
      </w:r>
      <w:r w:rsidR="001930FE">
        <w:t xml:space="preserve"> </w:t>
      </w:r>
      <w:r w:rsidR="001930FE">
        <w:fldChar w:fldCharType="begin"/>
      </w:r>
      <w:r w:rsidR="001930FE">
        <w:instrText xml:space="preserve"> REF _Ref54899846 \h </w:instrText>
      </w:r>
      <w:r w:rsidR="001930FE">
        <w:fldChar w:fldCharType="separate"/>
      </w:r>
      <w:r w:rsidR="00885DE4">
        <w:t xml:space="preserve">Table </w:t>
      </w:r>
      <w:r w:rsidR="00885DE4">
        <w:rPr>
          <w:noProof/>
        </w:rPr>
        <w:t>4</w:t>
      </w:r>
      <w:r w:rsidR="00885DE4">
        <w:noBreakHyphen/>
      </w:r>
      <w:r w:rsidR="00885DE4">
        <w:rPr>
          <w:noProof/>
        </w:rPr>
        <w:t>4</w:t>
      </w:r>
      <w:r w:rsidR="001930FE">
        <w:fldChar w:fldCharType="end"/>
      </w:r>
      <w:r>
        <w:t>.</w:t>
      </w:r>
      <w:r w:rsidR="00886273">
        <w:t xml:space="preserve"> Note, unlike the ROC based panels the standard deviation of performance metrics across the cross-validations is not available from the Caret cross-validate implementation of the </w:t>
      </w:r>
      <w:proofErr w:type="spellStart"/>
      <w:r w:rsidR="00886273">
        <w:t>Rpart</w:t>
      </w:r>
      <w:proofErr w:type="spellEnd"/>
      <w:r w:rsidR="00886273">
        <w:t xml:space="preserve"> algorithm.</w:t>
      </w:r>
    </w:p>
    <w:p w14:paraId="2235CFB0" w14:textId="34E6C739" w:rsidR="00E4064F" w:rsidRDefault="00E4064F" w:rsidP="00E4064F">
      <w:pPr>
        <w:pStyle w:val="Body"/>
      </w:pPr>
      <w:r>
        <w:rPr>
          <w:noProof/>
          <w:lang w:val="en-US"/>
        </w:rPr>
        <w:lastRenderedPageBreak/>
        <w:drawing>
          <wp:inline distT="0" distB="0" distL="0" distR="0" wp14:anchorId="49B3C004" wp14:editId="0FDA2AD4">
            <wp:extent cx="5267325" cy="2282142"/>
            <wp:effectExtent l="0" t="0" r="0" b="4445"/>
            <wp:docPr id="74" name="Picture 74" descr="Macintosh HD:Users:jamesiremonger:Dropbox:MPhil:Thesis:R:Graphs:IPAH r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mesiremonger:Dropbox:MPhil:Thesis:R:Graphs:IPAH rPart.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20435"/>
                    <a:stretch/>
                  </pic:blipFill>
                  <pic:spPr bwMode="auto">
                    <a:xfrm>
                      <a:off x="0" y="0"/>
                      <a:ext cx="5267325" cy="228214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6D6044" w14:textId="24E9B792" w:rsidR="00E4064F" w:rsidRDefault="00E4064F" w:rsidP="00E4064F">
      <w:pPr>
        <w:pStyle w:val="Body"/>
        <w:keepNext/>
      </w:pPr>
      <w:bookmarkStart w:id="222" w:name="_Ref353364943"/>
      <w:bookmarkStart w:id="223" w:name="_Toc354233082"/>
      <w:bookmarkStart w:id="224" w:name="_Toc60597209"/>
      <w:r>
        <w:t xml:space="preserve">Figure </w:t>
      </w:r>
      <w:r w:rsidR="00864CF4">
        <w:fldChar w:fldCharType="begin"/>
      </w:r>
      <w:r w:rsidR="00864CF4">
        <w:instrText xml:space="preserve"> STYLEREF 1 \s </w:instrText>
      </w:r>
      <w:r w:rsidR="00864CF4">
        <w:fldChar w:fldCharType="separate"/>
      </w:r>
      <w:r w:rsidR="00885DE4">
        <w:rPr>
          <w:noProof/>
        </w:rPr>
        <w:t>4</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1</w:t>
      </w:r>
      <w:r w:rsidR="00864CF4">
        <w:fldChar w:fldCharType="end"/>
      </w:r>
      <w:bookmarkEnd w:id="222"/>
      <w:r>
        <w:t xml:space="preserve"> </w:t>
      </w:r>
      <w:proofErr w:type="spellStart"/>
      <w:r>
        <w:t>Rpart</w:t>
      </w:r>
      <w:proofErr w:type="spellEnd"/>
      <w:r>
        <w:t xml:space="preserve"> decision tree for separating IPAH from HV. Each terminal node represents the assigned classification with the fraction of correctly classified samples given below.</w:t>
      </w:r>
      <w:bookmarkEnd w:id="223"/>
      <w:bookmarkEnd w:id="224"/>
    </w:p>
    <w:p w14:paraId="5012D590" w14:textId="77777777" w:rsidR="00E4064F" w:rsidRPr="00680139" w:rsidRDefault="00E4064F" w:rsidP="00E4064F"/>
    <w:tbl>
      <w:tblPr>
        <w:tblStyle w:val="DefaultTableStyle"/>
        <w:tblW w:w="8925" w:type="dxa"/>
        <w:tblInd w:w="108" w:type="dxa"/>
        <w:tblBorders>
          <w:insideV w:val="none" w:sz="0" w:space="0" w:color="auto"/>
        </w:tblBorders>
        <w:tblLook w:val="0660" w:firstRow="1" w:lastRow="1" w:firstColumn="0" w:lastColumn="0" w:noHBand="1" w:noVBand="1"/>
      </w:tblPr>
      <w:tblGrid>
        <w:gridCol w:w="2127"/>
        <w:gridCol w:w="705"/>
        <w:gridCol w:w="1194"/>
        <w:gridCol w:w="1194"/>
        <w:gridCol w:w="1832"/>
        <w:gridCol w:w="1873"/>
      </w:tblGrid>
      <w:tr w:rsidR="00E4064F" w:rsidRPr="007F7A1E" w14:paraId="3039E340" w14:textId="77777777" w:rsidTr="000D1B2E">
        <w:trPr>
          <w:cnfStyle w:val="100000000000" w:firstRow="1" w:lastRow="0" w:firstColumn="0" w:lastColumn="0" w:oddVBand="0" w:evenVBand="0" w:oddHBand="0" w:evenHBand="0" w:firstRowFirstColumn="0" w:firstRowLastColumn="0" w:lastRowFirstColumn="0" w:lastRowLastColumn="0"/>
        </w:trPr>
        <w:tc>
          <w:tcPr>
            <w:tcW w:w="2127" w:type="dxa"/>
            <w:tcBorders>
              <w:top w:val="single" w:sz="4" w:space="0" w:color="auto"/>
              <w:bottom w:val="single" w:sz="4" w:space="0" w:color="auto"/>
            </w:tcBorders>
            <w:vAlign w:val="center"/>
          </w:tcPr>
          <w:p w14:paraId="7D97CC60" w14:textId="77777777" w:rsidR="00E4064F" w:rsidRPr="007F7A1E"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Method</w:t>
            </w:r>
          </w:p>
        </w:tc>
        <w:tc>
          <w:tcPr>
            <w:tcW w:w="0" w:type="auto"/>
            <w:tcBorders>
              <w:top w:val="single" w:sz="4" w:space="0" w:color="auto"/>
              <w:bottom w:val="single" w:sz="4" w:space="0" w:color="auto"/>
            </w:tcBorders>
            <w:vAlign w:val="center"/>
          </w:tcPr>
          <w:p w14:paraId="438881A0"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ROC</w:t>
            </w:r>
          </w:p>
          <w:p w14:paraId="66E1AF9D" w14:textId="77777777" w:rsidR="00E4064F" w:rsidRPr="007F7A1E"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AUC</w:t>
            </w:r>
          </w:p>
        </w:tc>
        <w:tc>
          <w:tcPr>
            <w:tcW w:w="0" w:type="auto"/>
            <w:tcBorders>
              <w:top w:val="single" w:sz="4" w:space="0" w:color="auto"/>
              <w:bottom w:val="single" w:sz="4" w:space="0" w:color="auto"/>
            </w:tcBorders>
            <w:vAlign w:val="center"/>
          </w:tcPr>
          <w:p w14:paraId="7B1B07BA"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Sensitivity</w:t>
            </w:r>
          </w:p>
        </w:tc>
        <w:tc>
          <w:tcPr>
            <w:tcW w:w="0" w:type="auto"/>
            <w:tcBorders>
              <w:top w:val="single" w:sz="4" w:space="0" w:color="auto"/>
              <w:bottom w:val="single" w:sz="4" w:space="0" w:color="auto"/>
            </w:tcBorders>
            <w:vAlign w:val="center"/>
          </w:tcPr>
          <w:p w14:paraId="570467C6"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Specificity</w:t>
            </w:r>
          </w:p>
        </w:tc>
        <w:tc>
          <w:tcPr>
            <w:tcW w:w="0" w:type="auto"/>
            <w:tcBorders>
              <w:top w:val="single" w:sz="4" w:space="0" w:color="auto"/>
              <w:bottom w:val="single" w:sz="4" w:space="0" w:color="auto"/>
            </w:tcBorders>
            <w:vAlign w:val="center"/>
          </w:tcPr>
          <w:p w14:paraId="5F0E04D9"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Positive Predictive Value</w:t>
            </w:r>
          </w:p>
        </w:tc>
        <w:tc>
          <w:tcPr>
            <w:tcW w:w="0" w:type="auto"/>
            <w:tcBorders>
              <w:top w:val="single" w:sz="4" w:space="0" w:color="auto"/>
              <w:bottom w:val="single" w:sz="4" w:space="0" w:color="auto"/>
            </w:tcBorders>
            <w:vAlign w:val="center"/>
          </w:tcPr>
          <w:p w14:paraId="37DCE494" w14:textId="77777777" w:rsidR="00E4064F" w:rsidRPr="007F7A1E"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Negative Predictive Value</w:t>
            </w:r>
          </w:p>
        </w:tc>
      </w:tr>
      <w:tr w:rsidR="00E4064F" w:rsidRPr="007F7A1E" w14:paraId="3232EC5A" w14:textId="77777777" w:rsidTr="000D1B2E">
        <w:trPr>
          <w:cnfStyle w:val="010000000000" w:firstRow="0" w:lastRow="1" w:firstColumn="0" w:lastColumn="0" w:oddVBand="0" w:evenVBand="0" w:oddHBand="0" w:evenHBand="0" w:firstRowFirstColumn="0" w:firstRowLastColumn="0" w:lastRowFirstColumn="0" w:lastRowLastColumn="0"/>
        </w:trPr>
        <w:tc>
          <w:tcPr>
            <w:tcW w:w="2127" w:type="dxa"/>
            <w:tcBorders>
              <w:top w:val="single" w:sz="4" w:space="0" w:color="auto"/>
            </w:tcBorders>
          </w:tcPr>
          <w:p w14:paraId="37CFCDCA" w14:textId="77777777" w:rsidR="00E4064F" w:rsidRPr="007F7A1E" w:rsidRDefault="00E4064F" w:rsidP="000D1B2E">
            <w:pPr>
              <w:pStyle w:val="BodyText1"/>
              <w:spacing w:line="276" w:lineRule="auto"/>
              <w:jc w:val="both"/>
              <w:rPr>
                <w:rFonts w:ascii="Times New Roman" w:hAnsi="Times New Roman" w:cs="Times New Roman"/>
                <w:sz w:val="22"/>
              </w:rPr>
            </w:pPr>
            <w:proofErr w:type="spellStart"/>
            <w:r>
              <w:rPr>
                <w:rFonts w:ascii="Times New Roman" w:hAnsi="Times New Roman" w:cs="Times New Roman"/>
                <w:sz w:val="22"/>
              </w:rPr>
              <w:t>Rpart</w:t>
            </w:r>
            <w:proofErr w:type="spellEnd"/>
            <w:r>
              <w:rPr>
                <w:rFonts w:ascii="Times New Roman" w:hAnsi="Times New Roman" w:cs="Times New Roman"/>
                <w:sz w:val="22"/>
              </w:rPr>
              <w:t xml:space="preserve"> </w:t>
            </w:r>
            <w:proofErr w:type="spellStart"/>
            <w:r>
              <w:rPr>
                <w:rFonts w:ascii="Times New Roman" w:hAnsi="Times New Roman" w:cs="Times New Roman"/>
                <w:sz w:val="22"/>
              </w:rPr>
              <w:t>DecisionTree</w:t>
            </w:r>
            <w:proofErr w:type="spellEnd"/>
          </w:p>
        </w:tc>
        <w:tc>
          <w:tcPr>
            <w:tcW w:w="0" w:type="auto"/>
            <w:tcBorders>
              <w:top w:val="single" w:sz="4" w:space="0" w:color="auto"/>
            </w:tcBorders>
          </w:tcPr>
          <w:p w14:paraId="3A16996C" w14:textId="77777777" w:rsidR="00E4064F" w:rsidRPr="007F7A1E"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0.97</w:t>
            </w:r>
          </w:p>
        </w:tc>
        <w:tc>
          <w:tcPr>
            <w:tcW w:w="0" w:type="auto"/>
            <w:tcBorders>
              <w:top w:val="single" w:sz="4" w:space="0" w:color="auto"/>
            </w:tcBorders>
          </w:tcPr>
          <w:p w14:paraId="10089250"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1.00</w:t>
            </w:r>
          </w:p>
        </w:tc>
        <w:tc>
          <w:tcPr>
            <w:tcW w:w="0" w:type="auto"/>
            <w:tcBorders>
              <w:top w:val="single" w:sz="4" w:space="0" w:color="auto"/>
            </w:tcBorders>
          </w:tcPr>
          <w:p w14:paraId="33E1C4E1"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0.84</w:t>
            </w:r>
          </w:p>
        </w:tc>
        <w:tc>
          <w:tcPr>
            <w:tcW w:w="0" w:type="auto"/>
            <w:tcBorders>
              <w:top w:val="single" w:sz="4" w:space="0" w:color="auto"/>
            </w:tcBorders>
          </w:tcPr>
          <w:p w14:paraId="774ABFF4"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0.90</w:t>
            </w:r>
          </w:p>
        </w:tc>
        <w:tc>
          <w:tcPr>
            <w:tcW w:w="0" w:type="auto"/>
            <w:tcBorders>
              <w:top w:val="single" w:sz="4" w:space="0" w:color="auto"/>
            </w:tcBorders>
          </w:tcPr>
          <w:p w14:paraId="09B2FA24" w14:textId="77777777" w:rsidR="00E4064F" w:rsidRPr="007F7A1E" w:rsidRDefault="00E4064F" w:rsidP="000D1B2E">
            <w:pPr>
              <w:pStyle w:val="BodyText1"/>
              <w:spacing w:line="276" w:lineRule="auto"/>
              <w:rPr>
                <w:rFonts w:ascii="Times New Roman" w:hAnsi="Times New Roman" w:cs="Times New Roman"/>
                <w:sz w:val="22"/>
              </w:rPr>
            </w:pPr>
            <w:r>
              <w:rPr>
                <w:rFonts w:ascii="Times New Roman" w:hAnsi="Times New Roman" w:cs="Times New Roman"/>
                <w:sz w:val="22"/>
              </w:rPr>
              <w:t>1.00</w:t>
            </w:r>
          </w:p>
        </w:tc>
      </w:tr>
    </w:tbl>
    <w:p w14:paraId="66A21827" w14:textId="56623CF7" w:rsidR="00E4064F" w:rsidRPr="00441363" w:rsidRDefault="00E4064F" w:rsidP="00E4064F">
      <w:pPr>
        <w:pStyle w:val="Caption"/>
      </w:pPr>
      <w:bookmarkStart w:id="225" w:name="_Ref54899846"/>
      <w:bookmarkStart w:id="226" w:name="_Toc354233095"/>
      <w:bookmarkStart w:id="227" w:name="_Toc60597184"/>
      <w:r>
        <w:t xml:space="preserve">Table </w:t>
      </w:r>
      <w:r w:rsidR="004D7B97">
        <w:fldChar w:fldCharType="begin"/>
      </w:r>
      <w:r w:rsidR="004D7B97">
        <w:instrText xml:space="preserve"> STYLEREF 1 \s </w:instrText>
      </w:r>
      <w:r w:rsidR="004D7B97">
        <w:fldChar w:fldCharType="separate"/>
      </w:r>
      <w:r w:rsidR="00885DE4">
        <w:rPr>
          <w:noProof/>
        </w:rPr>
        <w:t>4</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4</w:t>
      </w:r>
      <w:r w:rsidR="004D7B97">
        <w:fldChar w:fldCharType="end"/>
      </w:r>
      <w:bookmarkEnd w:id="225"/>
      <w:r>
        <w:t xml:space="preserve"> </w:t>
      </w:r>
      <w:proofErr w:type="spellStart"/>
      <w:r>
        <w:t>Rpart</w:t>
      </w:r>
      <w:proofErr w:type="spellEnd"/>
      <w:r>
        <w:t xml:space="preserve"> decision tree performance metrics summarising the diagnostic power for the classification of IPAH from HV.</w:t>
      </w:r>
      <w:bookmarkEnd w:id="226"/>
      <w:bookmarkEnd w:id="227"/>
    </w:p>
    <w:p w14:paraId="738579BD" w14:textId="77777777" w:rsidR="00E4064F" w:rsidRDefault="00E4064F" w:rsidP="00E4064F">
      <w:pPr>
        <w:pStyle w:val="Heading2"/>
        <w:numPr>
          <w:ilvl w:val="0"/>
          <w:numId w:val="0"/>
        </w:numPr>
        <w:spacing w:before="120" w:after="120"/>
      </w:pPr>
    </w:p>
    <w:p w14:paraId="629C453D" w14:textId="77777777" w:rsidR="00E4064F" w:rsidRPr="0007442F" w:rsidRDefault="00E4064F" w:rsidP="00E4064F">
      <w:pPr>
        <w:pStyle w:val="Heading2"/>
        <w:numPr>
          <w:ilvl w:val="1"/>
          <w:numId w:val="7"/>
        </w:numPr>
        <w:spacing w:before="120" w:after="120"/>
        <w:ind w:left="578" w:hanging="578"/>
      </w:pPr>
      <w:bookmarkStart w:id="228" w:name="_Toc60773932"/>
      <w:r>
        <w:t>Combining Biomarkers by ROC Determined Threshold</w:t>
      </w:r>
      <w:bookmarkEnd w:id="228"/>
    </w:p>
    <w:p w14:paraId="20191F7C" w14:textId="473977E5" w:rsidR="00E4064F" w:rsidRDefault="00E4064F" w:rsidP="00E4064F">
      <w:pPr>
        <w:pStyle w:val="Body"/>
      </w:pPr>
      <w:r>
        <w:t xml:space="preserve">Using combined ROC thresholds as described in </w:t>
      </w:r>
      <w:r>
        <w:fldChar w:fldCharType="begin"/>
      </w:r>
      <w:r>
        <w:instrText xml:space="preserve"> REF _Ref344043698 \n \h </w:instrText>
      </w:r>
      <w:r>
        <w:fldChar w:fldCharType="separate"/>
      </w:r>
      <w:r w:rsidR="00885DE4">
        <w:t>2.3</w:t>
      </w:r>
      <w:r>
        <w:fldChar w:fldCharType="end"/>
      </w:r>
      <w:r>
        <w:t xml:space="preserve"> biomarker panels were built using the 11 miRNAs from section </w:t>
      </w:r>
      <w:r>
        <w:fldChar w:fldCharType="begin"/>
      </w:r>
      <w:r>
        <w:instrText xml:space="preserve"> REF _Ref349732197 \r \h </w:instrText>
      </w:r>
      <w:r>
        <w:fldChar w:fldCharType="separate"/>
      </w:r>
      <w:r w:rsidR="00885DE4">
        <w:t>4.3</w:t>
      </w:r>
      <w:r>
        <w:fldChar w:fldCharType="end"/>
      </w:r>
      <w:r>
        <w:t xml:space="preserve">, choosing a panel size containing from 2 to 5 miRNAs a total of 1102 combinations were possible. When tested, 139 panels had a sensitivity and specificity greater than 0.8 and were subjected to 10 repeats of k fold cross-validation (k=10). Further filtering and ordering of the cross-validated panels described in </w:t>
      </w:r>
      <w:r>
        <w:fldChar w:fldCharType="begin"/>
      </w:r>
      <w:r>
        <w:instrText xml:space="preserve"> REF _Ref349732895 \r \h </w:instrText>
      </w:r>
      <w:r>
        <w:fldChar w:fldCharType="separate"/>
      </w:r>
      <w:r w:rsidR="00885DE4">
        <w:t>2.4.5</w:t>
      </w:r>
      <w:r>
        <w:fldChar w:fldCharType="end"/>
      </w:r>
      <w:r>
        <w:t xml:space="preserve"> reduced the final list of panels to 79, the top 5 are shown in </w:t>
      </w:r>
      <w:r>
        <w:fldChar w:fldCharType="begin"/>
      </w:r>
      <w:r>
        <w:instrText xml:space="preserve"> REF _Ref353373190 \h </w:instrText>
      </w:r>
      <w:r>
        <w:fldChar w:fldCharType="separate"/>
      </w:r>
      <w:r w:rsidR="00885DE4" w:rsidRPr="00BC5DE4">
        <w:rPr>
          <w:i/>
          <w:iCs/>
        </w:rPr>
        <w:t xml:space="preserve">Table </w:t>
      </w:r>
      <w:r w:rsidR="00885DE4">
        <w:rPr>
          <w:i/>
          <w:iCs/>
          <w:noProof/>
        </w:rPr>
        <w:t>4</w:t>
      </w:r>
      <w:r w:rsidR="00885DE4">
        <w:rPr>
          <w:i/>
          <w:iCs/>
        </w:rPr>
        <w:noBreakHyphen/>
      </w:r>
      <w:r w:rsidR="00885DE4">
        <w:rPr>
          <w:i/>
          <w:iCs/>
          <w:noProof/>
        </w:rPr>
        <w:t>5</w:t>
      </w:r>
      <w:r>
        <w:fldChar w:fldCharType="end"/>
      </w:r>
      <w:r>
        <w:t xml:space="preserve">. </w:t>
      </w:r>
      <w:r w:rsidR="00886273">
        <w:t xml:space="preserve">The small </w:t>
      </w:r>
      <w:r w:rsidR="00886273">
        <w:lastRenderedPageBreak/>
        <w:t xml:space="preserve">standard deviation of the performance metrics shown is indicative of stability </w:t>
      </w:r>
      <w:r w:rsidR="00C55391">
        <w:t>within the performance of the panel.</w:t>
      </w:r>
    </w:p>
    <w:tbl>
      <w:tblPr>
        <w:tblStyle w:val="DefaultTableStyle"/>
        <w:tblW w:w="8845" w:type="dxa"/>
        <w:tblInd w:w="108" w:type="dxa"/>
        <w:tblBorders>
          <w:insideV w:val="none" w:sz="0" w:space="0" w:color="auto"/>
        </w:tblBorders>
        <w:tblLayout w:type="fixed"/>
        <w:tblLook w:val="0660" w:firstRow="1" w:lastRow="1" w:firstColumn="0" w:lastColumn="0" w:noHBand="1" w:noVBand="1"/>
      </w:tblPr>
      <w:tblGrid>
        <w:gridCol w:w="3153"/>
        <w:gridCol w:w="1134"/>
        <w:gridCol w:w="850"/>
        <w:gridCol w:w="1743"/>
        <w:gridCol w:w="1965"/>
      </w:tblGrid>
      <w:tr w:rsidR="00E4064F" w:rsidRPr="007F7A1E" w14:paraId="2CDD5B52" w14:textId="77777777" w:rsidTr="00F27D55">
        <w:trPr>
          <w:cnfStyle w:val="100000000000" w:firstRow="1" w:lastRow="0" w:firstColumn="0" w:lastColumn="0" w:oddVBand="0" w:evenVBand="0" w:oddHBand="0" w:evenHBand="0" w:firstRowFirstColumn="0" w:firstRowLastColumn="0" w:lastRowFirstColumn="0" w:lastRowLastColumn="0"/>
          <w:trHeight w:val="973"/>
        </w:trPr>
        <w:tc>
          <w:tcPr>
            <w:tcW w:w="3153" w:type="dxa"/>
            <w:tcBorders>
              <w:top w:val="single" w:sz="4" w:space="0" w:color="auto"/>
              <w:bottom w:val="single" w:sz="4" w:space="0" w:color="auto"/>
            </w:tcBorders>
            <w:vAlign w:val="center"/>
          </w:tcPr>
          <w:p w14:paraId="7ED9A837" w14:textId="77777777" w:rsidR="00E4064F" w:rsidRPr="007F7A1E" w:rsidRDefault="00E4064F" w:rsidP="000D1B2E">
            <w:pPr>
              <w:pStyle w:val="BodyText1"/>
              <w:jc w:val="center"/>
              <w:rPr>
                <w:rFonts w:ascii="Times New Roman" w:hAnsi="Times New Roman" w:cs="Times New Roman"/>
                <w:sz w:val="22"/>
              </w:rPr>
            </w:pPr>
            <w:r>
              <w:rPr>
                <w:rFonts w:ascii="Times New Roman" w:hAnsi="Times New Roman" w:cs="Times New Roman"/>
                <w:sz w:val="22"/>
              </w:rPr>
              <w:t>miRNAs in Panel</w:t>
            </w:r>
          </w:p>
        </w:tc>
        <w:tc>
          <w:tcPr>
            <w:tcW w:w="1134" w:type="dxa"/>
            <w:tcBorders>
              <w:top w:val="single" w:sz="4" w:space="0" w:color="auto"/>
              <w:bottom w:val="single" w:sz="4" w:space="0" w:color="auto"/>
            </w:tcBorders>
            <w:vAlign w:val="center"/>
          </w:tcPr>
          <w:p w14:paraId="7F1753D1" w14:textId="77777777" w:rsidR="00E4064F" w:rsidRDefault="00E4064F" w:rsidP="000D1B2E">
            <w:pPr>
              <w:pStyle w:val="BodyText1"/>
              <w:jc w:val="center"/>
              <w:rPr>
                <w:rFonts w:ascii="Times New Roman" w:hAnsi="Times New Roman" w:cs="Times New Roman"/>
                <w:sz w:val="22"/>
              </w:rPr>
            </w:pPr>
            <w:r>
              <w:rPr>
                <w:rFonts w:ascii="Times New Roman" w:hAnsi="Times New Roman" w:cs="Times New Roman"/>
                <w:sz w:val="22"/>
              </w:rPr>
              <w:t>Se</w:t>
            </w:r>
          </w:p>
        </w:tc>
        <w:tc>
          <w:tcPr>
            <w:tcW w:w="850" w:type="dxa"/>
            <w:tcBorders>
              <w:top w:val="single" w:sz="4" w:space="0" w:color="auto"/>
              <w:bottom w:val="single" w:sz="4" w:space="0" w:color="auto"/>
            </w:tcBorders>
            <w:vAlign w:val="center"/>
          </w:tcPr>
          <w:p w14:paraId="3CF77349" w14:textId="77777777" w:rsidR="00E4064F" w:rsidRDefault="00E4064F" w:rsidP="000D1B2E">
            <w:pPr>
              <w:pStyle w:val="BodyText1"/>
              <w:jc w:val="center"/>
              <w:rPr>
                <w:rFonts w:ascii="Times New Roman" w:hAnsi="Times New Roman" w:cs="Times New Roman"/>
                <w:sz w:val="22"/>
              </w:rPr>
            </w:pPr>
            <w:proofErr w:type="spellStart"/>
            <w:r>
              <w:rPr>
                <w:rFonts w:ascii="Times New Roman" w:hAnsi="Times New Roman" w:cs="Times New Roman"/>
                <w:sz w:val="22"/>
              </w:rPr>
              <w:t>Sp</w:t>
            </w:r>
            <w:proofErr w:type="spellEnd"/>
          </w:p>
        </w:tc>
        <w:tc>
          <w:tcPr>
            <w:tcW w:w="1743" w:type="dxa"/>
            <w:tcBorders>
              <w:top w:val="single" w:sz="4" w:space="0" w:color="auto"/>
              <w:bottom w:val="single" w:sz="4" w:space="0" w:color="auto"/>
            </w:tcBorders>
            <w:vAlign w:val="center"/>
          </w:tcPr>
          <w:p w14:paraId="7C0E82D2" w14:textId="77777777" w:rsidR="00E4064F" w:rsidRDefault="00E4064F" w:rsidP="000D1B2E">
            <w:pPr>
              <w:pStyle w:val="BodyText1"/>
              <w:jc w:val="center"/>
              <w:rPr>
                <w:rFonts w:ascii="Times New Roman" w:hAnsi="Times New Roman" w:cs="Times New Roman"/>
                <w:sz w:val="22"/>
              </w:rPr>
            </w:pPr>
            <w:r>
              <w:rPr>
                <w:rFonts w:ascii="Times New Roman" w:hAnsi="Times New Roman" w:cs="Times New Roman"/>
                <w:sz w:val="22"/>
              </w:rPr>
              <w:t>Positive Predictive Value</w:t>
            </w:r>
          </w:p>
        </w:tc>
        <w:tc>
          <w:tcPr>
            <w:tcW w:w="1965" w:type="dxa"/>
            <w:tcBorders>
              <w:top w:val="single" w:sz="4" w:space="0" w:color="auto"/>
              <w:bottom w:val="single" w:sz="4" w:space="0" w:color="auto"/>
            </w:tcBorders>
            <w:vAlign w:val="center"/>
          </w:tcPr>
          <w:p w14:paraId="53BDA12F" w14:textId="77777777" w:rsidR="00E4064F" w:rsidRPr="007F7A1E" w:rsidRDefault="00E4064F" w:rsidP="000D1B2E">
            <w:pPr>
              <w:pStyle w:val="BodyText1"/>
              <w:jc w:val="center"/>
              <w:rPr>
                <w:rFonts w:ascii="Times New Roman" w:hAnsi="Times New Roman" w:cs="Times New Roman"/>
                <w:sz w:val="22"/>
              </w:rPr>
            </w:pPr>
            <w:r>
              <w:rPr>
                <w:rFonts w:ascii="Times New Roman" w:hAnsi="Times New Roman" w:cs="Times New Roman"/>
                <w:sz w:val="22"/>
              </w:rPr>
              <w:t>Negative Predictive Value</w:t>
            </w:r>
          </w:p>
        </w:tc>
      </w:tr>
      <w:tr w:rsidR="00E4064F" w:rsidRPr="007F7A1E" w14:paraId="7AECFA5D" w14:textId="77777777" w:rsidTr="00F27D55">
        <w:trPr>
          <w:trHeight w:val="982"/>
        </w:trPr>
        <w:tc>
          <w:tcPr>
            <w:tcW w:w="3153" w:type="dxa"/>
            <w:tcBorders>
              <w:top w:val="single" w:sz="4" w:space="0" w:color="auto"/>
            </w:tcBorders>
          </w:tcPr>
          <w:p w14:paraId="43052B0F" w14:textId="77777777" w:rsidR="00E4064F" w:rsidRDefault="00E4064F" w:rsidP="000D1B2E">
            <w:pPr>
              <w:pStyle w:val="BodyText1"/>
              <w:rPr>
                <w:rFonts w:ascii="Times New Roman" w:hAnsi="Times New Roman"/>
              </w:rPr>
            </w:pPr>
            <w:r>
              <w:rPr>
                <w:rFonts w:ascii="Times New Roman" w:hAnsi="Times New Roman"/>
              </w:rPr>
              <w:t>miR-331-3p, miR-451a, miR-630,</w:t>
            </w:r>
          </w:p>
          <w:p w14:paraId="3851C939" w14:textId="77777777" w:rsidR="00E4064F" w:rsidRPr="00266CFA" w:rsidRDefault="00E4064F" w:rsidP="000D1B2E">
            <w:pPr>
              <w:pStyle w:val="BodyText1"/>
              <w:rPr>
                <w:rFonts w:ascii="Times New Roman" w:hAnsi="Times New Roman"/>
              </w:rPr>
            </w:pPr>
            <w:r>
              <w:rPr>
                <w:rFonts w:ascii="Times New Roman" w:hAnsi="Times New Roman"/>
              </w:rPr>
              <w:t>miR-636, miR-877-3p</w:t>
            </w:r>
          </w:p>
        </w:tc>
        <w:tc>
          <w:tcPr>
            <w:tcW w:w="1134" w:type="dxa"/>
            <w:tcBorders>
              <w:top w:val="single" w:sz="4" w:space="0" w:color="auto"/>
            </w:tcBorders>
            <w:vAlign w:val="center"/>
          </w:tcPr>
          <w:p w14:paraId="4EE815FF" w14:textId="77777777" w:rsidR="00E4064F" w:rsidRDefault="00E4064F" w:rsidP="000D1B2E">
            <w:pPr>
              <w:pStyle w:val="BodyText1"/>
              <w:jc w:val="center"/>
              <w:rPr>
                <w:rFonts w:ascii="Times New Roman" w:hAnsi="Times New Roman"/>
              </w:rPr>
            </w:pPr>
            <w:r>
              <w:rPr>
                <w:rFonts w:ascii="Times New Roman" w:hAnsi="Times New Roman"/>
              </w:rPr>
              <w:t>0.91</w:t>
            </w:r>
          </w:p>
          <w:p w14:paraId="34A16354" w14:textId="7B47EF0C" w:rsidR="00F27D55" w:rsidRDefault="00F27D55" w:rsidP="000D1B2E">
            <w:pPr>
              <w:pStyle w:val="BodyText1"/>
              <w:jc w:val="center"/>
              <w:rPr>
                <w:rFonts w:ascii="Times New Roman" w:hAnsi="Times New Roman" w:cs="Times New Roman"/>
                <w:sz w:val="22"/>
              </w:rPr>
            </w:pPr>
            <w:r>
              <w:rPr>
                <w:rFonts w:ascii="Times New Roman" w:hAnsi="Times New Roman"/>
              </w:rPr>
              <w:t>(0.014)</w:t>
            </w:r>
          </w:p>
        </w:tc>
        <w:tc>
          <w:tcPr>
            <w:tcW w:w="850" w:type="dxa"/>
            <w:tcBorders>
              <w:top w:val="single" w:sz="4" w:space="0" w:color="auto"/>
            </w:tcBorders>
            <w:vAlign w:val="center"/>
          </w:tcPr>
          <w:p w14:paraId="03CB1B7A" w14:textId="77777777" w:rsidR="00E4064F" w:rsidRDefault="00E4064F" w:rsidP="000D1B2E">
            <w:pPr>
              <w:pStyle w:val="BodyText1"/>
              <w:jc w:val="center"/>
              <w:rPr>
                <w:rFonts w:ascii="Times New Roman" w:hAnsi="Times New Roman"/>
              </w:rPr>
            </w:pPr>
            <w:r>
              <w:rPr>
                <w:rFonts w:ascii="Times New Roman" w:hAnsi="Times New Roman"/>
              </w:rPr>
              <w:t>0.82</w:t>
            </w:r>
          </w:p>
          <w:p w14:paraId="2E6C5C44" w14:textId="178C1855" w:rsidR="00F27D55" w:rsidRDefault="00F27D55" w:rsidP="000D1B2E">
            <w:pPr>
              <w:pStyle w:val="BodyText1"/>
              <w:jc w:val="center"/>
              <w:rPr>
                <w:rFonts w:ascii="Times New Roman" w:hAnsi="Times New Roman" w:cs="Times New Roman"/>
                <w:sz w:val="22"/>
              </w:rPr>
            </w:pPr>
            <w:r>
              <w:rPr>
                <w:rFonts w:ascii="Times New Roman" w:hAnsi="Times New Roman"/>
              </w:rPr>
              <w:t>(0.010)</w:t>
            </w:r>
          </w:p>
        </w:tc>
        <w:tc>
          <w:tcPr>
            <w:tcW w:w="1743" w:type="dxa"/>
            <w:tcBorders>
              <w:top w:val="single" w:sz="4" w:space="0" w:color="auto"/>
            </w:tcBorders>
            <w:vAlign w:val="center"/>
          </w:tcPr>
          <w:p w14:paraId="4714F373" w14:textId="77777777" w:rsidR="00F27D55" w:rsidRDefault="00E4064F" w:rsidP="000D1B2E">
            <w:pPr>
              <w:pStyle w:val="BodyText1"/>
              <w:jc w:val="center"/>
              <w:rPr>
                <w:rFonts w:ascii="Times New Roman" w:hAnsi="Times New Roman"/>
              </w:rPr>
            </w:pPr>
            <w:r>
              <w:rPr>
                <w:rFonts w:ascii="Times New Roman" w:hAnsi="Times New Roman"/>
              </w:rPr>
              <w:t>0.87</w:t>
            </w:r>
          </w:p>
          <w:p w14:paraId="0E1C72E0" w14:textId="09CC5427" w:rsidR="00F27D55" w:rsidRDefault="00F27D55" w:rsidP="00F27D55">
            <w:pPr>
              <w:pStyle w:val="BodyText1"/>
              <w:jc w:val="center"/>
              <w:rPr>
                <w:rFonts w:ascii="Times New Roman" w:hAnsi="Times New Roman" w:cs="Times New Roman"/>
                <w:sz w:val="22"/>
              </w:rPr>
            </w:pPr>
            <w:r>
              <w:rPr>
                <w:rFonts w:ascii="Times New Roman" w:hAnsi="Times New Roman"/>
              </w:rPr>
              <w:t>(0.007)</w:t>
            </w:r>
          </w:p>
        </w:tc>
        <w:tc>
          <w:tcPr>
            <w:tcW w:w="1965" w:type="dxa"/>
            <w:tcBorders>
              <w:top w:val="single" w:sz="4" w:space="0" w:color="auto"/>
            </w:tcBorders>
            <w:vAlign w:val="center"/>
          </w:tcPr>
          <w:p w14:paraId="6DC44B97" w14:textId="77777777" w:rsidR="00F27D55" w:rsidRDefault="00E4064F" w:rsidP="000D1B2E">
            <w:pPr>
              <w:pStyle w:val="BodyText1"/>
              <w:jc w:val="center"/>
              <w:rPr>
                <w:rFonts w:ascii="Times New Roman" w:hAnsi="Times New Roman"/>
              </w:rPr>
            </w:pPr>
            <w:r>
              <w:rPr>
                <w:rFonts w:ascii="Times New Roman" w:hAnsi="Times New Roman"/>
              </w:rPr>
              <w:t>0.87</w:t>
            </w:r>
          </w:p>
          <w:p w14:paraId="746FAA81" w14:textId="188CD496" w:rsidR="00E4064F" w:rsidRPr="007F7A1E" w:rsidRDefault="00F27D55" w:rsidP="000D1B2E">
            <w:pPr>
              <w:pStyle w:val="BodyText1"/>
              <w:jc w:val="center"/>
              <w:rPr>
                <w:rFonts w:ascii="Times New Roman" w:hAnsi="Times New Roman" w:cs="Times New Roman"/>
                <w:sz w:val="22"/>
              </w:rPr>
            </w:pPr>
            <w:r>
              <w:rPr>
                <w:rFonts w:ascii="Times New Roman" w:hAnsi="Times New Roman"/>
              </w:rPr>
              <w:t>(0.018)</w:t>
            </w:r>
          </w:p>
        </w:tc>
      </w:tr>
      <w:tr w:rsidR="00E4064F" w:rsidRPr="007F7A1E" w14:paraId="2BB52F36" w14:textId="77777777" w:rsidTr="00F27D55">
        <w:trPr>
          <w:trHeight w:val="652"/>
        </w:trPr>
        <w:tc>
          <w:tcPr>
            <w:tcW w:w="3153" w:type="dxa"/>
            <w:shd w:val="clear" w:color="auto" w:fill="auto"/>
          </w:tcPr>
          <w:p w14:paraId="704DCA60" w14:textId="77777777" w:rsidR="00E4064F" w:rsidRPr="00266CFA" w:rsidRDefault="00E4064F" w:rsidP="000D1B2E">
            <w:pPr>
              <w:pStyle w:val="BodyText1"/>
              <w:rPr>
                <w:rFonts w:ascii="Times New Roman" w:hAnsi="Times New Roman"/>
              </w:rPr>
            </w:pPr>
            <w:r>
              <w:rPr>
                <w:rFonts w:ascii="Times New Roman" w:hAnsi="Times New Roman"/>
              </w:rPr>
              <w:t>miR-451a, miR-630, miR-636, miR-671-5p, miR-877-3p</w:t>
            </w:r>
          </w:p>
        </w:tc>
        <w:tc>
          <w:tcPr>
            <w:tcW w:w="1134" w:type="dxa"/>
            <w:shd w:val="clear" w:color="auto" w:fill="auto"/>
            <w:vAlign w:val="center"/>
          </w:tcPr>
          <w:p w14:paraId="577942EC" w14:textId="77777777" w:rsidR="00E4064F" w:rsidRDefault="00E4064F" w:rsidP="000D1B2E">
            <w:pPr>
              <w:pStyle w:val="BodyText1"/>
              <w:jc w:val="center"/>
              <w:rPr>
                <w:rFonts w:ascii="Times New Roman" w:hAnsi="Times New Roman"/>
              </w:rPr>
            </w:pPr>
            <w:r>
              <w:rPr>
                <w:rFonts w:ascii="Times New Roman" w:hAnsi="Times New Roman"/>
              </w:rPr>
              <w:t>0.89</w:t>
            </w:r>
          </w:p>
          <w:p w14:paraId="7359CA2B" w14:textId="00A79FD3" w:rsidR="00F27D55" w:rsidRDefault="00F27D55" w:rsidP="000D1B2E">
            <w:pPr>
              <w:pStyle w:val="BodyText1"/>
              <w:jc w:val="center"/>
              <w:rPr>
                <w:rFonts w:ascii="Times New Roman" w:hAnsi="Times New Roman" w:cs="Times New Roman"/>
                <w:sz w:val="22"/>
              </w:rPr>
            </w:pPr>
            <w:r>
              <w:rPr>
                <w:rFonts w:ascii="Times New Roman" w:hAnsi="Times New Roman" w:cs="Times New Roman"/>
                <w:sz w:val="22"/>
              </w:rPr>
              <w:t>(0.010)</w:t>
            </w:r>
          </w:p>
        </w:tc>
        <w:tc>
          <w:tcPr>
            <w:tcW w:w="850" w:type="dxa"/>
            <w:shd w:val="clear" w:color="auto" w:fill="auto"/>
            <w:vAlign w:val="center"/>
          </w:tcPr>
          <w:p w14:paraId="56ADD938" w14:textId="33A1365F" w:rsidR="00E4064F" w:rsidRDefault="00E4064F" w:rsidP="000D1B2E">
            <w:pPr>
              <w:pStyle w:val="BodyText1"/>
              <w:jc w:val="center"/>
              <w:rPr>
                <w:rFonts w:ascii="Times New Roman" w:hAnsi="Times New Roman" w:cs="Times New Roman"/>
                <w:sz w:val="22"/>
              </w:rPr>
            </w:pPr>
            <w:r>
              <w:rPr>
                <w:rFonts w:ascii="Times New Roman" w:hAnsi="Times New Roman"/>
              </w:rPr>
              <w:t>0.85</w:t>
            </w:r>
            <w:r w:rsidR="00F27D55">
              <w:rPr>
                <w:rFonts w:ascii="Times New Roman" w:hAnsi="Times New Roman"/>
              </w:rPr>
              <w:br/>
              <w:t>(0.000)</w:t>
            </w:r>
          </w:p>
        </w:tc>
        <w:tc>
          <w:tcPr>
            <w:tcW w:w="1743" w:type="dxa"/>
            <w:shd w:val="clear" w:color="auto" w:fill="auto"/>
            <w:vAlign w:val="center"/>
          </w:tcPr>
          <w:p w14:paraId="76F6586E" w14:textId="77777777" w:rsidR="00E4064F" w:rsidRDefault="00E4064F" w:rsidP="000D1B2E">
            <w:pPr>
              <w:pStyle w:val="BodyText1"/>
              <w:jc w:val="center"/>
              <w:rPr>
                <w:rFonts w:ascii="Times New Roman" w:hAnsi="Times New Roman"/>
              </w:rPr>
            </w:pPr>
            <w:r>
              <w:rPr>
                <w:rFonts w:ascii="Times New Roman" w:hAnsi="Times New Roman"/>
              </w:rPr>
              <w:t>0.89</w:t>
            </w:r>
          </w:p>
          <w:p w14:paraId="66730E16" w14:textId="259A2B2A" w:rsidR="00F27D55" w:rsidRDefault="00F27D55" w:rsidP="000D1B2E">
            <w:pPr>
              <w:pStyle w:val="BodyText1"/>
              <w:jc w:val="center"/>
              <w:rPr>
                <w:rFonts w:ascii="Times New Roman" w:hAnsi="Times New Roman" w:cs="Times New Roman"/>
                <w:sz w:val="22"/>
              </w:rPr>
            </w:pPr>
            <w:r>
              <w:rPr>
                <w:rFonts w:ascii="Times New Roman" w:hAnsi="Times New Roman"/>
              </w:rPr>
              <w:t>(0.001)</w:t>
            </w:r>
          </w:p>
        </w:tc>
        <w:tc>
          <w:tcPr>
            <w:tcW w:w="1965" w:type="dxa"/>
            <w:shd w:val="clear" w:color="auto" w:fill="auto"/>
            <w:vAlign w:val="center"/>
          </w:tcPr>
          <w:p w14:paraId="04D272DA" w14:textId="77777777" w:rsidR="00F27D55" w:rsidRDefault="00E4064F" w:rsidP="000D1B2E">
            <w:pPr>
              <w:pStyle w:val="BodyText1"/>
              <w:jc w:val="center"/>
              <w:rPr>
                <w:rFonts w:ascii="Times New Roman" w:hAnsi="Times New Roman"/>
              </w:rPr>
            </w:pPr>
            <w:r>
              <w:rPr>
                <w:rFonts w:ascii="Times New Roman" w:hAnsi="Times New Roman"/>
              </w:rPr>
              <w:t>0.85</w:t>
            </w:r>
          </w:p>
          <w:p w14:paraId="66F04C8A" w14:textId="3FDC6318" w:rsidR="00E4064F" w:rsidRDefault="00F27D55" w:rsidP="000D1B2E">
            <w:pPr>
              <w:pStyle w:val="BodyText1"/>
              <w:jc w:val="center"/>
              <w:rPr>
                <w:rFonts w:ascii="Times New Roman" w:hAnsi="Times New Roman" w:cs="Times New Roman"/>
                <w:sz w:val="22"/>
              </w:rPr>
            </w:pPr>
            <w:r>
              <w:rPr>
                <w:rFonts w:ascii="Times New Roman" w:hAnsi="Times New Roman"/>
              </w:rPr>
              <w:t>(0.012)</w:t>
            </w:r>
          </w:p>
        </w:tc>
      </w:tr>
      <w:tr w:rsidR="00E4064F" w:rsidRPr="007F7A1E" w14:paraId="1CDBB431" w14:textId="77777777" w:rsidTr="00F27D55">
        <w:tc>
          <w:tcPr>
            <w:tcW w:w="3153" w:type="dxa"/>
            <w:shd w:val="clear" w:color="auto" w:fill="auto"/>
          </w:tcPr>
          <w:p w14:paraId="60E105BA" w14:textId="77777777" w:rsidR="00E4064F" w:rsidRDefault="00E4064F" w:rsidP="000D1B2E">
            <w:pPr>
              <w:pStyle w:val="BodyText1"/>
              <w:rPr>
                <w:rFonts w:ascii="Times New Roman" w:hAnsi="Times New Roman"/>
              </w:rPr>
            </w:pPr>
            <w:r>
              <w:rPr>
                <w:rFonts w:ascii="Times New Roman" w:hAnsi="Times New Roman"/>
              </w:rPr>
              <w:t xml:space="preserve">miR-1972, miR-451a, miR-636, </w:t>
            </w:r>
          </w:p>
          <w:p w14:paraId="33A5ABFA" w14:textId="77777777" w:rsidR="00E4064F" w:rsidRPr="00266CFA" w:rsidRDefault="00E4064F" w:rsidP="000D1B2E">
            <w:pPr>
              <w:pStyle w:val="BodyText1"/>
              <w:rPr>
                <w:rFonts w:ascii="Times New Roman" w:hAnsi="Times New Roman"/>
              </w:rPr>
            </w:pPr>
            <w:r>
              <w:rPr>
                <w:rFonts w:ascii="Times New Roman" w:hAnsi="Times New Roman"/>
              </w:rPr>
              <w:t>miR-671-5p, miR-877-3p</w:t>
            </w:r>
          </w:p>
        </w:tc>
        <w:tc>
          <w:tcPr>
            <w:tcW w:w="1134" w:type="dxa"/>
            <w:shd w:val="clear" w:color="auto" w:fill="auto"/>
            <w:vAlign w:val="center"/>
          </w:tcPr>
          <w:p w14:paraId="74FCF1A6" w14:textId="77777777" w:rsidR="00E4064F" w:rsidRDefault="00E4064F" w:rsidP="000D1B2E">
            <w:pPr>
              <w:pStyle w:val="BodyText1"/>
              <w:jc w:val="center"/>
              <w:rPr>
                <w:rFonts w:ascii="Times New Roman" w:hAnsi="Times New Roman"/>
              </w:rPr>
            </w:pPr>
            <w:r>
              <w:rPr>
                <w:rFonts w:ascii="Times New Roman" w:hAnsi="Times New Roman"/>
              </w:rPr>
              <w:t>0.89</w:t>
            </w:r>
          </w:p>
          <w:p w14:paraId="75C375E0" w14:textId="3914F500" w:rsidR="00F27D55" w:rsidRDefault="00F27D55" w:rsidP="000D1B2E">
            <w:pPr>
              <w:pStyle w:val="BodyText1"/>
              <w:jc w:val="center"/>
              <w:rPr>
                <w:rFonts w:ascii="Times New Roman" w:hAnsi="Times New Roman" w:cs="Times New Roman"/>
                <w:sz w:val="22"/>
              </w:rPr>
            </w:pPr>
            <w:r>
              <w:rPr>
                <w:rFonts w:ascii="Times New Roman" w:hAnsi="Times New Roman"/>
              </w:rPr>
              <w:t>(0.014)</w:t>
            </w:r>
          </w:p>
        </w:tc>
        <w:tc>
          <w:tcPr>
            <w:tcW w:w="850" w:type="dxa"/>
            <w:shd w:val="clear" w:color="auto" w:fill="auto"/>
            <w:vAlign w:val="center"/>
          </w:tcPr>
          <w:p w14:paraId="668E0D55" w14:textId="23F718EF" w:rsidR="00E4064F" w:rsidRDefault="00E4064F" w:rsidP="000D1B2E">
            <w:pPr>
              <w:pStyle w:val="BodyText1"/>
              <w:jc w:val="center"/>
              <w:rPr>
                <w:rFonts w:ascii="Times New Roman" w:hAnsi="Times New Roman" w:cs="Times New Roman"/>
                <w:sz w:val="22"/>
              </w:rPr>
            </w:pPr>
            <w:r>
              <w:rPr>
                <w:rFonts w:ascii="Times New Roman" w:hAnsi="Times New Roman"/>
              </w:rPr>
              <w:t>0.87</w:t>
            </w:r>
            <w:r w:rsidR="00F27D55">
              <w:rPr>
                <w:rFonts w:ascii="Times New Roman" w:hAnsi="Times New Roman"/>
              </w:rPr>
              <w:t>(0.016)</w:t>
            </w:r>
          </w:p>
        </w:tc>
        <w:tc>
          <w:tcPr>
            <w:tcW w:w="1743" w:type="dxa"/>
            <w:shd w:val="clear" w:color="auto" w:fill="auto"/>
            <w:vAlign w:val="center"/>
          </w:tcPr>
          <w:p w14:paraId="72A25290" w14:textId="14EDA017" w:rsidR="00E4064F" w:rsidRDefault="00E4064F" w:rsidP="000D1B2E">
            <w:pPr>
              <w:pStyle w:val="BodyText1"/>
              <w:jc w:val="center"/>
              <w:rPr>
                <w:rFonts w:ascii="Times New Roman" w:hAnsi="Times New Roman" w:cs="Times New Roman"/>
                <w:sz w:val="22"/>
              </w:rPr>
            </w:pPr>
            <w:r>
              <w:rPr>
                <w:rFonts w:ascii="Times New Roman" w:hAnsi="Times New Roman"/>
              </w:rPr>
              <w:t>0.90</w:t>
            </w:r>
            <w:r w:rsidR="00F27D55">
              <w:rPr>
                <w:rFonts w:ascii="Times New Roman" w:hAnsi="Times New Roman"/>
              </w:rPr>
              <w:br/>
              <w:t>(0.011)</w:t>
            </w:r>
          </w:p>
        </w:tc>
        <w:tc>
          <w:tcPr>
            <w:tcW w:w="1965" w:type="dxa"/>
            <w:shd w:val="clear" w:color="auto" w:fill="auto"/>
            <w:vAlign w:val="center"/>
          </w:tcPr>
          <w:p w14:paraId="4FDD5733" w14:textId="77777777" w:rsidR="00F27D55" w:rsidRDefault="00E4064F" w:rsidP="000D1B2E">
            <w:pPr>
              <w:pStyle w:val="BodyText1"/>
              <w:jc w:val="center"/>
              <w:rPr>
                <w:rFonts w:ascii="Times New Roman" w:hAnsi="Times New Roman"/>
              </w:rPr>
            </w:pPr>
            <w:r>
              <w:rPr>
                <w:rFonts w:ascii="Times New Roman" w:hAnsi="Times New Roman"/>
              </w:rPr>
              <w:t>0.85</w:t>
            </w:r>
          </w:p>
          <w:p w14:paraId="5846529A" w14:textId="1E94DC8A" w:rsidR="00E4064F" w:rsidRDefault="00F27D55" w:rsidP="000D1B2E">
            <w:pPr>
              <w:pStyle w:val="BodyText1"/>
              <w:jc w:val="center"/>
              <w:rPr>
                <w:rFonts w:ascii="Times New Roman" w:hAnsi="Times New Roman" w:cs="Times New Roman"/>
                <w:sz w:val="22"/>
              </w:rPr>
            </w:pPr>
            <w:r>
              <w:rPr>
                <w:rFonts w:ascii="Times New Roman" w:hAnsi="Times New Roman"/>
              </w:rPr>
              <w:t>(0.018)</w:t>
            </w:r>
          </w:p>
        </w:tc>
      </w:tr>
      <w:tr w:rsidR="00E4064F" w:rsidRPr="007F7A1E" w14:paraId="083CDB97" w14:textId="77777777" w:rsidTr="00F27D55">
        <w:tc>
          <w:tcPr>
            <w:tcW w:w="3153" w:type="dxa"/>
            <w:shd w:val="clear" w:color="auto" w:fill="auto"/>
          </w:tcPr>
          <w:p w14:paraId="339C71E6" w14:textId="77777777" w:rsidR="00E4064F" w:rsidRDefault="00E4064F" w:rsidP="000D1B2E">
            <w:pPr>
              <w:pStyle w:val="BodyText1"/>
              <w:rPr>
                <w:rFonts w:ascii="Times New Roman" w:hAnsi="Times New Roman"/>
              </w:rPr>
            </w:pPr>
            <w:r>
              <w:rPr>
                <w:rFonts w:ascii="Times New Roman" w:hAnsi="Times New Roman"/>
              </w:rPr>
              <w:t>miR-1237-3p, miR-451a, miR-636</w:t>
            </w:r>
          </w:p>
          <w:p w14:paraId="13CA63F1" w14:textId="77777777" w:rsidR="00E4064F" w:rsidRPr="00266CFA" w:rsidRDefault="00E4064F" w:rsidP="000D1B2E">
            <w:pPr>
              <w:pStyle w:val="BodyText1"/>
              <w:rPr>
                <w:rFonts w:ascii="Times New Roman" w:hAnsi="Times New Roman"/>
              </w:rPr>
            </w:pPr>
            <w:r>
              <w:rPr>
                <w:rFonts w:ascii="Times New Roman" w:hAnsi="Times New Roman"/>
              </w:rPr>
              <w:t>miR-671-5p, miR-877-3p</w:t>
            </w:r>
          </w:p>
        </w:tc>
        <w:tc>
          <w:tcPr>
            <w:tcW w:w="1134" w:type="dxa"/>
            <w:shd w:val="clear" w:color="auto" w:fill="auto"/>
            <w:vAlign w:val="center"/>
          </w:tcPr>
          <w:p w14:paraId="68866843" w14:textId="77777777" w:rsidR="00E4064F" w:rsidRDefault="00E4064F" w:rsidP="000D1B2E">
            <w:pPr>
              <w:pStyle w:val="BodyText1"/>
              <w:jc w:val="center"/>
              <w:rPr>
                <w:rFonts w:ascii="Times New Roman" w:hAnsi="Times New Roman"/>
              </w:rPr>
            </w:pPr>
            <w:r>
              <w:rPr>
                <w:rFonts w:ascii="Times New Roman" w:hAnsi="Times New Roman"/>
              </w:rPr>
              <w:t>0.88</w:t>
            </w:r>
          </w:p>
          <w:p w14:paraId="5668D0CB" w14:textId="5EB4837E" w:rsidR="00F27D55" w:rsidRDefault="00F27D55" w:rsidP="000D1B2E">
            <w:pPr>
              <w:pStyle w:val="BodyText1"/>
              <w:jc w:val="center"/>
              <w:rPr>
                <w:rFonts w:ascii="Times New Roman" w:hAnsi="Times New Roman" w:cs="Times New Roman"/>
                <w:sz w:val="22"/>
              </w:rPr>
            </w:pPr>
            <w:r>
              <w:rPr>
                <w:rFonts w:ascii="Times New Roman" w:hAnsi="Times New Roman"/>
              </w:rPr>
              <w:t>(0.011)</w:t>
            </w:r>
          </w:p>
        </w:tc>
        <w:tc>
          <w:tcPr>
            <w:tcW w:w="850" w:type="dxa"/>
            <w:shd w:val="clear" w:color="auto" w:fill="auto"/>
            <w:vAlign w:val="center"/>
          </w:tcPr>
          <w:p w14:paraId="0E1ED716" w14:textId="05FA8ABD" w:rsidR="00E4064F" w:rsidRDefault="00E4064F" w:rsidP="000D1B2E">
            <w:pPr>
              <w:pStyle w:val="BodyText1"/>
              <w:jc w:val="center"/>
              <w:rPr>
                <w:rFonts w:ascii="Times New Roman" w:hAnsi="Times New Roman" w:cs="Times New Roman"/>
                <w:sz w:val="22"/>
              </w:rPr>
            </w:pPr>
            <w:r>
              <w:rPr>
                <w:rFonts w:ascii="Times New Roman" w:hAnsi="Times New Roman"/>
              </w:rPr>
              <w:t>0.85</w:t>
            </w:r>
            <w:r w:rsidR="00F27D55">
              <w:rPr>
                <w:rFonts w:ascii="Times New Roman" w:hAnsi="Times New Roman"/>
              </w:rPr>
              <w:br/>
              <w:t>(0.010)</w:t>
            </w:r>
          </w:p>
        </w:tc>
        <w:tc>
          <w:tcPr>
            <w:tcW w:w="1743" w:type="dxa"/>
            <w:shd w:val="clear" w:color="auto" w:fill="auto"/>
            <w:vAlign w:val="center"/>
          </w:tcPr>
          <w:p w14:paraId="0A81FCBC" w14:textId="77777777" w:rsidR="00F27D55" w:rsidRDefault="00E4064F" w:rsidP="000D1B2E">
            <w:pPr>
              <w:pStyle w:val="BodyText1"/>
              <w:jc w:val="center"/>
              <w:rPr>
                <w:rFonts w:ascii="Times New Roman" w:hAnsi="Times New Roman"/>
              </w:rPr>
            </w:pPr>
            <w:r>
              <w:rPr>
                <w:rFonts w:ascii="Times New Roman" w:hAnsi="Times New Roman"/>
              </w:rPr>
              <w:t>0.89</w:t>
            </w:r>
          </w:p>
          <w:p w14:paraId="502E2A94" w14:textId="7736C073" w:rsidR="00E4064F" w:rsidRDefault="00F27D55" w:rsidP="000D1B2E">
            <w:pPr>
              <w:pStyle w:val="BodyText1"/>
              <w:jc w:val="center"/>
              <w:rPr>
                <w:rFonts w:ascii="Times New Roman" w:hAnsi="Times New Roman" w:cs="Times New Roman"/>
                <w:sz w:val="22"/>
              </w:rPr>
            </w:pPr>
            <w:r>
              <w:rPr>
                <w:rFonts w:ascii="Times New Roman" w:hAnsi="Times New Roman"/>
              </w:rPr>
              <w:t>(0.006)</w:t>
            </w:r>
          </w:p>
        </w:tc>
        <w:tc>
          <w:tcPr>
            <w:tcW w:w="1965" w:type="dxa"/>
            <w:shd w:val="clear" w:color="auto" w:fill="auto"/>
            <w:vAlign w:val="center"/>
          </w:tcPr>
          <w:p w14:paraId="1442F4F1" w14:textId="77777777" w:rsidR="00E4064F" w:rsidRDefault="00E4064F" w:rsidP="000D1B2E">
            <w:pPr>
              <w:pStyle w:val="BodyText1"/>
              <w:jc w:val="center"/>
              <w:rPr>
                <w:rFonts w:ascii="Times New Roman" w:hAnsi="Times New Roman"/>
              </w:rPr>
            </w:pPr>
            <w:r>
              <w:rPr>
                <w:rFonts w:ascii="Times New Roman" w:hAnsi="Times New Roman"/>
              </w:rPr>
              <w:t>0.84</w:t>
            </w:r>
          </w:p>
          <w:p w14:paraId="16244377" w14:textId="4CD853A6" w:rsidR="00F27D55" w:rsidRDefault="00F27D55" w:rsidP="000D1B2E">
            <w:pPr>
              <w:pStyle w:val="BodyText1"/>
              <w:jc w:val="center"/>
              <w:rPr>
                <w:rFonts w:ascii="Times New Roman" w:hAnsi="Times New Roman" w:cs="Times New Roman"/>
                <w:sz w:val="22"/>
              </w:rPr>
            </w:pPr>
            <w:r>
              <w:rPr>
                <w:rFonts w:ascii="Times New Roman" w:hAnsi="Times New Roman"/>
              </w:rPr>
              <w:t>(0.013)</w:t>
            </w:r>
          </w:p>
        </w:tc>
      </w:tr>
      <w:tr w:rsidR="00E4064F" w:rsidRPr="007F7A1E" w14:paraId="0A658BB0" w14:textId="77777777" w:rsidTr="00F27D55">
        <w:trPr>
          <w:cnfStyle w:val="010000000000" w:firstRow="0" w:lastRow="1" w:firstColumn="0" w:lastColumn="0" w:oddVBand="0" w:evenVBand="0" w:oddHBand="0" w:evenHBand="0" w:firstRowFirstColumn="0" w:firstRowLastColumn="0" w:lastRowFirstColumn="0" w:lastRowLastColumn="0"/>
        </w:trPr>
        <w:tc>
          <w:tcPr>
            <w:tcW w:w="3153" w:type="dxa"/>
            <w:tcBorders>
              <w:top w:val="none" w:sz="0" w:space="0" w:color="auto"/>
            </w:tcBorders>
          </w:tcPr>
          <w:p w14:paraId="21C0DB8A" w14:textId="77777777" w:rsidR="00E4064F" w:rsidRDefault="00E4064F" w:rsidP="000D1B2E">
            <w:pPr>
              <w:pStyle w:val="BodyText1"/>
              <w:rPr>
                <w:rFonts w:ascii="Times New Roman" w:hAnsi="Times New Roman"/>
                <w:b w:val="0"/>
              </w:rPr>
            </w:pPr>
            <w:r w:rsidRPr="005262C7">
              <w:rPr>
                <w:rFonts w:ascii="Times New Roman" w:hAnsi="Times New Roman"/>
                <w:b w:val="0"/>
              </w:rPr>
              <w:t>miR-187-5</w:t>
            </w:r>
            <w:r>
              <w:rPr>
                <w:rFonts w:ascii="Times New Roman" w:hAnsi="Times New Roman"/>
                <w:b w:val="0"/>
              </w:rPr>
              <w:t xml:space="preserve">p, miR-1972, miR-451a, </w:t>
            </w:r>
          </w:p>
          <w:p w14:paraId="7EB312FF" w14:textId="77777777" w:rsidR="00E4064F" w:rsidRPr="005262C7" w:rsidRDefault="00E4064F" w:rsidP="000D1B2E">
            <w:pPr>
              <w:pStyle w:val="BodyText1"/>
              <w:rPr>
                <w:rFonts w:ascii="Times New Roman" w:hAnsi="Times New Roman"/>
                <w:b w:val="0"/>
              </w:rPr>
            </w:pPr>
            <w:r>
              <w:rPr>
                <w:rFonts w:ascii="Times New Roman" w:hAnsi="Times New Roman"/>
                <w:b w:val="0"/>
              </w:rPr>
              <w:t xml:space="preserve">miR-636, </w:t>
            </w:r>
            <w:r w:rsidRPr="005262C7">
              <w:rPr>
                <w:rFonts w:ascii="Times New Roman" w:hAnsi="Times New Roman"/>
                <w:b w:val="0"/>
              </w:rPr>
              <w:t>miR-877-3p</w:t>
            </w:r>
          </w:p>
        </w:tc>
        <w:tc>
          <w:tcPr>
            <w:tcW w:w="1134" w:type="dxa"/>
            <w:tcBorders>
              <w:top w:val="none" w:sz="0" w:space="0" w:color="auto"/>
            </w:tcBorders>
            <w:vAlign w:val="center"/>
          </w:tcPr>
          <w:p w14:paraId="0CF85382" w14:textId="77777777" w:rsidR="00E4064F" w:rsidRDefault="00E4064F" w:rsidP="000D1B2E">
            <w:pPr>
              <w:pStyle w:val="BodyText1"/>
              <w:jc w:val="center"/>
              <w:rPr>
                <w:rFonts w:ascii="Times New Roman" w:hAnsi="Times New Roman"/>
                <w:bCs w:val="0"/>
              </w:rPr>
            </w:pPr>
            <w:r w:rsidRPr="005262C7">
              <w:rPr>
                <w:rFonts w:ascii="Times New Roman" w:hAnsi="Times New Roman"/>
                <w:b w:val="0"/>
              </w:rPr>
              <w:t>0.88</w:t>
            </w:r>
          </w:p>
          <w:p w14:paraId="36ECC6FC" w14:textId="0940D560" w:rsidR="00F27D55" w:rsidRPr="005262C7" w:rsidRDefault="00F27D55" w:rsidP="000D1B2E">
            <w:pPr>
              <w:pStyle w:val="BodyText1"/>
              <w:jc w:val="center"/>
              <w:rPr>
                <w:rFonts w:ascii="Times New Roman" w:hAnsi="Times New Roman" w:cs="Times New Roman"/>
                <w:b w:val="0"/>
                <w:sz w:val="22"/>
              </w:rPr>
            </w:pPr>
            <w:r>
              <w:rPr>
                <w:rFonts w:ascii="Times New Roman" w:hAnsi="Times New Roman"/>
                <w:b w:val="0"/>
              </w:rPr>
              <w:t>(0.011)</w:t>
            </w:r>
          </w:p>
        </w:tc>
        <w:tc>
          <w:tcPr>
            <w:tcW w:w="850" w:type="dxa"/>
            <w:tcBorders>
              <w:top w:val="none" w:sz="0" w:space="0" w:color="auto"/>
            </w:tcBorders>
            <w:vAlign w:val="center"/>
          </w:tcPr>
          <w:p w14:paraId="2DF469B8" w14:textId="77777777" w:rsidR="00E4064F" w:rsidRDefault="00E4064F" w:rsidP="000D1B2E">
            <w:pPr>
              <w:pStyle w:val="BodyText1"/>
              <w:jc w:val="center"/>
              <w:rPr>
                <w:rFonts w:ascii="Times New Roman" w:hAnsi="Times New Roman"/>
                <w:bCs w:val="0"/>
              </w:rPr>
            </w:pPr>
            <w:r w:rsidRPr="005262C7">
              <w:rPr>
                <w:rFonts w:ascii="Times New Roman" w:hAnsi="Times New Roman"/>
                <w:b w:val="0"/>
              </w:rPr>
              <w:t>0.84</w:t>
            </w:r>
          </w:p>
          <w:p w14:paraId="349A7F40" w14:textId="59D54187" w:rsidR="00F27D55" w:rsidRPr="005262C7" w:rsidRDefault="00F27D55" w:rsidP="000D1B2E">
            <w:pPr>
              <w:pStyle w:val="BodyText1"/>
              <w:jc w:val="center"/>
              <w:rPr>
                <w:rFonts w:ascii="Times New Roman" w:hAnsi="Times New Roman" w:cs="Times New Roman"/>
                <w:b w:val="0"/>
                <w:sz w:val="22"/>
              </w:rPr>
            </w:pPr>
            <w:r>
              <w:rPr>
                <w:rFonts w:ascii="Times New Roman" w:hAnsi="Times New Roman"/>
                <w:b w:val="0"/>
              </w:rPr>
              <w:t>(0.020)</w:t>
            </w:r>
          </w:p>
        </w:tc>
        <w:tc>
          <w:tcPr>
            <w:tcW w:w="1743" w:type="dxa"/>
            <w:tcBorders>
              <w:top w:val="none" w:sz="0" w:space="0" w:color="auto"/>
            </w:tcBorders>
            <w:vAlign w:val="center"/>
          </w:tcPr>
          <w:p w14:paraId="42F3B6BA" w14:textId="77777777" w:rsidR="00F27D55" w:rsidRDefault="00E4064F" w:rsidP="000D1B2E">
            <w:pPr>
              <w:pStyle w:val="BodyText1"/>
              <w:jc w:val="center"/>
              <w:rPr>
                <w:rFonts w:ascii="Times New Roman" w:hAnsi="Times New Roman"/>
                <w:bCs w:val="0"/>
              </w:rPr>
            </w:pPr>
            <w:r w:rsidRPr="005262C7">
              <w:rPr>
                <w:rFonts w:ascii="Times New Roman" w:hAnsi="Times New Roman"/>
                <w:b w:val="0"/>
              </w:rPr>
              <w:t>0.88</w:t>
            </w:r>
          </w:p>
          <w:p w14:paraId="26107B97" w14:textId="37C95CA3" w:rsidR="00E4064F" w:rsidRPr="005262C7" w:rsidRDefault="00F27D55" w:rsidP="000D1B2E">
            <w:pPr>
              <w:pStyle w:val="BodyText1"/>
              <w:jc w:val="center"/>
              <w:rPr>
                <w:rFonts w:ascii="Times New Roman" w:hAnsi="Times New Roman" w:cs="Times New Roman"/>
                <w:b w:val="0"/>
                <w:sz w:val="22"/>
              </w:rPr>
            </w:pPr>
            <w:r>
              <w:rPr>
                <w:rFonts w:ascii="Times New Roman" w:hAnsi="Times New Roman"/>
                <w:b w:val="0"/>
              </w:rPr>
              <w:t>(0.013)</w:t>
            </w:r>
          </w:p>
        </w:tc>
        <w:tc>
          <w:tcPr>
            <w:tcW w:w="1965" w:type="dxa"/>
            <w:tcBorders>
              <w:top w:val="none" w:sz="0" w:space="0" w:color="auto"/>
            </w:tcBorders>
            <w:vAlign w:val="center"/>
          </w:tcPr>
          <w:p w14:paraId="4B49BD82" w14:textId="77777777" w:rsidR="00F27D55" w:rsidRDefault="00E4064F" w:rsidP="000D1B2E">
            <w:pPr>
              <w:pStyle w:val="BodyText1"/>
              <w:jc w:val="center"/>
              <w:rPr>
                <w:rFonts w:ascii="Times New Roman" w:hAnsi="Times New Roman"/>
                <w:bCs w:val="0"/>
              </w:rPr>
            </w:pPr>
            <w:r w:rsidRPr="00030E92">
              <w:rPr>
                <w:rFonts w:ascii="Times New Roman" w:hAnsi="Times New Roman"/>
                <w:b w:val="0"/>
              </w:rPr>
              <w:t>0.83</w:t>
            </w:r>
          </w:p>
          <w:p w14:paraId="61621251" w14:textId="1AB5CB6C" w:rsidR="00E4064F" w:rsidRPr="00030E92" w:rsidRDefault="00F27D55" w:rsidP="000D1B2E">
            <w:pPr>
              <w:pStyle w:val="BodyText1"/>
              <w:jc w:val="center"/>
              <w:rPr>
                <w:rFonts w:ascii="Times New Roman" w:hAnsi="Times New Roman" w:cs="Times New Roman"/>
                <w:b w:val="0"/>
                <w:sz w:val="22"/>
              </w:rPr>
            </w:pPr>
            <w:r>
              <w:rPr>
                <w:rFonts w:ascii="Times New Roman" w:hAnsi="Times New Roman"/>
                <w:b w:val="0"/>
              </w:rPr>
              <w:t>(0.014)</w:t>
            </w:r>
          </w:p>
        </w:tc>
      </w:tr>
    </w:tbl>
    <w:p w14:paraId="74ACA5BE" w14:textId="77777777" w:rsidR="00E4064F" w:rsidRDefault="00E4064F" w:rsidP="00E4064F">
      <w:pPr>
        <w:pStyle w:val="Caption"/>
      </w:pPr>
    </w:p>
    <w:p w14:paraId="1E5F5CD1" w14:textId="7064D455" w:rsidR="00E4064F" w:rsidRPr="00BC5DE4" w:rsidRDefault="00E4064F" w:rsidP="00BC5DE4">
      <w:pPr>
        <w:pStyle w:val="Body"/>
        <w:rPr>
          <w:i/>
          <w:iCs/>
        </w:rPr>
      </w:pPr>
      <w:bookmarkStart w:id="229" w:name="_Ref353373190"/>
      <w:bookmarkStart w:id="230" w:name="_Toc354233096"/>
      <w:bookmarkStart w:id="231" w:name="_Toc60597185"/>
      <w:r w:rsidRPr="00BC5DE4">
        <w:rPr>
          <w:i/>
          <w:iCs/>
        </w:rPr>
        <w:t xml:space="preserve">Table </w:t>
      </w:r>
      <w:r w:rsidR="004D7B97">
        <w:rPr>
          <w:i/>
          <w:iCs/>
        </w:rPr>
        <w:fldChar w:fldCharType="begin"/>
      </w:r>
      <w:r w:rsidR="004D7B97">
        <w:rPr>
          <w:i/>
          <w:iCs/>
        </w:rPr>
        <w:instrText xml:space="preserve"> STYLEREF 1 \s </w:instrText>
      </w:r>
      <w:r w:rsidR="004D7B97">
        <w:rPr>
          <w:i/>
          <w:iCs/>
        </w:rPr>
        <w:fldChar w:fldCharType="separate"/>
      </w:r>
      <w:r w:rsidR="00885DE4">
        <w:rPr>
          <w:i/>
          <w:iCs/>
          <w:noProof/>
        </w:rPr>
        <w:t>4</w:t>
      </w:r>
      <w:r w:rsidR="004D7B97">
        <w:rPr>
          <w:i/>
          <w:iCs/>
        </w:rPr>
        <w:fldChar w:fldCharType="end"/>
      </w:r>
      <w:r w:rsidR="004D7B97">
        <w:rPr>
          <w:i/>
          <w:iCs/>
        </w:rPr>
        <w:noBreakHyphen/>
      </w:r>
      <w:r w:rsidR="004D7B97">
        <w:rPr>
          <w:i/>
          <w:iCs/>
        </w:rPr>
        <w:fldChar w:fldCharType="begin"/>
      </w:r>
      <w:r w:rsidR="004D7B97">
        <w:rPr>
          <w:i/>
          <w:iCs/>
        </w:rPr>
        <w:instrText xml:space="preserve"> SEQ Table \* ARABIC \s 1 </w:instrText>
      </w:r>
      <w:r w:rsidR="004D7B97">
        <w:rPr>
          <w:i/>
          <w:iCs/>
        </w:rPr>
        <w:fldChar w:fldCharType="separate"/>
      </w:r>
      <w:r w:rsidR="00885DE4">
        <w:rPr>
          <w:i/>
          <w:iCs/>
          <w:noProof/>
        </w:rPr>
        <w:t>5</w:t>
      </w:r>
      <w:r w:rsidR="004D7B97">
        <w:rPr>
          <w:i/>
          <w:iCs/>
        </w:rPr>
        <w:fldChar w:fldCharType="end"/>
      </w:r>
      <w:bookmarkEnd w:id="229"/>
      <w:r w:rsidRPr="00BC5DE4">
        <w:rPr>
          <w:i/>
          <w:iCs/>
        </w:rPr>
        <w:t xml:space="preserve"> Top 5 miRNA panels for diagnosing IPAH from HV and metrics for their diagnostic power.</w:t>
      </w:r>
      <w:bookmarkEnd w:id="230"/>
      <w:r w:rsidR="00BC5DE4" w:rsidRPr="00BC5DE4">
        <w:rPr>
          <w:i/>
          <w:iCs/>
        </w:rPr>
        <w:t xml:space="preserve"> Performance metrics are shown as the mean and, in brackets, standard deviation from the cross-validation.</w:t>
      </w:r>
      <w:bookmarkEnd w:id="231"/>
    </w:p>
    <w:p w14:paraId="4B787BE4" w14:textId="77777777" w:rsidR="00E4064F" w:rsidRPr="00266CFA" w:rsidRDefault="00E4064F" w:rsidP="00E4064F"/>
    <w:p w14:paraId="6835BBFB" w14:textId="77777777" w:rsidR="00E4064F" w:rsidRPr="00572AEF" w:rsidRDefault="00E4064F" w:rsidP="00E4064F">
      <w:pPr>
        <w:pStyle w:val="Heading2"/>
        <w:numPr>
          <w:ilvl w:val="1"/>
          <w:numId w:val="7"/>
        </w:numPr>
        <w:spacing w:before="120" w:after="120"/>
        <w:ind w:left="578" w:hanging="578"/>
      </w:pPr>
      <w:bookmarkStart w:id="232" w:name="_Toc60773933"/>
      <w:r>
        <w:t>Comparison of Biomarker Performance</w:t>
      </w:r>
      <w:bookmarkEnd w:id="232"/>
    </w:p>
    <w:p w14:paraId="70798A6F" w14:textId="6F39C857" w:rsidR="00E4064F" w:rsidRDefault="00E4064F" w:rsidP="00E4064F">
      <w:pPr>
        <w:pStyle w:val="Body"/>
      </w:pPr>
      <w:r>
        <w:t xml:space="preserve">Performance of the biomarker panels was compared with ROC curves. Additionally, individual miRNA ROC curves are plotted to demonstrate any additional benefit of combining miRNAs into a panel. </w:t>
      </w:r>
      <w:proofErr w:type="spellStart"/>
      <w:r>
        <w:t>NTproBNP</w:t>
      </w:r>
      <w:proofErr w:type="spellEnd"/>
      <w:r>
        <w:t xml:space="preserve">, as a clinically relevant biomarker, has been plotted for comparison </w:t>
      </w:r>
      <w:r>
        <w:fldChar w:fldCharType="begin"/>
      </w:r>
      <w:r>
        <w:instrText xml:space="preserve"> REF _Ref21167779 \h </w:instrText>
      </w:r>
      <w:r>
        <w:fldChar w:fldCharType="separate"/>
      </w:r>
      <w:r w:rsidR="00885DE4">
        <w:t xml:space="preserve">Figure </w:t>
      </w:r>
      <w:r w:rsidR="00885DE4">
        <w:rPr>
          <w:noProof/>
        </w:rPr>
        <w:t>4</w:t>
      </w:r>
      <w:r w:rsidR="00885DE4">
        <w:noBreakHyphen/>
      </w:r>
      <w:r w:rsidR="00885DE4">
        <w:rPr>
          <w:noProof/>
        </w:rPr>
        <w:t>2</w:t>
      </w:r>
      <w:r>
        <w:fldChar w:fldCharType="end"/>
      </w:r>
      <w:r>
        <w:t>.</w:t>
      </w:r>
    </w:p>
    <w:p w14:paraId="01C0C701" w14:textId="77777777" w:rsidR="00E4064F" w:rsidRDefault="00E4064F" w:rsidP="00E4064F">
      <w:pPr>
        <w:pStyle w:val="Caption"/>
      </w:pPr>
      <w:bookmarkStart w:id="233" w:name="_Ref353788514"/>
      <w:r>
        <w:rPr>
          <w:noProof/>
          <w:lang w:val="en-US"/>
        </w:rPr>
        <w:lastRenderedPageBreak/>
        <w:drawing>
          <wp:inline distT="0" distB="0" distL="0" distR="0" wp14:anchorId="3FA9C488" wp14:editId="6EE5741D">
            <wp:extent cx="5262245" cy="3039110"/>
            <wp:effectExtent l="0" t="0" r="0" b="8890"/>
            <wp:docPr id="4" name="Picture 4" descr="Macintosh HD:Users:jamesiremonger:Dropbox:MPhil:Thesis:R:Graphs:IPAH RO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iremonger:Dropbox:MPhil:Thesis:R:Graphs:IPAH ROC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2245" cy="3039110"/>
                    </a:xfrm>
                    <a:prstGeom prst="rect">
                      <a:avLst/>
                    </a:prstGeom>
                    <a:noFill/>
                    <a:ln>
                      <a:noFill/>
                    </a:ln>
                  </pic:spPr>
                </pic:pic>
              </a:graphicData>
            </a:graphic>
          </wp:inline>
        </w:drawing>
      </w:r>
    </w:p>
    <w:p w14:paraId="5B9F1C72" w14:textId="5DDADB43" w:rsidR="00E4064F" w:rsidRDefault="00E4064F" w:rsidP="00E4064F">
      <w:pPr>
        <w:pStyle w:val="Caption"/>
      </w:pPr>
      <w:bookmarkStart w:id="234" w:name="_Ref21167779"/>
      <w:bookmarkStart w:id="235" w:name="_Toc354233083"/>
      <w:bookmarkStart w:id="236" w:name="_Toc60597210"/>
      <w:r>
        <w:t xml:space="preserve">Figure </w:t>
      </w:r>
      <w:r w:rsidR="00864CF4">
        <w:fldChar w:fldCharType="begin"/>
      </w:r>
      <w:r w:rsidR="00864CF4">
        <w:instrText xml:space="preserve"> STYLEREF 1 \s </w:instrText>
      </w:r>
      <w:r w:rsidR="00864CF4">
        <w:fldChar w:fldCharType="separate"/>
      </w:r>
      <w:r w:rsidR="00885DE4">
        <w:rPr>
          <w:noProof/>
        </w:rPr>
        <w:t>4</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2</w:t>
      </w:r>
      <w:r w:rsidR="00864CF4">
        <w:fldChar w:fldCharType="end"/>
      </w:r>
      <w:bookmarkEnd w:id="233"/>
      <w:bookmarkEnd w:id="234"/>
      <w:r>
        <w:t xml:space="preserve"> ROC curves for top ROC threshold panel, </w:t>
      </w:r>
      <w:proofErr w:type="spellStart"/>
      <w:r>
        <w:t>Rpart</w:t>
      </w:r>
      <w:proofErr w:type="spellEnd"/>
      <w:r>
        <w:t xml:space="preserve"> model in black, their constituent miRNAs and </w:t>
      </w:r>
      <w:proofErr w:type="spellStart"/>
      <w:r>
        <w:t>NTproBNP</w:t>
      </w:r>
      <w:proofErr w:type="spellEnd"/>
      <w:r>
        <w:t xml:space="preserve"> reference in purple.</w:t>
      </w:r>
      <w:bookmarkEnd w:id="235"/>
      <w:bookmarkEnd w:id="236"/>
    </w:p>
    <w:p w14:paraId="02132C45" w14:textId="77777777" w:rsidR="00E4064F" w:rsidRDefault="00E4064F" w:rsidP="00E4064F">
      <w:pPr>
        <w:pStyle w:val="Heading2"/>
        <w:numPr>
          <w:ilvl w:val="0"/>
          <w:numId w:val="0"/>
        </w:numPr>
        <w:spacing w:before="120" w:after="120"/>
      </w:pPr>
    </w:p>
    <w:p w14:paraId="3495F7EF" w14:textId="77777777" w:rsidR="00E4064F" w:rsidRDefault="00E4064F" w:rsidP="00E4064F">
      <w:pPr>
        <w:pStyle w:val="Heading2"/>
        <w:numPr>
          <w:ilvl w:val="1"/>
          <w:numId w:val="7"/>
        </w:numPr>
        <w:spacing w:before="120" w:after="120"/>
        <w:ind w:left="578" w:hanging="578"/>
      </w:pPr>
      <w:bookmarkStart w:id="237" w:name="_Toc60773934"/>
      <w:r>
        <w:t>Conclusion</w:t>
      </w:r>
      <w:bookmarkEnd w:id="237"/>
    </w:p>
    <w:p w14:paraId="78554D63" w14:textId="77777777" w:rsidR="00E4064F" w:rsidRDefault="00E4064F" w:rsidP="00E4064F">
      <w:pPr>
        <w:pStyle w:val="Body"/>
      </w:pPr>
      <w:r>
        <w:t xml:space="preserve">This chapter has demonstrated the diagnostic utility of plasma miRNAs in a phenotypically diverse cohort. A multi-level process for selecting the most relevant features identified potential predictors that are likely to give interesting results when combined. </w:t>
      </w:r>
    </w:p>
    <w:p w14:paraId="7B86BD55" w14:textId="77777777" w:rsidR="00E4064F" w:rsidRDefault="00E4064F" w:rsidP="00E4064F">
      <w:pPr>
        <w:pStyle w:val="Body"/>
      </w:pPr>
    </w:p>
    <w:p w14:paraId="7B1A5525" w14:textId="2F6CA141" w:rsidR="00E4064F" w:rsidRDefault="00E4064F" w:rsidP="00E4064F">
      <w:pPr>
        <w:pStyle w:val="Body"/>
      </w:pPr>
      <w:r>
        <w:t xml:space="preserve">Panels built either by the </w:t>
      </w:r>
      <w:proofErr w:type="spellStart"/>
      <w:r>
        <w:t>Rpart</w:t>
      </w:r>
      <w:proofErr w:type="spellEnd"/>
      <w:r>
        <w:t xml:space="preserve"> decision tree or the ROC thresholds have shown increased performance by ROC AUC than their component miRNAs. However, the </w:t>
      </w:r>
      <w:proofErr w:type="spellStart"/>
      <w:r>
        <w:t>Rpart</w:t>
      </w:r>
      <w:proofErr w:type="spellEnd"/>
      <w:r>
        <w:t xml:space="preserve"> panel equalled </w:t>
      </w:r>
      <w:proofErr w:type="spellStart"/>
      <w:r>
        <w:t>NTproBNP</w:t>
      </w:r>
      <w:proofErr w:type="spellEnd"/>
      <w:r>
        <w:t xml:space="preserve"> </w:t>
      </w:r>
      <w:r w:rsidR="00D2660F">
        <w:t xml:space="preserve">and </w:t>
      </w:r>
      <w:r>
        <w:t>the ROC threshold panel did not.</w:t>
      </w:r>
    </w:p>
    <w:p w14:paraId="3C41629B" w14:textId="77777777" w:rsidR="00E4064F" w:rsidRDefault="00E4064F" w:rsidP="00E4064F">
      <w:pPr>
        <w:pStyle w:val="Body"/>
      </w:pPr>
    </w:p>
    <w:p w14:paraId="33709905" w14:textId="77777777" w:rsidR="00E4064F" w:rsidRDefault="00E4064F" w:rsidP="00E4064F">
      <w:pPr>
        <w:pStyle w:val="Body"/>
      </w:pPr>
      <w:r>
        <w:t xml:space="preserve">With the exception of miR-331-3p the feature selection methods Boruta and LASSO </w:t>
      </w:r>
      <w:r w:rsidRPr="00A7219B">
        <w:t>both</w:t>
      </w:r>
      <w:r>
        <w:t xml:space="preserve"> identified the same miRNAs. Indicating that, in this data set, irrespective of feature selection algorithm the features with diagnostic utility will be identified. This is </w:t>
      </w:r>
      <w:r>
        <w:lastRenderedPageBreak/>
        <w:t xml:space="preserve">important as due to large cost, global screening methods such as microarrays often have a sample number smaller than is useable by LASSO. In cases such as these feature selection by </w:t>
      </w:r>
      <w:proofErr w:type="spellStart"/>
      <w:r>
        <w:t>Bortua</w:t>
      </w:r>
      <w:proofErr w:type="spellEnd"/>
      <w:r>
        <w:t xml:space="preserve"> would be the preferred option.</w:t>
      </w:r>
    </w:p>
    <w:p w14:paraId="01AB1DF3" w14:textId="77777777" w:rsidR="00E4064F" w:rsidRDefault="00E4064F" w:rsidP="00E4064F">
      <w:pPr>
        <w:jc w:val="both"/>
        <w:rPr>
          <w:rFonts w:eastAsia="TUOS Blake" w:hAnsi="TUOS Blake" w:cs="TUOS Blake"/>
          <w:lang w:val="en-US"/>
        </w:rPr>
      </w:pPr>
    </w:p>
    <w:p w14:paraId="1CA8B18C" w14:textId="77777777" w:rsidR="00E4064F" w:rsidRDefault="00E4064F" w:rsidP="00E4064F">
      <w:pPr>
        <w:pStyle w:val="Heading1"/>
        <w:numPr>
          <w:ilvl w:val="0"/>
          <w:numId w:val="7"/>
        </w:numPr>
        <w:spacing w:before="120" w:after="120"/>
      </w:pPr>
      <w:bookmarkStart w:id="238" w:name="_Toc60773935"/>
      <w:r w:rsidRPr="00E5229C">
        <w:t xml:space="preserve">Identification of </w:t>
      </w:r>
      <w:r>
        <w:t xml:space="preserve">Biomarkers of PAH in </w:t>
      </w:r>
      <w:proofErr w:type="spellStart"/>
      <w:r>
        <w:t>SSc</w:t>
      </w:r>
      <w:bookmarkEnd w:id="238"/>
      <w:proofErr w:type="spellEnd"/>
    </w:p>
    <w:p w14:paraId="0EAFF92B" w14:textId="77777777" w:rsidR="00E4064F" w:rsidRDefault="00E4064F" w:rsidP="00E4064F">
      <w:pPr>
        <w:pStyle w:val="Heading2"/>
        <w:numPr>
          <w:ilvl w:val="0"/>
          <w:numId w:val="0"/>
        </w:numPr>
        <w:spacing w:before="120" w:after="120"/>
        <w:ind w:left="576" w:hanging="576"/>
      </w:pPr>
    </w:p>
    <w:p w14:paraId="0FF69EAC" w14:textId="77777777" w:rsidR="00E4064F" w:rsidRPr="00AA737C" w:rsidRDefault="00E4064F" w:rsidP="00E4064F">
      <w:pPr>
        <w:pStyle w:val="Heading2"/>
        <w:numPr>
          <w:ilvl w:val="1"/>
          <w:numId w:val="7"/>
        </w:numPr>
        <w:spacing w:before="120" w:after="120"/>
      </w:pPr>
      <w:bookmarkStart w:id="239" w:name="_Toc60773936"/>
      <w:r>
        <w:t>Introduction</w:t>
      </w:r>
      <w:bookmarkEnd w:id="239"/>
    </w:p>
    <w:p w14:paraId="0331DADE" w14:textId="63A9D4CF" w:rsidR="00E4064F" w:rsidRDefault="00E4064F" w:rsidP="00E4064F">
      <w:pPr>
        <w:pStyle w:val="Body"/>
      </w:pPr>
      <w:r>
        <w:t xml:space="preserve">PAH this is a serious complication affecting around 10% of patients with </w:t>
      </w:r>
      <w:proofErr w:type="spellStart"/>
      <w:r>
        <w:t>SSc</w:t>
      </w:r>
      <w:proofErr w:type="spellEnd"/>
      <w:r>
        <w:t xml:space="preserve"> therefore early detection is critical to long term survival. As previously discussed the DETECT study has endeavoured to address this with a diagnostic score determined from the results of at least 5 different tests </w:t>
      </w:r>
      <w:r w:rsidR="00095567">
        <w:rPr>
          <w:rFonts w:eastAsiaTheme="minorHAnsi"/>
          <w:lang w:val="en-US"/>
        </w:rPr>
        <w:fldChar w:fldCharType="begin"/>
      </w:r>
      <w:r w:rsidR="004E19A5">
        <w:rPr>
          <w:rFonts w:eastAsiaTheme="minorHAnsi"/>
          <w:lang w:val="en-US"/>
        </w:rPr>
        <w:instrText xml:space="preserve"> ADDIN PAPERS2_CITATIONS &lt;citation&gt;&lt;priority&gt;85&lt;/priority&gt;&lt;uuid&gt;010F3D21-369F-4734-A225-41100B9AD4DF&lt;/uuid&gt;&lt;publications&gt;&lt;publication&gt;&lt;subtype&gt;400&lt;/subtype&gt;&lt;title&gt;23687283&lt;/title&gt;&lt;url&gt;http://ard.bmj.com/lookup/doi/10.1136/annrheumdis-2013-203301&lt;/url&gt;&lt;volume&gt;73&lt;/volume&gt;&lt;publication_date&gt;99201406061200000000222000&lt;/publication_date&gt;&lt;uuid&gt;33D95E50-9DFE-4DA7-8336-4BDE87ADFCA7&lt;/uuid&gt;&lt;type&gt;400&lt;/type&gt;&lt;number&gt;7&lt;/number&gt;&lt;doi&gt;10.1136/annrheumdis-2013-203301&lt;/doi&gt;&lt;institution&gt;Cardiology Department, Royal Free Hospital, London, UK.&lt;/institution&gt;&lt;startpage&gt;1340&lt;/startpage&gt;&lt;endpage&gt;1349&lt;/endpage&gt;&lt;bundle&gt;&lt;publication&gt;&lt;title&gt;Annals of the Rheumatic Diseases&lt;/title&gt;&lt;uuid&gt;FAA9DB70-BB5F-4454-90D8-261C3F4A522D&lt;/uuid&gt;&lt;subtype&gt;-100&lt;/subtype&gt;&lt;publisher&gt;BMJ Publishing Group Ltd&lt;/publisher&gt;&lt;type&gt;-100&lt;/type&gt;&lt;/publication&gt;&lt;/bundle&gt;&lt;authors&gt;&lt;author&gt;&lt;lastName&gt;Coghlan&lt;/lastName&gt;&lt;firstName&gt;J&lt;/firstName&gt;&lt;middleNames&gt;Gerry&lt;/middleNames&gt;&lt;/author&gt;&lt;author&gt;&lt;lastName&gt;Denton&lt;/lastName&gt;&lt;firstName&gt;Christopher&lt;/firstName&gt;&lt;middleNames&gt;P&lt;/middleNames&gt;&lt;/author&gt;&lt;author&gt;&lt;lastName&gt;Grünig&lt;/lastName&gt;&lt;firstName&gt;Ekkehard&lt;/firstName&gt;&lt;/author&gt;&lt;author&gt;&lt;lastName&gt;Bonderman&lt;/lastName&gt;&lt;firstName&gt;Diana&lt;/firstName&gt;&lt;/author&gt;&lt;author&gt;&lt;lastName&gt;Distler&lt;/lastName&gt;&lt;firstName&gt;Oliver&lt;/firstName&gt;&lt;/author&gt;&lt;author&gt;&lt;lastName&gt;Khanna&lt;/lastName&gt;&lt;firstName&gt;Dinesh&lt;/firstName&gt;&lt;/author&gt;&lt;author&gt;&lt;lastName&gt;Müller-Ladner&lt;/lastName&gt;&lt;firstName&gt;Ulf&lt;/firstName&gt;&lt;/author&gt;&lt;author&gt;&lt;lastName&gt;Pope&lt;/lastName&gt;&lt;firstName&gt;Janet&lt;/firstName&gt;&lt;middleNames&gt;E&lt;/middleNames&gt;&lt;/author&gt;&lt;author&gt;&lt;lastName&gt;Vonk&lt;/lastName&gt;&lt;firstName&gt;Madelon&lt;/firstName&gt;&lt;middleNames&gt;C&lt;/middleNames&gt;&lt;/author&gt;&lt;author&gt;&lt;lastName&gt;Doelberg&lt;/lastName&gt;&lt;firstName&gt;Martin&lt;/firstName&gt;&lt;/author&gt;&lt;author&gt;&lt;lastName&gt;Chadha-Boreham&lt;/lastName&gt;&lt;firstName&gt;Harbajan&lt;/firstName&gt;&lt;/author&gt;&lt;author&gt;&lt;lastName&gt;Heinzl&lt;/lastName&gt;&lt;firstName&gt;Harald&lt;/firstName&gt;&lt;/author&gt;&lt;author&gt;&lt;lastName&gt;Rosenberg&lt;/lastName&gt;&lt;firstName&gt;Daniel&lt;/firstName&gt;&lt;middleNames&gt;M&lt;/middleNames&gt;&lt;/author&gt;&lt;author&gt;&lt;lastName&gt;McLaughlin&lt;/lastName&gt;&lt;firstName&gt;Vallerie&lt;/firstName&gt;&lt;middleNames&gt;V&lt;/middleNames&gt;&lt;/author&gt;&lt;author&gt;&lt;lastName&gt;Seibold&lt;/lastName&gt;&lt;firstName&gt;James&lt;/firstName&gt;&lt;middleNames&gt;R&lt;/middleNames&gt;&lt;/author&gt;&lt;author&gt;&lt;lastName&gt;on behalf of the DETECT study group&lt;/lastName&gt;&lt;/author&gt;&lt;/authors&gt;&lt;/publication&gt;&lt;/publications&gt;&lt;cites&gt;&lt;/cites&gt;&lt;/citation&gt;</w:instrText>
      </w:r>
      <w:r w:rsidR="00095567">
        <w:rPr>
          <w:rFonts w:eastAsiaTheme="minorHAnsi"/>
          <w:lang w:val="en-US"/>
        </w:rPr>
        <w:fldChar w:fldCharType="separate"/>
      </w:r>
      <w:r w:rsidR="00095567">
        <w:rPr>
          <w:rFonts w:eastAsiaTheme="minorEastAsia"/>
          <w:lang w:val="en-US"/>
        </w:rPr>
        <w:t>(Coghlan et al., 2014)</w:t>
      </w:r>
      <w:r w:rsidR="00095567">
        <w:rPr>
          <w:rFonts w:eastAsiaTheme="minorHAnsi"/>
          <w:lang w:val="en-US"/>
        </w:rPr>
        <w:fldChar w:fldCharType="end"/>
      </w:r>
      <w:r>
        <w:t>. The tests require equipment and expertise that is only available at specialist centres, echocardiography for example. Additionally, the test is optimized to maximize positive predictive value at the detriment of the negative predictive value. This limits the algorithms practicality generating unnecessary numbers of patients where PAH has to be ruled out by RHC. A blood-based test has the potential to be faster, simpler and cheaper than DETECT and could potentially reduce unnecessary RHC.</w:t>
      </w:r>
    </w:p>
    <w:p w14:paraId="2AA63AD6" w14:textId="77777777" w:rsidR="00E4064F" w:rsidRPr="0033087D" w:rsidRDefault="00E4064F" w:rsidP="00E4064F"/>
    <w:p w14:paraId="462BE276" w14:textId="77777777" w:rsidR="00E4064F" w:rsidRPr="00AA737C" w:rsidRDefault="00E4064F" w:rsidP="00E4064F">
      <w:pPr>
        <w:pStyle w:val="Heading2"/>
        <w:numPr>
          <w:ilvl w:val="1"/>
          <w:numId w:val="7"/>
        </w:numPr>
        <w:spacing w:before="120" w:after="120"/>
      </w:pPr>
      <w:bookmarkStart w:id="240" w:name="_Toc60773937"/>
      <w:r>
        <w:t>Methods</w:t>
      </w:r>
      <w:bookmarkEnd w:id="240"/>
    </w:p>
    <w:p w14:paraId="12EE53DD" w14:textId="6E78AAA9" w:rsidR="00E4064F" w:rsidRDefault="00E4064F" w:rsidP="00E4064F">
      <w:pPr>
        <w:pStyle w:val="Body"/>
      </w:pPr>
      <w:r>
        <w:t xml:space="preserve">Plasma in citrate buffer was acquired from the </w:t>
      </w:r>
      <w:r w:rsidR="00C06520">
        <w:t>Cardiovascular disease and Lung disease (STH-</w:t>
      </w:r>
      <w:proofErr w:type="spellStart"/>
      <w:r w:rsidR="00C06520">
        <w:t>Obs</w:t>
      </w:r>
      <w:proofErr w:type="spellEnd"/>
      <w:r w:rsidR="00C06520">
        <w:t xml:space="preserve">) </w:t>
      </w:r>
      <w:r>
        <w:t xml:space="preserve">as detailed in </w:t>
      </w:r>
      <w:r>
        <w:fldChar w:fldCharType="begin"/>
      </w:r>
      <w:r>
        <w:instrText xml:space="preserve"> REF _Ref344043733 \r \h </w:instrText>
      </w:r>
      <w:r>
        <w:fldChar w:fldCharType="separate"/>
      </w:r>
      <w:r w:rsidR="00885DE4">
        <w:t>2.1</w:t>
      </w:r>
      <w:r>
        <w:fldChar w:fldCharType="end"/>
      </w:r>
      <w:r w:rsidR="001F28CB">
        <w:t>.</w:t>
      </w:r>
      <w:r w:rsidR="002503ED">
        <w:t xml:space="preserve"> </w:t>
      </w:r>
      <w:r>
        <w:t xml:space="preserve">RNA was extracted as described in </w:t>
      </w:r>
      <w:r>
        <w:fldChar w:fldCharType="begin"/>
      </w:r>
      <w:r>
        <w:instrText xml:space="preserve"> REF _Ref344043757 \r \h </w:instrText>
      </w:r>
      <w:r>
        <w:fldChar w:fldCharType="separate"/>
      </w:r>
      <w:r w:rsidR="00885DE4">
        <w:t>2.1</w:t>
      </w:r>
      <w:r>
        <w:fldChar w:fldCharType="end"/>
      </w:r>
      <w:r>
        <w:t xml:space="preserve"> and miRNA microarray performed as described in </w:t>
      </w:r>
      <w:r>
        <w:fldChar w:fldCharType="begin"/>
      </w:r>
      <w:r>
        <w:instrText xml:space="preserve"> REF _Ref344043668 \r \h </w:instrText>
      </w:r>
      <w:r>
        <w:fldChar w:fldCharType="separate"/>
      </w:r>
      <w:r w:rsidR="00885DE4">
        <w:t>2.2</w:t>
      </w:r>
      <w:r>
        <w:fldChar w:fldCharType="end"/>
      </w:r>
      <w:r>
        <w:t>.</w:t>
      </w:r>
    </w:p>
    <w:p w14:paraId="4B738DA9" w14:textId="5E85FB84" w:rsidR="00E032A5" w:rsidRDefault="00E032A5" w:rsidP="00E4064F">
      <w:pPr>
        <w:pStyle w:val="Body"/>
      </w:pPr>
      <w:r>
        <w:t xml:space="preserve">Patient demographics shown in </w:t>
      </w:r>
      <w:r>
        <w:fldChar w:fldCharType="begin"/>
      </w:r>
      <w:r>
        <w:instrText xml:space="preserve"> REF _Ref39689254 \h </w:instrText>
      </w:r>
      <w:r>
        <w:fldChar w:fldCharType="separate"/>
      </w:r>
      <w:r w:rsidR="00885DE4">
        <w:t xml:space="preserve">Table </w:t>
      </w:r>
      <w:r w:rsidR="00885DE4">
        <w:rPr>
          <w:noProof/>
        </w:rPr>
        <w:t>5</w:t>
      </w:r>
      <w:r w:rsidR="00885DE4">
        <w:noBreakHyphen/>
      </w:r>
      <w:r w:rsidR="00885DE4">
        <w:rPr>
          <w:noProof/>
        </w:rPr>
        <w:t>1</w:t>
      </w:r>
      <w:r>
        <w:fldChar w:fldCharType="end"/>
      </w:r>
      <w:r>
        <w:t xml:space="preserve"> show patients well matched, with non-significance, in age, gender and ethnicity. As expected, diagnostic measures of PAH are </w:t>
      </w:r>
      <w:r>
        <w:lastRenderedPageBreak/>
        <w:t>significantly different between groups. Absences of left heart disease is shown for both groups by non-significance and a PAWP ≤15 mmHg.</w:t>
      </w:r>
    </w:p>
    <w:p w14:paraId="5C13F1DE" w14:textId="77777777" w:rsidR="00E4064F" w:rsidRDefault="00E4064F" w:rsidP="00E4064F"/>
    <w:tbl>
      <w:tblPr>
        <w:tblStyle w:val="GridTable3-Accent5"/>
        <w:tblW w:w="0" w:type="auto"/>
        <w:tblLook w:val="04A0" w:firstRow="1" w:lastRow="0" w:firstColumn="1" w:lastColumn="0" w:noHBand="0" w:noVBand="1"/>
      </w:tblPr>
      <w:tblGrid>
        <w:gridCol w:w="3119"/>
        <w:gridCol w:w="2126"/>
        <w:gridCol w:w="2268"/>
        <w:gridCol w:w="1497"/>
      </w:tblGrid>
      <w:tr w:rsidR="008738C3" w:rsidRPr="00202067" w14:paraId="21D1BB04" w14:textId="77777777" w:rsidTr="00F27D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Pr>
          <w:p w14:paraId="00E4353A" w14:textId="77777777" w:rsidR="008738C3" w:rsidRPr="00202067" w:rsidRDefault="008738C3" w:rsidP="00F27D55">
            <w:pPr>
              <w:rPr>
                <w:rFonts w:ascii="TUOS Blake" w:hAnsi="TUOS Blake"/>
                <w:b w:val="0"/>
                <w:bCs w:val="0"/>
                <w:sz w:val="22"/>
                <w:szCs w:val="22"/>
              </w:rPr>
            </w:pPr>
            <w:bookmarkStart w:id="241" w:name="_Ref344108259"/>
            <w:bookmarkStart w:id="242" w:name="_Toc354233097"/>
          </w:p>
        </w:tc>
        <w:tc>
          <w:tcPr>
            <w:tcW w:w="2126" w:type="dxa"/>
          </w:tcPr>
          <w:p w14:paraId="4DDA9C7B" w14:textId="77777777" w:rsidR="008738C3" w:rsidRPr="00202067" w:rsidRDefault="008738C3" w:rsidP="00F27D55">
            <w:pPr>
              <w:cnfStyle w:val="100000000000" w:firstRow="1" w:lastRow="0" w:firstColumn="0" w:lastColumn="0" w:oddVBand="0" w:evenVBand="0" w:oddHBand="0" w:evenHBand="0" w:firstRowFirstColumn="0" w:firstRowLastColumn="0" w:lastRowFirstColumn="0" w:lastRowLastColumn="0"/>
              <w:rPr>
                <w:rFonts w:ascii="TUOS Blake" w:hAnsi="TUOS Blake"/>
                <w:sz w:val="22"/>
                <w:szCs w:val="22"/>
              </w:rPr>
            </w:pPr>
            <w:proofErr w:type="spellStart"/>
            <w:r w:rsidRPr="00202067">
              <w:rPr>
                <w:rFonts w:ascii="TUOS Blake" w:hAnsi="TUOS Blake"/>
                <w:sz w:val="22"/>
                <w:szCs w:val="22"/>
              </w:rPr>
              <w:t>SSc</w:t>
            </w:r>
            <w:proofErr w:type="spellEnd"/>
          </w:p>
        </w:tc>
        <w:tc>
          <w:tcPr>
            <w:tcW w:w="2268" w:type="dxa"/>
          </w:tcPr>
          <w:p w14:paraId="56B1ED2E" w14:textId="77777777" w:rsidR="008738C3" w:rsidRPr="00202067" w:rsidRDefault="008738C3" w:rsidP="00F27D55">
            <w:pPr>
              <w:cnfStyle w:val="100000000000" w:firstRow="1" w:lastRow="0" w:firstColumn="0" w:lastColumn="0" w:oddVBand="0" w:evenVBand="0" w:oddHBand="0" w:evenHBand="0" w:firstRowFirstColumn="0" w:firstRowLastColumn="0" w:lastRowFirstColumn="0" w:lastRowLastColumn="0"/>
              <w:rPr>
                <w:rFonts w:ascii="TUOS Blake" w:hAnsi="TUOS Blake"/>
                <w:sz w:val="22"/>
                <w:szCs w:val="22"/>
              </w:rPr>
            </w:pPr>
            <w:proofErr w:type="spellStart"/>
            <w:r w:rsidRPr="00202067">
              <w:rPr>
                <w:rFonts w:ascii="TUOS Blake" w:hAnsi="TUOS Blake"/>
                <w:sz w:val="22"/>
                <w:szCs w:val="22"/>
              </w:rPr>
              <w:t>SSc</w:t>
            </w:r>
            <w:proofErr w:type="spellEnd"/>
            <w:r w:rsidRPr="00202067">
              <w:rPr>
                <w:rFonts w:ascii="TUOS Blake" w:hAnsi="TUOS Blake"/>
                <w:sz w:val="22"/>
                <w:szCs w:val="22"/>
              </w:rPr>
              <w:t>-PAH</w:t>
            </w:r>
          </w:p>
        </w:tc>
        <w:tc>
          <w:tcPr>
            <w:tcW w:w="1497" w:type="dxa"/>
          </w:tcPr>
          <w:p w14:paraId="02E4E27E" w14:textId="77777777" w:rsidR="008738C3" w:rsidRPr="00202067" w:rsidRDefault="008738C3" w:rsidP="00F27D55">
            <w:pPr>
              <w:cnfStyle w:val="100000000000" w:firstRow="1" w:lastRow="0" w:firstColumn="0" w:lastColumn="0" w:oddVBand="0" w:evenVBand="0" w:oddHBand="0" w:evenHBand="0" w:firstRowFirstColumn="0" w:firstRowLastColumn="0" w:lastRowFirstColumn="0" w:lastRowLastColumn="0"/>
              <w:rPr>
                <w:rFonts w:ascii="TUOS Blake" w:hAnsi="TUOS Blake"/>
                <w:sz w:val="22"/>
                <w:szCs w:val="22"/>
              </w:rPr>
            </w:pPr>
            <w:r w:rsidRPr="00202067">
              <w:rPr>
                <w:rFonts w:ascii="TUOS Blake" w:hAnsi="TUOS Blake"/>
                <w:sz w:val="22"/>
                <w:szCs w:val="22"/>
              </w:rPr>
              <w:t>p-value</w:t>
            </w:r>
          </w:p>
        </w:tc>
      </w:tr>
      <w:tr w:rsidR="008738C3" w:rsidRPr="00202067" w14:paraId="61E969D0" w14:textId="77777777" w:rsidTr="00F27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60047A0" w14:textId="77777777" w:rsidR="008738C3" w:rsidRPr="00202067" w:rsidRDefault="008738C3" w:rsidP="00F27D55">
            <w:pPr>
              <w:rPr>
                <w:rFonts w:ascii="TUOS Blake" w:hAnsi="TUOS Blake"/>
                <w:b/>
                <w:bCs/>
                <w:i w:val="0"/>
                <w:iCs w:val="0"/>
                <w:sz w:val="22"/>
                <w:szCs w:val="22"/>
              </w:rPr>
            </w:pPr>
            <w:r w:rsidRPr="00202067">
              <w:rPr>
                <w:rFonts w:ascii="TUOS Blake" w:hAnsi="TUOS Blake"/>
                <w:b/>
                <w:bCs/>
                <w:i w:val="0"/>
                <w:iCs w:val="0"/>
                <w:sz w:val="22"/>
                <w:szCs w:val="22"/>
              </w:rPr>
              <w:t>N</w:t>
            </w:r>
          </w:p>
        </w:tc>
        <w:tc>
          <w:tcPr>
            <w:tcW w:w="2126" w:type="dxa"/>
          </w:tcPr>
          <w:p w14:paraId="53C86DF6" w14:textId="77777777" w:rsidR="008738C3" w:rsidRPr="00202067" w:rsidRDefault="008738C3"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202067">
              <w:rPr>
                <w:rFonts w:ascii="TUOS Blake" w:hAnsi="TUOS Blake"/>
                <w:sz w:val="22"/>
                <w:szCs w:val="22"/>
              </w:rPr>
              <w:t>10</w:t>
            </w:r>
          </w:p>
        </w:tc>
        <w:tc>
          <w:tcPr>
            <w:tcW w:w="2268" w:type="dxa"/>
          </w:tcPr>
          <w:p w14:paraId="4B2F4FFB" w14:textId="77777777" w:rsidR="008738C3" w:rsidRPr="00202067" w:rsidRDefault="008738C3"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202067">
              <w:rPr>
                <w:rFonts w:ascii="TUOS Blake" w:hAnsi="TUOS Blake"/>
                <w:sz w:val="22"/>
                <w:szCs w:val="22"/>
              </w:rPr>
              <w:t>18</w:t>
            </w:r>
          </w:p>
        </w:tc>
        <w:tc>
          <w:tcPr>
            <w:tcW w:w="1497" w:type="dxa"/>
          </w:tcPr>
          <w:p w14:paraId="711C3350" w14:textId="77777777" w:rsidR="008738C3" w:rsidRPr="00202067" w:rsidRDefault="008738C3"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p>
        </w:tc>
      </w:tr>
      <w:tr w:rsidR="008738C3" w:rsidRPr="00202067" w14:paraId="6224C4B8" w14:textId="77777777" w:rsidTr="00F27D55">
        <w:tc>
          <w:tcPr>
            <w:cnfStyle w:val="001000000000" w:firstRow="0" w:lastRow="0" w:firstColumn="1" w:lastColumn="0" w:oddVBand="0" w:evenVBand="0" w:oddHBand="0" w:evenHBand="0" w:firstRowFirstColumn="0" w:firstRowLastColumn="0" w:lastRowFirstColumn="0" w:lastRowLastColumn="0"/>
            <w:tcW w:w="3119" w:type="dxa"/>
          </w:tcPr>
          <w:p w14:paraId="528D442D" w14:textId="77777777" w:rsidR="008738C3" w:rsidRPr="00202067" w:rsidRDefault="008738C3" w:rsidP="00F27D55">
            <w:pPr>
              <w:rPr>
                <w:rFonts w:ascii="TUOS Blake" w:hAnsi="TUOS Blake"/>
                <w:b/>
                <w:bCs/>
                <w:i w:val="0"/>
                <w:iCs w:val="0"/>
                <w:sz w:val="22"/>
                <w:szCs w:val="22"/>
              </w:rPr>
            </w:pPr>
            <w:r w:rsidRPr="00202067">
              <w:rPr>
                <w:rFonts w:ascii="TUOS Blake" w:hAnsi="TUOS Blake"/>
                <w:b/>
                <w:bCs/>
                <w:i w:val="0"/>
                <w:iCs w:val="0"/>
                <w:sz w:val="22"/>
                <w:szCs w:val="22"/>
              </w:rPr>
              <w:t xml:space="preserve">Age </w:t>
            </w:r>
          </w:p>
        </w:tc>
        <w:tc>
          <w:tcPr>
            <w:tcW w:w="2126" w:type="dxa"/>
          </w:tcPr>
          <w:p w14:paraId="107D569B" w14:textId="77777777" w:rsidR="008738C3" w:rsidRPr="00202067" w:rsidRDefault="008738C3"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202067">
              <w:rPr>
                <w:rFonts w:ascii="TUOS Blake" w:hAnsi="TUOS Blake"/>
                <w:color w:val="000000"/>
                <w:sz w:val="22"/>
                <w:szCs w:val="22"/>
              </w:rPr>
              <w:t>62.1 (56.5 - 72.6)</w:t>
            </w:r>
          </w:p>
        </w:tc>
        <w:tc>
          <w:tcPr>
            <w:tcW w:w="2268" w:type="dxa"/>
          </w:tcPr>
          <w:p w14:paraId="33702D22" w14:textId="77777777" w:rsidR="008738C3" w:rsidRPr="00202067" w:rsidRDefault="008738C3"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202067">
              <w:rPr>
                <w:rFonts w:ascii="TUOS Blake" w:hAnsi="TUOS Blake"/>
                <w:color w:val="000000"/>
                <w:sz w:val="22"/>
                <w:szCs w:val="22"/>
              </w:rPr>
              <w:t>69.6 (65.1 - 72)</w:t>
            </w:r>
          </w:p>
        </w:tc>
        <w:tc>
          <w:tcPr>
            <w:tcW w:w="1497" w:type="dxa"/>
          </w:tcPr>
          <w:p w14:paraId="71804D5C" w14:textId="77777777" w:rsidR="008738C3" w:rsidRPr="00202067" w:rsidRDefault="008738C3"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202067">
              <w:rPr>
                <w:rFonts w:ascii="TUOS Blake" w:hAnsi="TUOS Blake"/>
                <w:sz w:val="22"/>
                <w:szCs w:val="22"/>
              </w:rPr>
              <w:t>NS</w:t>
            </w:r>
          </w:p>
        </w:tc>
      </w:tr>
      <w:tr w:rsidR="008738C3" w:rsidRPr="00202067" w14:paraId="12E4ABC1" w14:textId="77777777" w:rsidTr="00F27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79BC240" w14:textId="77777777" w:rsidR="008738C3" w:rsidRPr="00202067" w:rsidRDefault="008738C3" w:rsidP="00F27D55">
            <w:pPr>
              <w:rPr>
                <w:rFonts w:ascii="TUOS Blake" w:hAnsi="TUOS Blake"/>
                <w:b/>
                <w:bCs/>
                <w:i w:val="0"/>
                <w:iCs w:val="0"/>
                <w:sz w:val="22"/>
                <w:szCs w:val="22"/>
              </w:rPr>
            </w:pPr>
            <w:r w:rsidRPr="00202067">
              <w:rPr>
                <w:rFonts w:ascii="TUOS Blake" w:hAnsi="TUOS Blake"/>
                <w:b/>
                <w:bCs/>
                <w:i w:val="0"/>
                <w:iCs w:val="0"/>
                <w:sz w:val="22"/>
                <w:szCs w:val="22"/>
              </w:rPr>
              <w:t>Gender (% Female)</w:t>
            </w:r>
          </w:p>
        </w:tc>
        <w:tc>
          <w:tcPr>
            <w:tcW w:w="2126" w:type="dxa"/>
          </w:tcPr>
          <w:p w14:paraId="6D77F14E" w14:textId="77777777" w:rsidR="008738C3" w:rsidRPr="00202067" w:rsidRDefault="008738C3"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202067">
              <w:rPr>
                <w:rFonts w:ascii="TUOS Blake" w:hAnsi="TUOS Blake"/>
                <w:sz w:val="22"/>
                <w:szCs w:val="22"/>
              </w:rPr>
              <w:t>90%</w:t>
            </w:r>
          </w:p>
        </w:tc>
        <w:tc>
          <w:tcPr>
            <w:tcW w:w="2268" w:type="dxa"/>
          </w:tcPr>
          <w:p w14:paraId="2D71384B" w14:textId="77777777" w:rsidR="008738C3" w:rsidRPr="00202067" w:rsidRDefault="008738C3"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202067">
              <w:rPr>
                <w:rFonts w:ascii="TUOS Blake" w:hAnsi="TUOS Blake"/>
                <w:sz w:val="22"/>
                <w:szCs w:val="22"/>
              </w:rPr>
              <w:t>67%</w:t>
            </w:r>
          </w:p>
        </w:tc>
        <w:tc>
          <w:tcPr>
            <w:tcW w:w="1497" w:type="dxa"/>
          </w:tcPr>
          <w:p w14:paraId="6B8971EE" w14:textId="77777777" w:rsidR="008738C3" w:rsidRPr="00202067" w:rsidRDefault="008738C3"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202067">
              <w:rPr>
                <w:rFonts w:ascii="TUOS Blake" w:hAnsi="TUOS Blake"/>
                <w:sz w:val="22"/>
                <w:szCs w:val="22"/>
              </w:rPr>
              <w:t>NS</w:t>
            </w:r>
          </w:p>
        </w:tc>
      </w:tr>
      <w:tr w:rsidR="008738C3" w:rsidRPr="00202067" w14:paraId="5A034743" w14:textId="77777777" w:rsidTr="00F27D55">
        <w:tc>
          <w:tcPr>
            <w:cnfStyle w:val="001000000000" w:firstRow="0" w:lastRow="0" w:firstColumn="1" w:lastColumn="0" w:oddVBand="0" w:evenVBand="0" w:oddHBand="0" w:evenHBand="0" w:firstRowFirstColumn="0" w:firstRowLastColumn="0" w:lastRowFirstColumn="0" w:lastRowLastColumn="0"/>
            <w:tcW w:w="3119" w:type="dxa"/>
          </w:tcPr>
          <w:p w14:paraId="699DBAFE" w14:textId="77777777" w:rsidR="008738C3" w:rsidRPr="00202067" w:rsidRDefault="008738C3" w:rsidP="00F27D55">
            <w:pPr>
              <w:rPr>
                <w:rFonts w:ascii="TUOS Blake" w:hAnsi="TUOS Blake"/>
                <w:b/>
                <w:bCs/>
                <w:i w:val="0"/>
                <w:iCs w:val="0"/>
                <w:sz w:val="22"/>
                <w:szCs w:val="22"/>
              </w:rPr>
            </w:pPr>
            <w:r w:rsidRPr="00202067">
              <w:rPr>
                <w:rFonts w:ascii="TUOS Blake" w:hAnsi="TUOS Blake"/>
                <w:b/>
                <w:bCs/>
                <w:i w:val="0"/>
                <w:iCs w:val="0"/>
                <w:sz w:val="22"/>
                <w:szCs w:val="22"/>
              </w:rPr>
              <w:t>Deaths (%)</w:t>
            </w:r>
          </w:p>
        </w:tc>
        <w:tc>
          <w:tcPr>
            <w:tcW w:w="2126" w:type="dxa"/>
          </w:tcPr>
          <w:p w14:paraId="631B7EBC" w14:textId="77777777" w:rsidR="008738C3" w:rsidRPr="00202067" w:rsidRDefault="008738C3"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202067">
              <w:rPr>
                <w:rFonts w:ascii="TUOS Blake" w:hAnsi="TUOS Blake"/>
                <w:sz w:val="22"/>
                <w:szCs w:val="22"/>
              </w:rPr>
              <w:t>10%</w:t>
            </w:r>
          </w:p>
        </w:tc>
        <w:tc>
          <w:tcPr>
            <w:tcW w:w="2268" w:type="dxa"/>
          </w:tcPr>
          <w:p w14:paraId="30D9D1AF" w14:textId="77777777" w:rsidR="008738C3" w:rsidRPr="00202067" w:rsidRDefault="008738C3"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202067">
              <w:rPr>
                <w:rFonts w:ascii="TUOS Blake" w:hAnsi="TUOS Blake"/>
                <w:sz w:val="22"/>
                <w:szCs w:val="22"/>
              </w:rPr>
              <w:t>67%</w:t>
            </w:r>
          </w:p>
        </w:tc>
        <w:tc>
          <w:tcPr>
            <w:tcW w:w="1497" w:type="dxa"/>
          </w:tcPr>
          <w:p w14:paraId="2F4DE2D1" w14:textId="77777777" w:rsidR="008738C3" w:rsidRPr="00202067" w:rsidRDefault="008738C3"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202067">
              <w:rPr>
                <w:rFonts w:ascii="TUOS Blake" w:hAnsi="TUOS Blake"/>
                <w:sz w:val="22"/>
                <w:szCs w:val="22"/>
              </w:rPr>
              <w:t>0.013</w:t>
            </w:r>
          </w:p>
        </w:tc>
      </w:tr>
      <w:tr w:rsidR="008738C3" w:rsidRPr="00202067" w14:paraId="70D4B595" w14:textId="77777777" w:rsidTr="00F27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AD1BF4A" w14:textId="77777777" w:rsidR="008738C3" w:rsidRPr="00202067" w:rsidRDefault="008738C3" w:rsidP="00F27D55">
            <w:pPr>
              <w:rPr>
                <w:rFonts w:ascii="TUOS Blake" w:hAnsi="TUOS Blake"/>
                <w:b/>
                <w:bCs/>
                <w:i w:val="0"/>
                <w:iCs w:val="0"/>
                <w:sz w:val="22"/>
                <w:szCs w:val="22"/>
              </w:rPr>
            </w:pPr>
            <w:r w:rsidRPr="00202067">
              <w:rPr>
                <w:rFonts w:ascii="TUOS Blake" w:hAnsi="TUOS Blake"/>
                <w:b/>
                <w:bCs/>
                <w:i w:val="0"/>
                <w:iCs w:val="0"/>
                <w:sz w:val="22"/>
                <w:szCs w:val="22"/>
              </w:rPr>
              <w:t>Ethnicity (% Caucasian)</w:t>
            </w:r>
          </w:p>
        </w:tc>
        <w:tc>
          <w:tcPr>
            <w:tcW w:w="2126" w:type="dxa"/>
          </w:tcPr>
          <w:p w14:paraId="6BA44D93" w14:textId="77777777" w:rsidR="008738C3" w:rsidRPr="00202067" w:rsidRDefault="008738C3"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202067">
              <w:rPr>
                <w:rFonts w:ascii="TUOS Blake" w:hAnsi="TUOS Blake"/>
                <w:sz w:val="22"/>
                <w:szCs w:val="22"/>
              </w:rPr>
              <w:t>90%</w:t>
            </w:r>
          </w:p>
        </w:tc>
        <w:tc>
          <w:tcPr>
            <w:tcW w:w="2268" w:type="dxa"/>
          </w:tcPr>
          <w:p w14:paraId="1940FC7C" w14:textId="77777777" w:rsidR="008738C3" w:rsidRPr="00202067" w:rsidRDefault="008738C3" w:rsidP="00F27D55">
            <w:pPr>
              <w:cnfStyle w:val="000000100000" w:firstRow="0" w:lastRow="0" w:firstColumn="0" w:lastColumn="0" w:oddVBand="0" w:evenVBand="0" w:oddHBand="1" w:evenHBand="0" w:firstRowFirstColumn="0" w:firstRowLastColumn="0" w:lastRowFirstColumn="0" w:lastRowLastColumn="0"/>
              <w:rPr>
                <w:rFonts w:ascii="TUOS Blake" w:hAnsi="TUOS Blake"/>
                <w:color w:val="000000"/>
                <w:sz w:val="22"/>
                <w:szCs w:val="22"/>
              </w:rPr>
            </w:pPr>
            <w:r w:rsidRPr="00202067">
              <w:rPr>
                <w:rFonts w:ascii="TUOS Blake" w:hAnsi="TUOS Blake"/>
                <w:color w:val="000000"/>
                <w:sz w:val="22"/>
                <w:szCs w:val="22"/>
              </w:rPr>
              <w:t>100%</w:t>
            </w:r>
          </w:p>
        </w:tc>
        <w:tc>
          <w:tcPr>
            <w:tcW w:w="1497" w:type="dxa"/>
          </w:tcPr>
          <w:p w14:paraId="6D22F317" w14:textId="77777777" w:rsidR="008738C3" w:rsidRPr="00202067" w:rsidRDefault="008738C3"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202067">
              <w:rPr>
                <w:rFonts w:ascii="TUOS Blake" w:hAnsi="TUOS Blake"/>
                <w:sz w:val="22"/>
                <w:szCs w:val="22"/>
              </w:rPr>
              <w:t>NS</w:t>
            </w:r>
          </w:p>
        </w:tc>
      </w:tr>
      <w:tr w:rsidR="008738C3" w:rsidRPr="00202067" w14:paraId="0C24E74B" w14:textId="77777777" w:rsidTr="00F27D55">
        <w:tc>
          <w:tcPr>
            <w:cnfStyle w:val="001000000000" w:firstRow="0" w:lastRow="0" w:firstColumn="1" w:lastColumn="0" w:oddVBand="0" w:evenVBand="0" w:oddHBand="0" w:evenHBand="0" w:firstRowFirstColumn="0" w:firstRowLastColumn="0" w:lastRowFirstColumn="0" w:lastRowLastColumn="0"/>
            <w:tcW w:w="3119" w:type="dxa"/>
          </w:tcPr>
          <w:p w14:paraId="2B471BA0" w14:textId="77777777" w:rsidR="008738C3" w:rsidRPr="00202067" w:rsidRDefault="008738C3" w:rsidP="00F27D55">
            <w:pPr>
              <w:rPr>
                <w:rFonts w:ascii="TUOS Blake" w:hAnsi="TUOS Blake"/>
                <w:b/>
                <w:bCs/>
                <w:i w:val="0"/>
                <w:iCs w:val="0"/>
                <w:sz w:val="22"/>
                <w:szCs w:val="22"/>
              </w:rPr>
            </w:pPr>
            <w:proofErr w:type="spellStart"/>
            <w:r w:rsidRPr="00202067">
              <w:rPr>
                <w:rFonts w:ascii="TUOS Blake" w:hAnsi="TUOS Blake"/>
                <w:b/>
                <w:bCs/>
                <w:i w:val="0"/>
                <w:iCs w:val="0"/>
                <w:sz w:val="22"/>
                <w:szCs w:val="22"/>
              </w:rPr>
              <w:t>mPAP</w:t>
            </w:r>
            <w:proofErr w:type="spellEnd"/>
            <w:r w:rsidRPr="00202067">
              <w:rPr>
                <w:rFonts w:ascii="TUOS Blake" w:hAnsi="TUOS Blake"/>
                <w:b/>
                <w:bCs/>
                <w:i w:val="0"/>
                <w:iCs w:val="0"/>
                <w:sz w:val="22"/>
                <w:szCs w:val="22"/>
              </w:rPr>
              <w:t xml:space="preserve"> (mmHg)</w:t>
            </w:r>
          </w:p>
        </w:tc>
        <w:tc>
          <w:tcPr>
            <w:tcW w:w="2126" w:type="dxa"/>
          </w:tcPr>
          <w:p w14:paraId="61FBA4C3" w14:textId="77777777" w:rsidR="008738C3" w:rsidRPr="00202067" w:rsidRDefault="008738C3"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202067">
              <w:rPr>
                <w:rFonts w:ascii="TUOS Blake" w:hAnsi="TUOS Blake"/>
                <w:color w:val="000000"/>
                <w:sz w:val="22"/>
                <w:szCs w:val="22"/>
              </w:rPr>
              <w:t>21 (19 - 21)</w:t>
            </w:r>
          </w:p>
        </w:tc>
        <w:tc>
          <w:tcPr>
            <w:tcW w:w="2268" w:type="dxa"/>
          </w:tcPr>
          <w:p w14:paraId="0DECAC4D" w14:textId="77777777" w:rsidR="008738C3" w:rsidRPr="00202067" w:rsidRDefault="008738C3" w:rsidP="00F27D55">
            <w:pPr>
              <w:cnfStyle w:val="000000000000" w:firstRow="0" w:lastRow="0" w:firstColumn="0" w:lastColumn="0" w:oddVBand="0" w:evenVBand="0" w:oddHBand="0" w:evenHBand="0" w:firstRowFirstColumn="0" w:firstRowLastColumn="0" w:lastRowFirstColumn="0" w:lastRowLastColumn="0"/>
              <w:rPr>
                <w:rFonts w:ascii="TUOS Blake" w:hAnsi="TUOS Blake"/>
                <w:color w:val="000000"/>
                <w:sz w:val="22"/>
                <w:szCs w:val="22"/>
              </w:rPr>
            </w:pPr>
            <w:r w:rsidRPr="00202067">
              <w:rPr>
                <w:rFonts w:ascii="TUOS Blake" w:hAnsi="TUOS Blake"/>
                <w:color w:val="000000"/>
                <w:sz w:val="22"/>
                <w:szCs w:val="22"/>
              </w:rPr>
              <w:t>31 (30 - 45)</w:t>
            </w:r>
          </w:p>
        </w:tc>
        <w:tc>
          <w:tcPr>
            <w:tcW w:w="1497" w:type="dxa"/>
          </w:tcPr>
          <w:p w14:paraId="4B9AC92F" w14:textId="77777777" w:rsidR="008738C3" w:rsidRPr="00202067" w:rsidRDefault="008738C3"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202067">
              <w:rPr>
                <w:rFonts w:ascii="TUOS Blake" w:hAnsi="TUOS Blake"/>
                <w:sz w:val="22"/>
                <w:szCs w:val="22"/>
              </w:rPr>
              <w:t>&lt;0.001</w:t>
            </w:r>
          </w:p>
        </w:tc>
      </w:tr>
      <w:tr w:rsidR="008738C3" w:rsidRPr="00202067" w14:paraId="14EE08B2" w14:textId="77777777" w:rsidTr="00F27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EC9EC34" w14:textId="22F85941" w:rsidR="008738C3" w:rsidRPr="00202067" w:rsidRDefault="008738C3" w:rsidP="00F27D55">
            <w:pPr>
              <w:rPr>
                <w:rFonts w:ascii="TUOS Blake" w:hAnsi="TUOS Blake"/>
                <w:b/>
                <w:bCs/>
                <w:i w:val="0"/>
                <w:iCs w:val="0"/>
                <w:sz w:val="22"/>
                <w:szCs w:val="22"/>
              </w:rPr>
            </w:pPr>
            <w:r w:rsidRPr="00202067">
              <w:rPr>
                <w:rFonts w:ascii="TUOS Blake" w:hAnsi="TUOS Blake"/>
                <w:b/>
                <w:bCs/>
                <w:i w:val="0"/>
                <w:iCs w:val="0"/>
                <w:sz w:val="22"/>
                <w:szCs w:val="22"/>
              </w:rPr>
              <w:t>PVR</w:t>
            </w:r>
            <w:r w:rsidR="003B65D9">
              <w:rPr>
                <w:rFonts w:ascii="TUOS Blake" w:hAnsi="TUOS Blake"/>
                <w:b/>
                <w:bCs/>
                <w:i w:val="0"/>
                <w:iCs w:val="0"/>
                <w:sz w:val="22"/>
                <w:szCs w:val="22"/>
              </w:rPr>
              <w:t xml:space="preserve"> </w:t>
            </w:r>
            <w:r w:rsidRPr="00202067">
              <w:rPr>
                <w:rFonts w:ascii="TUOS Blake" w:hAnsi="TUOS Blake"/>
                <w:b/>
                <w:bCs/>
                <w:i w:val="0"/>
                <w:iCs w:val="0"/>
                <w:sz w:val="22"/>
                <w:szCs w:val="22"/>
              </w:rPr>
              <w:t>(</w:t>
            </w:r>
            <w:proofErr w:type="spellStart"/>
            <w:r w:rsidRPr="00202067">
              <w:rPr>
                <w:rFonts w:ascii="TUOS Blake" w:hAnsi="TUOS Blake"/>
                <w:b/>
                <w:bCs/>
                <w:i w:val="0"/>
                <w:iCs w:val="0"/>
                <w:sz w:val="22"/>
                <w:szCs w:val="22"/>
              </w:rPr>
              <w:t>Dynes.s</w:t>
            </w:r>
            <w:proofErr w:type="spellEnd"/>
            <w:r w:rsidRPr="00202067">
              <w:rPr>
                <w:rFonts w:ascii="TUOS Blake" w:hAnsi="TUOS Blake"/>
                <w:b/>
                <w:bCs/>
                <w:i w:val="0"/>
                <w:iCs w:val="0"/>
                <w:sz w:val="22"/>
                <w:szCs w:val="22"/>
              </w:rPr>
              <w:t>/cm</w:t>
            </w:r>
            <w:r w:rsidRPr="00202067">
              <w:rPr>
                <w:rFonts w:ascii="TUOS Blake" w:hAnsi="TUOS Blake"/>
                <w:b/>
                <w:bCs/>
                <w:i w:val="0"/>
                <w:iCs w:val="0"/>
                <w:sz w:val="22"/>
                <w:szCs w:val="22"/>
                <w:vertAlign w:val="superscript"/>
              </w:rPr>
              <w:t>5</w:t>
            </w:r>
            <w:r w:rsidRPr="00202067">
              <w:rPr>
                <w:rFonts w:ascii="TUOS Blake" w:hAnsi="TUOS Blake"/>
                <w:b/>
                <w:bCs/>
                <w:i w:val="0"/>
                <w:iCs w:val="0"/>
                <w:sz w:val="22"/>
                <w:szCs w:val="22"/>
              </w:rPr>
              <w:t>)</w:t>
            </w:r>
          </w:p>
        </w:tc>
        <w:tc>
          <w:tcPr>
            <w:tcW w:w="2126" w:type="dxa"/>
          </w:tcPr>
          <w:p w14:paraId="23777D6E" w14:textId="77777777" w:rsidR="008738C3" w:rsidRPr="00202067" w:rsidRDefault="008738C3"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202067">
              <w:rPr>
                <w:rFonts w:ascii="TUOS Blake" w:hAnsi="TUOS Blake"/>
                <w:color w:val="000000"/>
                <w:sz w:val="22"/>
                <w:szCs w:val="22"/>
              </w:rPr>
              <w:t>130 (122 - 164.1)</w:t>
            </w:r>
          </w:p>
        </w:tc>
        <w:tc>
          <w:tcPr>
            <w:tcW w:w="2268" w:type="dxa"/>
          </w:tcPr>
          <w:p w14:paraId="3A13A639" w14:textId="77777777" w:rsidR="008738C3" w:rsidRPr="00202067" w:rsidRDefault="008738C3" w:rsidP="00F27D55">
            <w:pPr>
              <w:cnfStyle w:val="000000100000" w:firstRow="0" w:lastRow="0" w:firstColumn="0" w:lastColumn="0" w:oddVBand="0" w:evenVBand="0" w:oddHBand="1" w:evenHBand="0" w:firstRowFirstColumn="0" w:firstRowLastColumn="0" w:lastRowFirstColumn="0" w:lastRowLastColumn="0"/>
              <w:rPr>
                <w:rFonts w:ascii="TUOS Blake" w:hAnsi="TUOS Blake"/>
                <w:color w:val="000000"/>
                <w:sz w:val="22"/>
                <w:szCs w:val="22"/>
              </w:rPr>
            </w:pPr>
            <w:r w:rsidRPr="00202067">
              <w:rPr>
                <w:rFonts w:ascii="TUOS Blake" w:hAnsi="TUOS Blake"/>
                <w:color w:val="000000"/>
                <w:sz w:val="22"/>
                <w:szCs w:val="22"/>
              </w:rPr>
              <w:t>381.4 (270.3 - 783.9)</w:t>
            </w:r>
          </w:p>
        </w:tc>
        <w:tc>
          <w:tcPr>
            <w:tcW w:w="1497" w:type="dxa"/>
          </w:tcPr>
          <w:p w14:paraId="1EDCBA91" w14:textId="77777777" w:rsidR="008738C3" w:rsidRPr="00202067" w:rsidRDefault="008738C3"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202067">
              <w:rPr>
                <w:rFonts w:ascii="TUOS Blake" w:hAnsi="TUOS Blake"/>
                <w:sz w:val="22"/>
                <w:szCs w:val="22"/>
              </w:rPr>
              <w:t>&lt;0.001</w:t>
            </w:r>
          </w:p>
        </w:tc>
      </w:tr>
      <w:tr w:rsidR="008738C3" w:rsidRPr="00202067" w14:paraId="44E04830" w14:textId="77777777" w:rsidTr="00F27D55">
        <w:tc>
          <w:tcPr>
            <w:cnfStyle w:val="001000000000" w:firstRow="0" w:lastRow="0" w:firstColumn="1" w:lastColumn="0" w:oddVBand="0" w:evenVBand="0" w:oddHBand="0" w:evenHBand="0" w:firstRowFirstColumn="0" w:firstRowLastColumn="0" w:lastRowFirstColumn="0" w:lastRowLastColumn="0"/>
            <w:tcW w:w="3119" w:type="dxa"/>
          </w:tcPr>
          <w:p w14:paraId="0AD05B1A" w14:textId="77777777" w:rsidR="008738C3" w:rsidRPr="00202067" w:rsidRDefault="008738C3" w:rsidP="00F27D55">
            <w:pPr>
              <w:rPr>
                <w:rFonts w:ascii="TUOS Blake" w:hAnsi="TUOS Blake"/>
                <w:b/>
                <w:bCs/>
                <w:i w:val="0"/>
                <w:iCs w:val="0"/>
                <w:sz w:val="22"/>
                <w:szCs w:val="22"/>
              </w:rPr>
            </w:pPr>
            <w:r w:rsidRPr="00202067">
              <w:rPr>
                <w:rFonts w:ascii="TUOS Blake" w:hAnsi="TUOS Blake"/>
                <w:b/>
                <w:bCs/>
                <w:i w:val="0"/>
                <w:iCs w:val="0"/>
                <w:sz w:val="22"/>
                <w:szCs w:val="22"/>
              </w:rPr>
              <w:t>Cardiac Output (L/min)</w:t>
            </w:r>
          </w:p>
        </w:tc>
        <w:tc>
          <w:tcPr>
            <w:tcW w:w="2126" w:type="dxa"/>
          </w:tcPr>
          <w:p w14:paraId="76439E07" w14:textId="77777777" w:rsidR="008738C3" w:rsidRPr="00202067" w:rsidRDefault="008738C3"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202067">
              <w:rPr>
                <w:rFonts w:ascii="TUOS Blake" w:hAnsi="TUOS Blake"/>
                <w:color w:val="000000"/>
                <w:sz w:val="22"/>
                <w:szCs w:val="22"/>
              </w:rPr>
              <w:t>6.5 (1.1)</w:t>
            </w:r>
          </w:p>
        </w:tc>
        <w:tc>
          <w:tcPr>
            <w:tcW w:w="2268" w:type="dxa"/>
          </w:tcPr>
          <w:p w14:paraId="1B126B7B" w14:textId="77777777" w:rsidR="008738C3" w:rsidRPr="00202067" w:rsidRDefault="008738C3" w:rsidP="00F27D55">
            <w:pPr>
              <w:cnfStyle w:val="000000000000" w:firstRow="0" w:lastRow="0" w:firstColumn="0" w:lastColumn="0" w:oddVBand="0" w:evenVBand="0" w:oddHBand="0" w:evenHBand="0" w:firstRowFirstColumn="0" w:firstRowLastColumn="0" w:lastRowFirstColumn="0" w:lastRowLastColumn="0"/>
              <w:rPr>
                <w:rFonts w:ascii="TUOS Blake" w:hAnsi="TUOS Blake"/>
                <w:color w:val="000000"/>
                <w:sz w:val="22"/>
                <w:szCs w:val="22"/>
              </w:rPr>
            </w:pPr>
            <w:r w:rsidRPr="00202067">
              <w:rPr>
                <w:rFonts w:ascii="TUOS Blake" w:hAnsi="TUOS Blake"/>
                <w:color w:val="000000"/>
                <w:sz w:val="22"/>
                <w:szCs w:val="22"/>
              </w:rPr>
              <w:t>5.1 (1.4)</w:t>
            </w:r>
          </w:p>
        </w:tc>
        <w:tc>
          <w:tcPr>
            <w:tcW w:w="1497" w:type="dxa"/>
          </w:tcPr>
          <w:p w14:paraId="2CB207C1" w14:textId="77777777" w:rsidR="008738C3" w:rsidRPr="00202067" w:rsidRDefault="008738C3"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202067">
              <w:rPr>
                <w:rFonts w:ascii="TUOS Blake" w:hAnsi="TUOS Blake"/>
                <w:color w:val="000000"/>
                <w:sz w:val="22"/>
                <w:szCs w:val="22"/>
              </w:rPr>
              <w:t>0.015</w:t>
            </w:r>
          </w:p>
        </w:tc>
      </w:tr>
      <w:tr w:rsidR="008738C3" w:rsidRPr="00202067" w14:paraId="3F9582D8" w14:textId="77777777" w:rsidTr="00F27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B3E2171" w14:textId="77777777" w:rsidR="008738C3" w:rsidRPr="00202067" w:rsidRDefault="008738C3" w:rsidP="00F27D55">
            <w:pPr>
              <w:rPr>
                <w:rFonts w:ascii="TUOS Blake" w:hAnsi="TUOS Blake"/>
                <w:b/>
                <w:bCs/>
                <w:i w:val="0"/>
                <w:iCs w:val="0"/>
                <w:sz w:val="22"/>
                <w:szCs w:val="22"/>
              </w:rPr>
            </w:pPr>
            <w:r w:rsidRPr="00202067">
              <w:rPr>
                <w:rFonts w:ascii="TUOS Blake" w:hAnsi="TUOS Blake"/>
                <w:b/>
                <w:bCs/>
                <w:i w:val="0"/>
                <w:iCs w:val="0"/>
                <w:sz w:val="22"/>
                <w:szCs w:val="22"/>
              </w:rPr>
              <w:t>PA Wedge Pressure (mmHg)</w:t>
            </w:r>
          </w:p>
        </w:tc>
        <w:tc>
          <w:tcPr>
            <w:tcW w:w="2126" w:type="dxa"/>
          </w:tcPr>
          <w:p w14:paraId="4995DB3E" w14:textId="77777777" w:rsidR="008738C3" w:rsidRPr="00202067" w:rsidRDefault="008738C3"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202067">
              <w:rPr>
                <w:rFonts w:ascii="TUOS Blake" w:hAnsi="TUOS Blake"/>
                <w:color w:val="000000"/>
                <w:sz w:val="22"/>
                <w:szCs w:val="22"/>
              </w:rPr>
              <w:t>9.8 (4)</w:t>
            </w:r>
          </w:p>
        </w:tc>
        <w:tc>
          <w:tcPr>
            <w:tcW w:w="2268" w:type="dxa"/>
          </w:tcPr>
          <w:p w14:paraId="1508C8A5" w14:textId="77777777" w:rsidR="008738C3" w:rsidRPr="00202067" w:rsidRDefault="008738C3" w:rsidP="00F27D55">
            <w:pPr>
              <w:cnfStyle w:val="000000100000" w:firstRow="0" w:lastRow="0" w:firstColumn="0" w:lastColumn="0" w:oddVBand="0" w:evenVBand="0" w:oddHBand="1" w:evenHBand="0" w:firstRowFirstColumn="0" w:firstRowLastColumn="0" w:lastRowFirstColumn="0" w:lastRowLastColumn="0"/>
              <w:rPr>
                <w:rFonts w:ascii="TUOS Blake" w:hAnsi="TUOS Blake"/>
                <w:color w:val="000000"/>
                <w:sz w:val="22"/>
                <w:szCs w:val="22"/>
              </w:rPr>
            </w:pPr>
            <w:r w:rsidRPr="00202067">
              <w:rPr>
                <w:rFonts w:ascii="TUOS Blake" w:hAnsi="TUOS Blake"/>
                <w:color w:val="000000"/>
                <w:sz w:val="22"/>
                <w:szCs w:val="22"/>
              </w:rPr>
              <w:t>10.9 (4)</w:t>
            </w:r>
          </w:p>
        </w:tc>
        <w:tc>
          <w:tcPr>
            <w:tcW w:w="1497" w:type="dxa"/>
          </w:tcPr>
          <w:p w14:paraId="0D0623BB" w14:textId="77777777" w:rsidR="008738C3" w:rsidRPr="00202067" w:rsidRDefault="008738C3"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202067">
              <w:rPr>
                <w:rFonts w:ascii="TUOS Blake" w:hAnsi="TUOS Blake"/>
                <w:sz w:val="22"/>
                <w:szCs w:val="22"/>
              </w:rPr>
              <w:t>NS</w:t>
            </w:r>
          </w:p>
        </w:tc>
      </w:tr>
    </w:tbl>
    <w:p w14:paraId="220067EA" w14:textId="77777777" w:rsidR="00E4064F" w:rsidRDefault="00E4064F" w:rsidP="00E4064F">
      <w:pPr>
        <w:pStyle w:val="Caption"/>
      </w:pPr>
    </w:p>
    <w:p w14:paraId="2001073C" w14:textId="01E707C0" w:rsidR="003B65D9" w:rsidRPr="003B65D9" w:rsidRDefault="00E4064F" w:rsidP="003B65D9">
      <w:pPr>
        <w:pStyle w:val="Caption"/>
      </w:pPr>
      <w:bookmarkStart w:id="243" w:name="_Ref39689254"/>
      <w:bookmarkStart w:id="244" w:name="_Toc60597186"/>
      <w:r>
        <w:t xml:space="preserve">Table </w:t>
      </w:r>
      <w:r w:rsidR="004D7B97">
        <w:fldChar w:fldCharType="begin"/>
      </w:r>
      <w:r w:rsidR="004D7B97">
        <w:instrText xml:space="preserve"> STYLEREF 1 \s </w:instrText>
      </w:r>
      <w:r w:rsidR="004D7B97">
        <w:fldChar w:fldCharType="separate"/>
      </w:r>
      <w:r w:rsidR="00885DE4">
        <w:rPr>
          <w:noProof/>
        </w:rPr>
        <w:t>5</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1</w:t>
      </w:r>
      <w:r w:rsidR="004D7B97">
        <w:fldChar w:fldCharType="end"/>
      </w:r>
      <w:bookmarkEnd w:id="241"/>
      <w:bookmarkEnd w:id="243"/>
      <w:r>
        <w:t xml:space="preserve"> Summary of patient and control demographics in the </w:t>
      </w:r>
      <w:proofErr w:type="spellStart"/>
      <w:r>
        <w:t>SSc</w:t>
      </w:r>
      <w:proofErr w:type="spellEnd"/>
      <w:r>
        <w:t xml:space="preserve"> with PAH biomarker identification cohort</w:t>
      </w:r>
      <w:bookmarkEnd w:id="242"/>
      <w:r w:rsidR="003B65D9" w:rsidRPr="003B65D9">
        <w:rPr>
          <w:rFonts w:asciiTheme="minorHAnsi" w:eastAsiaTheme="minorHAnsi" w:hAnsiTheme="minorHAnsi" w:cstheme="minorBidi"/>
        </w:rPr>
        <w:t xml:space="preserve"> </w:t>
      </w:r>
      <w:r w:rsidR="003B65D9" w:rsidRPr="003B65D9">
        <w:t>Normally distributed data shown as mean + standard deviation and comparisons made using Students t-test.  Non-normally distributed data shown as median + interquartile range and comparisons made using Mann Whitney U-test. Categorical data was tested with Chi-Squared.</w:t>
      </w:r>
      <w:bookmarkEnd w:id="244"/>
    </w:p>
    <w:p w14:paraId="049F32C9" w14:textId="627F59CB" w:rsidR="00E4064F" w:rsidRDefault="00E4064F" w:rsidP="00E4064F">
      <w:pPr>
        <w:pStyle w:val="Caption"/>
      </w:pPr>
    </w:p>
    <w:p w14:paraId="6A6BF407" w14:textId="77777777" w:rsidR="00E4064F" w:rsidRPr="0033087D" w:rsidRDefault="00E4064F" w:rsidP="00E4064F"/>
    <w:p w14:paraId="4A7D946C" w14:textId="77777777" w:rsidR="00E4064F" w:rsidRPr="00AA737C" w:rsidRDefault="00E4064F" w:rsidP="00E4064F">
      <w:pPr>
        <w:pStyle w:val="Heading2"/>
        <w:numPr>
          <w:ilvl w:val="1"/>
          <w:numId w:val="7"/>
        </w:numPr>
        <w:spacing w:before="120" w:after="120"/>
      </w:pPr>
      <w:bookmarkStart w:id="245" w:name="_Ref353802252"/>
      <w:bookmarkStart w:id="246" w:name="_Toc60773938"/>
      <w:r>
        <w:t xml:space="preserve">PAH in </w:t>
      </w:r>
      <w:proofErr w:type="spellStart"/>
      <w:r>
        <w:t>SSc</w:t>
      </w:r>
      <w:proofErr w:type="spellEnd"/>
      <w:r>
        <w:t xml:space="preserve"> Biomarker Feature Selection</w:t>
      </w:r>
      <w:bookmarkEnd w:id="245"/>
      <w:bookmarkEnd w:id="246"/>
    </w:p>
    <w:p w14:paraId="4EB3D1F1" w14:textId="5B105B12" w:rsidR="00D85D5D" w:rsidRDefault="00E4064F" w:rsidP="00E4064F">
      <w:pPr>
        <w:pStyle w:val="Body"/>
      </w:pPr>
      <w:r>
        <w:t xml:space="preserve">Identification of biomarkers of PAH within patients with </w:t>
      </w:r>
      <w:proofErr w:type="spellStart"/>
      <w:r>
        <w:t>SSc</w:t>
      </w:r>
      <w:proofErr w:type="spellEnd"/>
      <w:r>
        <w:t xml:space="preserve"> was performed on the data subset containing </w:t>
      </w:r>
      <w:proofErr w:type="spellStart"/>
      <w:r>
        <w:t>SSc</w:t>
      </w:r>
      <w:proofErr w:type="spellEnd"/>
      <w:r>
        <w:t xml:space="preserve"> both with and without PAH as determined by RHC</w:t>
      </w:r>
      <w:r w:rsidR="007E4E92">
        <w:t xml:space="preserve">, </w:t>
      </w:r>
      <w:r w:rsidR="007E4E92" w:rsidRPr="007E4E92">
        <w:rPr>
          <w:highlight w:val="green"/>
        </w:rPr>
        <w:t>containing 210 miRNAs</w:t>
      </w:r>
      <w:r>
        <w:t>. Analysis was performed as described in</w:t>
      </w:r>
      <w:r w:rsidR="00FE2932">
        <w:t xml:space="preserve"> </w:t>
      </w:r>
      <w:r w:rsidR="00FE2932">
        <w:fldChar w:fldCharType="begin"/>
      </w:r>
      <w:r w:rsidR="00FE2932">
        <w:instrText xml:space="preserve"> REF _Ref344043668 \r \h </w:instrText>
      </w:r>
      <w:r w:rsidR="00FE2932">
        <w:fldChar w:fldCharType="separate"/>
      </w:r>
      <w:r w:rsidR="00885DE4">
        <w:t>2.2</w:t>
      </w:r>
      <w:r w:rsidR="00FE2932">
        <w:fldChar w:fldCharType="end"/>
      </w:r>
      <w:r w:rsidR="00FE2932">
        <w:t xml:space="preserve"> and </w:t>
      </w:r>
      <w:r w:rsidR="00FE2932">
        <w:fldChar w:fldCharType="begin"/>
      </w:r>
      <w:r w:rsidR="00FE2932">
        <w:instrText xml:space="preserve"> REF _Ref54450657 \r \h </w:instrText>
      </w:r>
      <w:r w:rsidR="00FE2932">
        <w:fldChar w:fldCharType="separate"/>
      </w:r>
      <w:r w:rsidR="00885DE4">
        <w:t>2.4</w:t>
      </w:r>
      <w:r w:rsidR="00FE2932">
        <w:fldChar w:fldCharType="end"/>
      </w:r>
      <w:r>
        <w:t>.  73 miRNAs with a ROC AUC &lt;0.65 were identified and removed from the initial 133 miRNAs. Spearman correlation analysis on the remaining miRNAs identified 41 correlating miRNAs that were removed leaving a filtered data set containing 19 miRNAs for final feature selection. Due to the small sample size feature selection was only performed with the Boruta algorithm, this identified 7 miRNAs (</w:t>
      </w:r>
      <w:r>
        <w:fldChar w:fldCharType="begin"/>
      </w:r>
      <w:r>
        <w:instrText xml:space="preserve"> REF _Ref353362615 \h </w:instrText>
      </w:r>
      <w:r>
        <w:fldChar w:fldCharType="separate"/>
      </w:r>
      <w:r w:rsidR="00885DE4">
        <w:t xml:space="preserve">Table </w:t>
      </w:r>
      <w:r w:rsidR="00885DE4">
        <w:rPr>
          <w:noProof/>
        </w:rPr>
        <w:t>5</w:t>
      </w:r>
      <w:r w:rsidR="00885DE4">
        <w:noBreakHyphen/>
      </w:r>
      <w:r w:rsidR="00885DE4">
        <w:rPr>
          <w:noProof/>
        </w:rPr>
        <w:t>2</w:t>
      </w:r>
      <w:r>
        <w:fldChar w:fldCharType="end"/>
      </w:r>
      <w:r>
        <w:t xml:space="preserve">). </w:t>
      </w:r>
    </w:p>
    <w:p w14:paraId="2BB02D66" w14:textId="77777777" w:rsidR="00D85D5D" w:rsidRDefault="00D85D5D">
      <w:pPr>
        <w:rPr>
          <w:rFonts w:ascii="TUOS Blake" w:eastAsia="TUOS Blake" w:hAnsi="TUOS Blake" w:cs="TUOS Blake"/>
          <w:color w:val="000000"/>
          <w:bdr w:val="nil"/>
        </w:rPr>
      </w:pPr>
      <w:r>
        <w:br w:type="page"/>
      </w:r>
    </w:p>
    <w:tbl>
      <w:tblPr>
        <w:tblStyle w:val="DefaultTableStyle"/>
        <w:tblW w:w="5068" w:type="dxa"/>
        <w:jc w:val="center"/>
        <w:tblBorders>
          <w:insideV w:val="none" w:sz="0" w:space="0" w:color="auto"/>
        </w:tblBorders>
        <w:tblLook w:val="0620" w:firstRow="1" w:lastRow="0" w:firstColumn="0" w:lastColumn="0" w:noHBand="1" w:noVBand="1"/>
      </w:tblPr>
      <w:tblGrid>
        <w:gridCol w:w="1518"/>
        <w:gridCol w:w="3550"/>
      </w:tblGrid>
      <w:tr w:rsidR="00E4064F" w:rsidRPr="007F7A1E" w14:paraId="18F07227" w14:textId="77777777" w:rsidTr="000D1B2E">
        <w:trPr>
          <w:cnfStyle w:val="100000000000" w:firstRow="1" w:lastRow="0" w:firstColumn="0" w:lastColumn="0" w:oddVBand="0" w:evenVBand="0" w:oddHBand="0" w:evenHBand="0" w:firstRowFirstColumn="0" w:firstRowLastColumn="0" w:lastRowFirstColumn="0" w:lastRowLastColumn="0"/>
          <w:trHeight w:hRule="exact" w:val="559"/>
          <w:jc w:val="center"/>
        </w:trPr>
        <w:tc>
          <w:tcPr>
            <w:tcW w:w="0" w:type="auto"/>
            <w:tcBorders>
              <w:top w:val="single" w:sz="4" w:space="0" w:color="auto"/>
              <w:bottom w:val="single" w:sz="4" w:space="0" w:color="auto"/>
            </w:tcBorders>
            <w:vAlign w:val="center"/>
          </w:tcPr>
          <w:p w14:paraId="6389FB2B" w14:textId="77777777" w:rsidR="00E4064F" w:rsidRPr="00A26AE0" w:rsidRDefault="00E4064F" w:rsidP="000D1B2E">
            <w:pPr>
              <w:pStyle w:val="BodyText1"/>
              <w:rPr>
                <w:rFonts w:ascii="Times New Roman" w:hAnsi="Times New Roman" w:cs="Times New Roman"/>
                <w:sz w:val="22"/>
                <w:szCs w:val="22"/>
              </w:rPr>
            </w:pPr>
            <w:r w:rsidRPr="00A26AE0">
              <w:rPr>
                <w:rFonts w:ascii="Times New Roman" w:hAnsi="Times New Roman" w:cs="Times New Roman"/>
                <w:sz w:val="22"/>
                <w:szCs w:val="22"/>
              </w:rPr>
              <w:lastRenderedPageBreak/>
              <w:t>microRNA</w:t>
            </w:r>
          </w:p>
        </w:tc>
        <w:tc>
          <w:tcPr>
            <w:tcW w:w="0" w:type="auto"/>
            <w:tcBorders>
              <w:top w:val="single" w:sz="4" w:space="0" w:color="auto"/>
              <w:bottom w:val="single" w:sz="4" w:space="0" w:color="auto"/>
            </w:tcBorders>
            <w:vAlign w:val="center"/>
          </w:tcPr>
          <w:p w14:paraId="3F757AAF" w14:textId="77777777" w:rsidR="00E4064F" w:rsidRPr="00A26AE0" w:rsidRDefault="00E4064F" w:rsidP="000D1B2E">
            <w:pPr>
              <w:pStyle w:val="BodyText1"/>
              <w:rPr>
                <w:rFonts w:ascii="Times New Roman" w:hAnsi="Times New Roman" w:cs="Times New Roman"/>
                <w:sz w:val="22"/>
                <w:szCs w:val="22"/>
              </w:rPr>
            </w:pPr>
            <w:r w:rsidRPr="00A26AE0">
              <w:rPr>
                <w:rFonts w:ascii="Times New Roman" w:hAnsi="Times New Roman" w:cs="Times New Roman"/>
                <w:sz w:val="22"/>
                <w:szCs w:val="22"/>
              </w:rPr>
              <w:t>Boruta Feature Significance (%)</w:t>
            </w:r>
          </w:p>
        </w:tc>
      </w:tr>
      <w:tr w:rsidR="00E4064F" w:rsidRPr="007F7A1E" w14:paraId="61254924" w14:textId="77777777" w:rsidTr="000D1B2E">
        <w:trPr>
          <w:trHeight w:hRule="exact" w:val="432"/>
          <w:jc w:val="center"/>
        </w:trPr>
        <w:tc>
          <w:tcPr>
            <w:tcW w:w="0" w:type="auto"/>
            <w:tcBorders>
              <w:top w:val="single" w:sz="4" w:space="0" w:color="auto"/>
            </w:tcBorders>
            <w:vAlign w:val="center"/>
          </w:tcPr>
          <w:p w14:paraId="5B580F31" w14:textId="77777777" w:rsidR="00E4064F" w:rsidRPr="00A26AE0" w:rsidRDefault="00E4064F" w:rsidP="000D1B2E">
            <w:pPr>
              <w:pStyle w:val="BodyText1"/>
              <w:jc w:val="both"/>
              <w:rPr>
                <w:rFonts w:ascii="TUOS Blake" w:hAnsi="TUOS Blake" w:cs="Times New Roman"/>
                <w:sz w:val="22"/>
                <w:szCs w:val="22"/>
              </w:rPr>
            </w:pPr>
            <w:r w:rsidRPr="00A26AE0">
              <w:rPr>
                <w:rFonts w:ascii="Times New Roman" w:hAnsi="Times New Roman"/>
                <w:bCs/>
                <w:sz w:val="22"/>
                <w:szCs w:val="22"/>
              </w:rPr>
              <w:t>miR-197-5p</w:t>
            </w:r>
          </w:p>
        </w:tc>
        <w:tc>
          <w:tcPr>
            <w:tcW w:w="0" w:type="auto"/>
            <w:tcBorders>
              <w:top w:val="single" w:sz="4" w:space="0" w:color="auto"/>
            </w:tcBorders>
            <w:vAlign w:val="center"/>
          </w:tcPr>
          <w:p w14:paraId="5C4BC083" w14:textId="77777777" w:rsidR="00E4064F" w:rsidRPr="00A26AE0" w:rsidRDefault="00E4064F" w:rsidP="000D1B2E">
            <w:pPr>
              <w:pStyle w:val="BodyText1"/>
              <w:jc w:val="center"/>
              <w:rPr>
                <w:rFonts w:ascii="TUOS Blake" w:hAnsi="TUOS Blake" w:cs="Times New Roman"/>
                <w:sz w:val="22"/>
                <w:szCs w:val="22"/>
              </w:rPr>
            </w:pPr>
            <w:r w:rsidRPr="00A26AE0">
              <w:rPr>
                <w:rFonts w:ascii="Times New Roman" w:hAnsi="Times New Roman"/>
                <w:sz w:val="22"/>
                <w:szCs w:val="22"/>
              </w:rPr>
              <w:t>77.8</w:t>
            </w:r>
          </w:p>
        </w:tc>
      </w:tr>
      <w:tr w:rsidR="00E4064F" w:rsidRPr="007F7A1E" w14:paraId="518CA9DB" w14:textId="77777777" w:rsidTr="000D1B2E">
        <w:trPr>
          <w:trHeight w:hRule="exact" w:val="432"/>
          <w:jc w:val="center"/>
        </w:trPr>
        <w:tc>
          <w:tcPr>
            <w:tcW w:w="0" w:type="auto"/>
            <w:vAlign w:val="center"/>
          </w:tcPr>
          <w:p w14:paraId="6E73C4F7" w14:textId="77777777" w:rsidR="00E4064F" w:rsidRPr="00A26AE0" w:rsidRDefault="00E4064F" w:rsidP="000D1B2E">
            <w:pPr>
              <w:pStyle w:val="BodyText1"/>
              <w:jc w:val="both"/>
              <w:rPr>
                <w:rFonts w:ascii="TUOS Blake" w:hAnsi="TUOS Blake" w:cs="Times New Roman"/>
                <w:sz w:val="22"/>
                <w:szCs w:val="22"/>
              </w:rPr>
            </w:pPr>
            <w:r w:rsidRPr="00A26AE0">
              <w:rPr>
                <w:rFonts w:ascii="Times New Roman" w:hAnsi="Times New Roman"/>
                <w:bCs/>
                <w:sz w:val="22"/>
                <w:szCs w:val="22"/>
              </w:rPr>
              <w:t>miR-346</w:t>
            </w:r>
          </w:p>
        </w:tc>
        <w:tc>
          <w:tcPr>
            <w:tcW w:w="0" w:type="auto"/>
            <w:vAlign w:val="center"/>
          </w:tcPr>
          <w:p w14:paraId="6A581E3B" w14:textId="77777777" w:rsidR="00E4064F" w:rsidRPr="00A26AE0" w:rsidRDefault="00E4064F" w:rsidP="000D1B2E">
            <w:pPr>
              <w:pStyle w:val="BodyText1"/>
              <w:jc w:val="center"/>
              <w:rPr>
                <w:rFonts w:ascii="TUOS Blake" w:hAnsi="TUOS Blake" w:cs="Times New Roman"/>
                <w:sz w:val="22"/>
                <w:szCs w:val="22"/>
              </w:rPr>
            </w:pPr>
            <w:r w:rsidRPr="00A26AE0">
              <w:rPr>
                <w:rFonts w:ascii="Times New Roman" w:hAnsi="Times New Roman"/>
                <w:sz w:val="22"/>
                <w:szCs w:val="22"/>
              </w:rPr>
              <w:t>85.9</w:t>
            </w:r>
          </w:p>
        </w:tc>
      </w:tr>
      <w:tr w:rsidR="00E4064F" w:rsidRPr="007F7A1E" w14:paraId="6CBA9240" w14:textId="77777777" w:rsidTr="000D1B2E">
        <w:trPr>
          <w:trHeight w:hRule="exact" w:val="432"/>
          <w:jc w:val="center"/>
        </w:trPr>
        <w:tc>
          <w:tcPr>
            <w:tcW w:w="0" w:type="auto"/>
            <w:vAlign w:val="center"/>
          </w:tcPr>
          <w:p w14:paraId="1C5D0A08" w14:textId="77777777" w:rsidR="00E4064F" w:rsidRPr="00A26AE0" w:rsidRDefault="00E4064F" w:rsidP="000D1B2E">
            <w:pPr>
              <w:pStyle w:val="BodyText1"/>
              <w:jc w:val="both"/>
              <w:rPr>
                <w:rFonts w:ascii="TUOS Blake" w:hAnsi="TUOS Blake" w:cs="Times New Roman"/>
                <w:sz w:val="22"/>
                <w:szCs w:val="22"/>
              </w:rPr>
            </w:pPr>
            <w:r w:rsidRPr="00A26AE0">
              <w:rPr>
                <w:rFonts w:ascii="Times New Roman" w:hAnsi="Times New Roman"/>
                <w:bCs/>
                <w:sz w:val="22"/>
                <w:szCs w:val="22"/>
              </w:rPr>
              <w:t>miR-485-3p</w:t>
            </w:r>
          </w:p>
        </w:tc>
        <w:tc>
          <w:tcPr>
            <w:tcW w:w="0" w:type="auto"/>
            <w:vAlign w:val="center"/>
          </w:tcPr>
          <w:p w14:paraId="385695B8" w14:textId="77777777" w:rsidR="00E4064F" w:rsidRPr="00A26AE0" w:rsidRDefault="00E4064F" w:rsidP="000D1B2E">
            <w:pPr>
              <w:pStyle w:val="BodyText1"/>
              <w:jc w:val="center"/>
              <w:rPr>
                <w:rFonts w:ascii="TUOS Blake" w:hAnsi="TUOS Blake" w:cs="Times New Roman"/>
                <w:sz w:val="22"/>
                <w:szCs w:val="22"/>
              </w:rPr>
            </w:pPr>
            <w:r w:rsidRPr="00A26AE0">
              <w:rPr>
                <w:rFonts w:ascii="Times New Roman" w:hAnsi="Times New Roman"/>
                <w:sz w:val="22"/>
                <w:szCs w:val="22"/>
              </w:rPr>
              <w:t>94.9</w:t>
            </w:r>
          </w:p>
        </w:tc>
      </w:tr>
      <w:tr w:rsidR="00E4064F" w:rsidRPr="007F7A1E" w14:paraId="78F1B441" w14:textId="77777777" w:rsidTr="000D1B2E">
        <w:trPr>
          <w:trHeight w:hRule="exact" w:val="432"/>
          <w:jc w:val="center"/>
        </w:trPr>
        <w:tc>
          <w:tcPr>
            <w:tcW w:w="0" w:type="auto"/>
            <w:vAlign w:val="center"/>
          </w:tcPr>
          <w:p w14:paraId="4C899C5B" w14:textId="77777777" w:rsidR="00E4064F" w:rsidRPr="00A26AE0" w:rsidRDefault="00E4064F" w:rsidP="000D1B2E">
            <w:pPr>
              <w:pStyle w:val="BodyText1"/>
              <w:jc w:val="both"/>
              <w:rPr>
                <w:rFonts w:ascii="TUOS Blake" w:hAnsi="TUOS Blake" w:cs="Times New Roman"/>
                <w:sz w:val="22"/>
                <w:szCs w:val="22"/>
              </w:rPr>
            </w:pPr>
            <w:r w:rsidRPr="00A26AE0">
              <w:rPr>
                <w:rFonts w:ascii="Times New Roman" w:hAnsi="Times New Roman"/>
                <w:bCs/>
                <w:sz w:val="22"/>
                <w:szCs w:val="22"/>
              </w:rPr>
              <w:t>miR-584-5p</w:t>
            </w:r>
          </w:p>
        </w:tc>
        <w:tc>
          <w:tcPr>
            <w:tcW w:w="0" w:type="auto"/>
            <w:vAlign w:val="center"/>
          </w:tcPr>
          <w:p w14:paraId="564039AE" w14:textId="77777777" w:rsidR="00E4064F" w:rsidRPr="00A26AE0" w:rsidRDefault="00E4064F" w:rsidP="000D1B2E">
            <w:pPr>
              <w:pStyle w:val="BodyText1"/>
              <w:jc w:val="center"/>
              <w:rPr>
                <w:rFonts w:ascii="TUOS Blake" w:hAnsi="TUOS Blake" w:cs="Times New Roman"/>
                <w:sz w:val="22"/>
                <w:szCs w:val="22"/>
              </w:rPr>
            </w:pPr>
            <w:r w:rsidRPr="00A26AE0">
              <w:rPr>
                <w:rFonts w:ascii="Times New Roman" w:hAnsi="Times New Roman"/>
                <w:sz w:val="22"/>
                <w:szCs w:val="22"/>
              </w:rPr>
              <w:t>100</w:t>
            </w:r>
          </w:p>
        </w:tc>
      </w:tr>
      <w:tr w:rsidR="00E4064F" w:rsidRPr="007F7A1E" w14:paraId="47A98F12" w14:textId="77777777" w:rsidTr="000D1B2E">
        <w:trPr>
          <w:trHeight w:hRule="exact" w:val="432"/>
          <w:jc w:val="center"/>
        </w:trPr>
        <w:tc>
          <w:tcPr>
            <w:tcW w:w="0" w:type="auto"/>
            <w:vAlign w:val="center"/>
          </w:tcPr>
          <w:p w14:paraId="6B9D1EF7" w14:textId="77777777" w:rsidR="00E4064F" w:rsidRPr="00A26AE0" w:rsidRDefault="00E4064F" w:rsidP="000D1B2E">
            <w:pPr>
              <w:pStyle w:val="BodyText1"/>
              <w:jc w:val="both"/>
              <w:rPr>
                <w:rFonts w:ascii="TUOS Blake" w:hAnsi="TUOS Blake" w:cs="Times New Roman"/>
                <w:sz w:val="22"/>
                <w:szCs w:val="22"/>
              </w:rPr>
            </w:pPr>
            <w:r w:rsidRPr="00A26AE0">
              <w:rPr>
                <w:rFonts w:ascii="Times New Roman" w:hAnsi="Times New Roman"/>
                <w:bCs/>
                <w:sz w:val="22"/>
                <w:szCs w:val="22"/>
              </w:rPr>
              <w:t>miR-630</w:t>
            </w:r>
          </w:p>
        </w:tc>
        <w:tc>
          <w:tcPr>
            <w:tcW w:w="0" w:type="auto"/>
            <w:vAlign w:val="center"/>
          </w:tcPr>
          <w:p w14:paraId="05B9E597" w14:textId="77777777" w:rsidR="00E4064F" w:rsidRPr="00A26AE0" w:rsidRDefault="00E4064F" w:rsidP="000D1B2E">
            <w:pPr>
              <w:pStyle w:val="BodyText1"/>
              <w:jc w:val="center"/>
              <w:rPr>
                <w:rFonts w:ascii="TUOS Blake" w:hAnsi="TUOS Blake" w:cs="Times New Roman"/>
                <w:sz w:val="22"/>
                <w:szCs w:val="22"/>
              </w:rPr>
            </w:pPr>
            <w:r w:rsidRPr="00A26AE0">
              <w:rPr>
                <w:rFonts w:ascii="Times New Roman" w:hAnsi="Times New Roman"/>
                <w:sz w:val="22"/>
                <w:szCs w:val="22"/>
              </w:rPr>
              <w:t>100</w:t>
            </w:r>
          </w:p>
        </w:tc>
      </w:tr>
      <w:tr w:rsidR="00E4064F" w:rsidRPr="007F7A1E" w14:paraId="3A76F89F" w14:textId="77777777" w:rsidTr="000D1B2E">
        <w:trPr>
          <w:trHeight w:hRule="exact" w:val="432"/>
          <w:jc w:val="center"/>
        </w:trPr>
        <w:tc>
          <w:tcPr>
            <w:tcW w:w="0" w:type="auto"/>
            <w:vAlign w:val="center"/>
          </w:tcPr>
          <w:p w14:paraId="4EE28EBD" w14:textId="77777777" w:rsidR="00E4064F" w:rsidRPr="00A26AE0" w:rsidRDefault="00E4064F" w:rsidP="000D1B2E">
            <w:pPr>
              <w:pStyle w:val="BodyText1"/>
              <w:jc w:val="both"/>
              <w:rPr>
                <w:rFonts w:ascii="TUOS Blake" w:hAnsi="TUOS Blake" w:cs="Times New Roman"/>
                <w:sz w:val="22"/>
                <w:szCs w:val="22"/>
              </w:rPr>
            </w:pPr>
            <w:r w:rsidRPr="00A26AE0">
              <w:rPr>
                <w:rFonts w:ascii="Times New Roman" w:hAnsi="Times New Roman"/>
                <w:bCs/>
                <w:sz w:val="22"/>
                <w:szCs w:val="22"/>
              </w:rPr>
              <w:t>miR-1207-5p</w:t>
            </w:r>
          </w:p>
        </w:tc>
        <w:tc>
          <w:tcPr>
            <w:tcW w:w="0" w:type="auto"/>
            <w:vAlign w:val="center"/>
          </w:tcPr>
          <w:p w14:paraId="648AC365" w14:textId="77777777" w:rsidR="00E4064F" w:rsidRPr="00A26AE0" w:rsidRDefault="00E4064F" w:rsidP="000D1B2E">
            <w:pPr>
              <w:pStyle w:val="BodyText1"/>
              <w:jc w:val="center"/>
              <w:rPr>
                <w:rFonts w:ascii="TUOS Blake" w:hAnsi="TUOS Blake" w:cs="Times New Roman"/>
                <w:sz w:val="22"/>
                <w:szCs w:val="22"/>
              </w:rPr>
            </w:pPr>
            <w:r w:rsidRPr="00A26AE0">
              <w:rPr>
                <w:rFonts w:ascii="Times New Roman" w:hAnsi="Times New Roman"/>
                <w:sz w:val="22"/>
                <w:szCs w:val="22"/>
              </w:rPr>
              <w:t>89.9</w:t>
            </w:r>
          </w:p>
        </w:tc>
      </w:tr>
      <w:tr w:rsidR="00E4064F" w:rsidRPr="007F7A1E" w14:paraId="6968B1A0" w14:textId="77777777" w:rsidTr="000D1B2E">
        <w:trPr>
          <w:trHeight w:hRule="exact" w:val="432"/>
          <w:jc w:val="center"/>
        </w:trPr>
        <w:tc>
          <w:tcPr>
            <w:tcW w:w="0" w:type="auto"/>
            <w:vAlign w:val="center"/>
          </w:tcPr>
          <w:p w14:paraId="012CBA11" w14:textId="77777777" w:rsidR="00E4064F" w:rsidRPr="00A26AE0" w:rsidRDefault="00E4064F" w:rsidP="000D1B2E">
            <w:pPr>
              <w:pStyle w:val="BodyText1"/>
              <w:jc w:val="both"/>
              <w:rPr>
                <w:rFonts w:ascii="TUOS Blake" w:hAnsi="TUOS Blake" w:cs="Times New Roman"/>
                <w:sz w:val="22"/>
                <w:szCs w:val="22"/>
              </w:rPr>
            </w:pPr>
            <w:r w:rsidRPr="00A26AE0">
              <w:rPr>
                <w:rFonts w:ascii="Times New Roman" w:hAnsi="Times New Roman"/>
                <w:bCs/>
                <w:sz w:val="22"/>
                <w:szCs w:val="22"/>
              </w:rPr>
              <w:t>miR-3613-3p</w:t>
            </w:r>
          </w:p>
        </w:tc>
        <w:tc>
          <w:tcPr>
            <w:tcW w:w="0" w:type="auto"/>
            <w:vAlign w:val="center"/>
          </w:tcPr>
          <w:p w14:paraId="2BEACA89" w14:textId="77777777" w:rsidR="00E4064F" w:rsidRPr="00A26AE0" w:rsidRDefault="00E4064F" w:rsidP="000D1B2E">
            <w:pPr>
              <w:pStyle w:val="BodyText1"/>
              <w:jc w:val="center"/>
              <w:rPr>
                <w:rFonts w:ascii="TUOS Blake" w:hAnsi="TUOS Blake" w:cs="Times New Roman"/>
                <w:sz w:val="22"/>
                <w:szCs w:val="22"/>
              </w:rPr>
            </w:pPr>
            <w:r w:rsidRPr="00A26AE0">
              <w:rPr>
                <w:rFonts w:ascii="Times New Roman" w:hAnsi="Times New Roman"/>
                <w:sz w:val="22"/>
                <w:szCs w:val="22"/>
              </w:rPr>
              <w:t>67.7</w:t>
            </w:r>
          </w:p>
        </w:tc>
      </w:tr>
    </w:tbl>
    <w:p w14:paraId="707333E1" w14:textId="538FDB8E" w:rsidR="00E4064F" w:rsidRDefault="00E4064F" w:rsidP="00E4064F">
      <w:pPr>
        <w:pStyle w:val="Caption"/>
      </w:pPr>
      <w:bookmarkStart w:id="247" w:name="_Ref353362615"/>
      <w:bookmarkStart w:id="248" w:name="_Ref353362604"/>
      <w:bookmarkStart w:id="249" w:name="_Toc354233098"/>
      <w:bookmarkStart w:id="250" w:name="_Toc60597187"/>
      <w:r>
        <w:t xml:space="preserve">Table </w:t>
      </w:r>
      <w:r w:rsidR="004D7B97">
        <w:fldChar w:fldCharType="begin"/>
      </w:r>
      <w:r w:rsidR="004D7B97">
        <w:instrText xml:space="preserve"> STYLEREF 1 \s </w:instrText>
      </w:r>
      <w:r w:rsidR="004D7B97">
        <w:fldChar w:fldCharType="separate"/>
      </w:r>
      <w:r w:rsidR="00885DE4">
        <w:rPr>
          <w:noProof/>
        </w:rPr>
        <w:t>5</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2</w:t>
      </w:r>
      <w:r w:rsidR="004D7B97">
        <w:fldChar w:fldCharType="end"/>
      </w:r>
      <w:bookmarkEnd w:id="247"/>
      <w:r>
        <w:t xml:space="preserve"> Biomarkers identified by the Boruta feature selection algorithm.</w:t>
      </w:r>
      <w:bookmarkEnd w:id="248"/>
      <w:bookmarkEnd w:id="249"/>
      <w:bookmarkEnd w:id="250"/>
    </w:p>
    <w:p w14:paraId="5C76E338" w14:textId="77777777" w:rsidR="00E61E18" w:rsidRPr="00E61E18" w:rsidRDefault="00E61E18" w:rsidP="00E61E18"/>
    <w:p w14:paraId="4F4ACB44" w14:textId="77777777" w:rsidR="00E4064F" w:rsidRDefault="00E4064F" w:rsidP="00E4064F">
      <w:pPr>
        <w:pStyle w:val="Heading2"/>
        <w:numPr>
          <w:ilvl w:val="1"/>
          <w:numId w:val="7"/>
        </w:numPr>
        <w:spacing w:before="120" w:after="120"/>
      </w:pPr>
      <w:bookmarkStart w:id="251" w:name="_Toc60773939"/>
      <w:r>
        <w:t>Combing biomarkers with decision trees</w:t>
      </w:r>
      <w:bookmarkEnd w:id="251"/>
    </w:p>
    <w:p w14:paraId="2BF5EE30" w14:textId="77777777" w:rsidR="00885DE4" w:rsidRPr="00A40D98" w:rsidRDefault="00E4064F" w:rsidP="0059396D">
      <w:pPr>
        <w:pStyle w:val="Body"/>
      </w:pPr>
      <w:r>
        <w:t xml:space="preserve">An </w:t>
      </w:r>
      <w:proofErr w:type="spellStart"/>
      <w:r>
        <w:t>Rpart</w:t>
      </w:r>
      <w:proofErr w:type="spellEnd"/>
      <w:r>
        <w:t xml:space="preserve"> decision tree was used to discern a panel of biomarkers. Due to the smaller sample size a smaller cross-validation size of 3-fold was used to minimize over-fitting.  The resulting decision tree is shown in</w:t>
      </w:r>
      <w:r w:rsidR="00A40D98">
        <w:t xml:space="preserve"> </w:t>
      </w:r>
      <w:r>
        <w:fldChar w:fldCharType="begin"/>
      </w:r>
      <w:r w:rsidRPr="00C32C9B">
        <w:instrText xml:space="preserve"> REF _Ref353364247 \h </w:instrText>
      </w:r>
      <w:r>
        <w:fldChar w:fldCharType="separate"/>
      </w:r>
      <w:r w:rsidR="00885DE4">
        <w:t xml:space="preserve"> Note, unlike the ROC based panels the standard deviation of performance metrics across the cross-validations is not available from the Caret cross-validate implementation of the </w:t>
      </w:r>
      <w:proofErr w:type="spellStart"/>
      <w:r w:rsidR="00885DE4">
        <w:t>Rpart</w:t>
      </w:r>
      <w:proofErr w:type="spellEnd"/>
      <w:r w:rsidR="00885DE4">
        <w:t xml:space="preserve"> algorithm.</w:t>
      </w:r>
    </w:p>
    <w:p w14:paraId="14BF688E" w14:textId="77777777" w:rsidR="00885DE4" w:rsidRDefault="00885DE4">
      <w:pPr>
        <w:rPr>
          <w:rFonts w:ascii="TUOS Blake" w:eastAsia="TUOS Blake" w:hAnsi="TUOS Blake" w:cs="TUOS Blake"/>
          <w:color w:val="000000"/>
          <w:bdr w:val="nil"/>
        </w:rPr>
      </w:pPr>
      <w:r>
        <w:br w:type="page"/>
      </w:r>
    </w:p>
    <w:p w14:paraId="0E1ABD25" w14:textId="77777777" w:rsidR="00885DE4" w:rsidRDefault="00885DE4" w:rsidP="00E4064F">
      <w:pPr>
        <w:pStyle w:val="Body"/>
        <w:rPr>
          <w:i/>
        </w:rPr>
      </w:pPr>
      <w:r>
        <w:rPr>
          <w:i/>
          <w:noProof/>
          <w:lang w:val="en-US"/>
        </w:rPr>
        <w:lastRenderedPageBreak/>
        <w:drawing>
          <wp:inline distT="0" distB="0" distL="0" distR="0" wp14:anchorId="7C0FD712" wp14:editId="06BACAE6">
            <wp:extent cx="5267325" cy="3071201"/>
            <wp:effectExtent l="0" t="0" r="0" b="2540"/>
            <wp:docPr id="18" name="Picture 18" descr="Macintosh HD:Users:jamesiremonger:Dropbox:MPhil:Thesis:R:Graphs:SSc R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amesiremonger:Dropbox:MPhil:Thesis:R:Graphs:SSc Rpart.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27759"/>
                    <a:stretch/>
                  </pic:blipFill>
                  <pic:spPr bwMode="auto">
                    <a:xfrm>
                      <a:off x="0" y="0"/>
                      <a:ext cx="5267325" cy="307120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BC442F" w14:textId="2A0F8777" w:rsidR="0059396D" w:rsidRPr="00A40D98" w:rsidRDefault="00885DE4" w:rsidP="0059396D">
      <w:pPr>
        <w:pStyle w:val="Body"/>
      </w:pPr>
      <w:r w:rsidRPr="00B15095">
        <w:rPr>
          <w:i/>
        </w:rPr>
        <w:t xml:space="preserve">Figure </w:t>
      </w:r>
      <w:r>
        <w:rPr>
          <w:i/>
          <w:noProof/>
        </w:rPr>
        <w:t>5</w:t>
      </w:r>
      <w:r>
        <w:rPr>
          <w:i/>
        </w:rPr>
        <w:noBreakHyphen/>
      </w:r>
      <w:r>
        <w:rPr>
          <w:i/>
          <w:noProof/>
        </w:rPr>
        <w:t>1</w:t>
      </w:r>
      <w:r w:rsidR="00E4064F">
        <w:fldChar w:fldCharType="end"/>
      </w:r>
      <w:r w:rsidR="00E4064F">
        <w:t xml:space="preserve"> and the diagnostic power is summarised in the metrics detailed in </w:t>
      </w:r>
      <w:r w:rsidR="00E4064F">
        <w:fldChar w:fldCharType="begin"/>
      </w:r>
      <w:r w:rsidR="00E4064F">
        <w:instrText xml:space="preserve"> REF _Ref353351153 \h </w:instrText>
      </w:r>
      <w:r w:rsidR="00E4064F">
        <w:fldChar w:fldCharType="separate"/>
      </w:r>
      <w:r>
        <w:t xml:space="preserve">Table </w:t>
      </w:r>
      <w:r>
        <w:rPr>
          <w:noProof/>
        </w:rPr>
        <w:t>5</w:t>
      </w:r>
      <w:r>
        <w:noBreakHyphen/>
      </w:r>
      <w:r>
        <w:rPr>
          <w:noProof/>
        </w:rPr>
        <w:t>3</w:t>
      </w:r>
      <w:r w:rsidR="00E4064F">
        <w:fldChar w:fldCharType="end"/>
      </w:r>
      <w:r w:rsidR="00E4064F">
        <w:t>.</w:t>
      </w:r>
      <w:bookmarkStart w:id="252" w:name="_Ref353364247"/>
      <w:r w:rsidR="0059396D">
        <w:t xml:space="preserve"> Note, unlike the ROC based panels the standard deviation of performance metrics across the cross-validations is not available from the Caret cross-validate implementation of the </w:t>
      </w:r>
      <w:proofErr w:type="spellStart"/>
      <w:r w:rsidR="0059396D">
        <w:t>Rpart</w:t>
      </w:r>
      <w:proofErr w:type="spellEnd"/>
      <w:r w:rsidR="0059396D">
        <w:t xml:space="preserve"> algorithm.</w:t>
      </w:r>
    </w:p>
    <w:p w14:paraId="4AF3DDEB" w14:textId="6CA43A5C" w:rsidR="00BC5404" w:rsidRDefault="00BC5404">
      <w:pPr>
        <w:rPr>
          <w:rFonts w:ascii="TUOS Blake" w:eastAsia="TUOS Blake" w:hAnsi="TUOS Blake" w:cs="TUOS Blake"/>
          <w:color w:val="000000"/>
          <w:bdr w:val="nil"/>
        </w:rPr>
      </w:pPr>
      <w:r>
        <w:br w:type="page"/>
      </w:r>
    </w:p>
    <w:p w14:paraId="1F46FC95" w14:textId="77777777" w:rsidR="00121764" w:rsidRDefault="00E4064F" w:rsidP="00E4064F">
      <w:pPr>
        <w:pStyle w:val="Body"/>
        <w:rPr>
          <w:i/>
        </w:rPr>
      </w:pPr>
      <w:bookmarkStart w:id="253" w:name="_Toc354233084"/>
      <w:r>
        <w:rPr>
          <w:i/>
          <w:noProof/>
          <w:lang w:val="en-US"/>
        </w:rPr>
        <w:lastRenderedPageBreak/>
        <w:drawing>
          <wp:inline distT="0" distB="0" distL="0" distR="0" wp14:anchorId="3AE1DCF5" wp14:editId="05E672E2">
            <wp:extent cx="5267325" cy="3071201"/>
            <wp:effectExtent l="0" t="0" r="0" b="2540"/>
            <wp:docPr id="77" name="Picture 77" descr="Macintosh HD:Users:jamesiremonger:Dropbox:MPhil:Thesis:R:Graphs:SSc R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amesiremonger:Dropbox:MPhil:Thesis:R:Graphs:SSc Rpart.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27759"/>
                    <a:stretch/>
                  </pic:blipFill>
                  <pic:spPr bwMode="auto">
                    <a:xfrm>
                      <a:off x="0" y="0"/>
                      <a:ext cx="5267325" cy="307120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956FDE" w14:textId="371603E0" w:rsidR="00E4064F" w:rsidRPr="00D13E87" w:rsidRDefault="00E4064F" w:rsidP="00E4064F">
      <w:pPr>
        <w:pStyle w:val="Body"/>
      </w:pPr>
      <w:bookmarkStart w:id="254" w:name="_Toc60597211"/>
      <w:r w:rsidRPr="00B15095">
        <w:rPr>
          <w:i/>
        </w:rPr>
        <w:t xml:space="preserve">Figure </w:t>
      </w:r>
      <w:r w:rsidR="00864CF4">
        <w:rPr>
          <w:i/>
        </w:rPr>
        <w:fldChar w:fldCharType="begin"/>
      </w:r>
      <w:r w:rsidR="00864CF4">
        <w:rPr>
          <w:i/>
        </w:rPr>
        <w:instrText xml:space="preserve"> STYLEREF 1 \s </w:instrText>
      </w:r>
      <w:r w:rsidR="00864CF4">
        <w:rPr>
          <w:i/>
        </w:rPr>
        <w:fldChar w:fldCharType="separate"/>
      </w:r>
      <w:r w:rsidR="00885DE4">
        <w:rPr>
          <w:i/>
          <w:noProof/>
        </w:rPr>
        <w:t>5</w:t>
      </w:r>
      <w:r w:rsidR="00864CF4">
        <w:rPr>
          <w:i/>
        </w:rPr>
        <w:fldChar w:fldCharType="end"/>
      </w:r>
      <w:r w:rsidR="00864CF4">
        <w:rPr>
          <w:i/>
        </w:rPr>
        <w:noBreakHyphen/>
      </w:r>
      <w:r w:rsidR="00864CF4">
        <w:rPr>
          <w:i/>
        </w:rPr>
        <w:fldChar w:fldCharType="begin"/>
      </w:r>
      <w:r w:rsidR="00864CF4">
        <w:rPr>
          <w:i/>
        </w:rPr>
        <w:instrText xml:space="preserve"> SEQ Figure \* ARABIC \s 1 </w:instrText>
      </w:r>
      <w:r w:rsidR="00864CF4">
        <w:rPr>
          <w:i/>
        </w:rPr>
        <w:fldChar w:fldCharType="separate"/>
      </w:r>
      <w:r w:rsidR="00885DE4">
        <w:rPr>
          <w:i/>
          <w:noProof/>
        </w:rPr>
        <w:t>1</w:t>
      </w:r>
      <w:r w:rsidR="00864CF4">
        <w:rPr>
          <w:i/>
        </w:rPr>
        <w:fldChar w:fldCharType="end"/>
      </w:r>
      <w:bookmarkEnd w:id="252"/>
      <w:r w:rsidRPr="00C32C9B">
        <w:rPr>
          <w:i/>
        </w:rPr>
        <w:t xml:space="preserve"> </w:t>
      </w:r>
      <w:proofErr w:type="spellStart"/>
      <w:r w:rsidRPr="00C32C9B">
        <w:rPr>
          <w:i/>
        </w:rPr>
        <w:t>Rpart</w:t>
      </w:r>
      <w:proofErr w:type="spellEnd"/>
      <w:r w:rsidRPr="00C32C9B">
        <w:rPr>
          <w:i/>
        </w:rPr>
        <w:t xml:space="preserve"> decision tree for separating </w:t>
      </w:r>
      <w:proofErr w:type="spellStart"/>
      <w:r w:rsidRPr="00C32C9B">
        <w:rPr>
          <w:i/>
        </w:rPr>
        <w:t>SSc</w:t>
      </w:r>
      <w:proofErr w:type="spellEnd"/>
      <w:r w:rsidRPr="00C32C9B">
        <w:rPr>
          <w:i/>
        </w:rPr>
        <w:t xml:space="preserve"> with PAH from </w:t>
      </w:r>
      <w:proofErr w:type="spellStart"/>
      <w:r w:rsidRPr="00C32C9B">
        <w:rPr>
          <w:i/>
        </w:rPr>
        <w:t>SSc</w:t>
      </w:r>
      <w:proofErr w:type="spellEnd"/>
      <w:r w:rsidRPr="00C32C9B">
        <w:rPr>
          <w:i/>
        </w:rPr>
        <w:t>. Each terminal node represents the assigned classification with the fraction of correctly classified samples given below.</w:t>
      </w:r>
      <w:bookmarkEnd w:id="253"/>
      <w:bookmarkEnd w:id="254"/>
    </w:p>
    <w:tbl>
      <w:tblPr>
        <w:tblStyle w:val="DefaultTableStyle"/>
        <w:tblW w:w="8925" w:type="dxa"/>
        <w:tblInd w:w="108" w:type="dxa"/>
        <w:tblBorders>
          <w:insideV w:val="none" w:sz="0" w:space="0" w:color="auto"/>
        </w:tblBorders>
        <w:tblLook w:val="0660" w:firstRow="1" w:lastRow="1" w:firstColumn="0" w:lastColumn="0" w:noHBand="1" w:noVBand="1"/>
      </w:tblPr>
      <w:tblGrid>
        <w:gridCol w:w="2127"/>
        <w:gridCol w:w="693"/>
        <w:gridCol w:w="1194"/>
        <w:gridCol w:w="1194"/>
        <w:gridCol w:w="1838"/>
        <w:gridCol w:w="1879"/>
      </w:tblGrid>
      <w:tr w:rsidR="00E4064F" w:rsidRPr="007F7A1E" w14:paraId="22B9749D" w14:textId="77777777" w:rsidTr="000D1B2E">
        <w:trPr>
          <w:cnfStyle w:val="100000000000" w:firstRow="1" w:lastRow="0" w:firstColumn="0" w:lastColumn="0" w:oddVBand="0" w:evenVBand="0" w:oddHBand="0" w:evenHBand="0" w:firstRowFirstColumn="0" w:firstRowLastColumn="0" w:lastRowFirstColumn="0" w:lastRowLastColumn="0"/>
        </w:trPr>
        <w:tc>
          <w:tcPr>
            <w:tcW w:w="2127" w:type="dxa"/>
            <w:tcBorders>
              <w:top w:val="single" w:sz="4" w:space="0" w:color="auto"/>
              <w:bottom w:val="single" w:sz="4" w:space="0" w:color="auto"/>
            </w:tcBorders>
            <w:vAlign w:val="center"/>
          </w:tcPr>
          <w:p w14:paraId="67F155E9" w14:textId="77777777" w:rsidR="00E4064F" w:rsidRPr="007F7A1E"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Method</w:t>
            </w:r>
          </w:p>
        </w:tc>
        <w:tc>
          <w:tcPr>
            <w:tcW w:w="0" w:type="auto"/>
            <w:tcBorders>
              <w:top w:val="single" w:sz="4" w:space="0" w:color="auto"/>
              <w:bottom w:val="single" w:sz="4" w:space="0" w:color="auto"/>
            </w:tcBorders>
            <w:vAlign w:val="center"/>
          </w:tcPr>
          <w:p w14:paraId="3079C9AD" w14:textId="77777777" w:rsidR="00E4064F" w:rsidRPr="007F7A1E"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AUC</w:t>
            </w:r>
          </w:p>
        </w:tc>
        <w:tc>
          <w:tcPr>
            <w:tcW w:w="0" w:type="auto"/>
            <w:tcBorders>
              <w:top w:val="single" w:sz="4" w:space="0" w:color="auto"/>
              <w:bottom w:val="single" w:sz="4" w:space="0" w:color="auto"/>
            </w:tcBorders>
            <w:vAlign w:val="center"/>
          </w:tcPr>
          <w:p w14:paraId="4B3AB941"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Sensitivity</w:t>
            </w:r>
          </w:p>
        </w:tc>
        <w:tc>
          <w:tcPr>
            <w:tcW w:w="0" w:type="auto"/>
            <w:tcBorders>
              <w:top w:val="single" w:sz="4" w:space="0" w:color="auto"/>
              <w:bottom w:val="single" w:sz="4" w:space="0" w:color="auto"/>
            </w:tcBorders>
            <w:vAlign w:val="center"/>
          </w:tcPr>
          <w:p w14:paraId="26E1D06D"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Specificity</w:t>
            </w:r>
          </w:p>
        </w:tc>
        <w:tc>
          <w:tcPr>
            <w:tcW w:w="0" w:type="auto"/>
            <w:tcBorders>
              <w:top w:val="single" w:sz="4" w:space="0" w:color="auto"/>
              <w:bottom w:val="single" w:sz="4" w:space="0" w:color="auto"/>
            </w:tcBorders>
            <w:vAlign w:val="center"/>
          </w:tcPr>
          <w:p w14:paraId="4005A8F5"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Positive Predictive Value</w:t>
            </w:r>
          </w:p>
        </w:tc>
        <w:tc>
          <w:tcPr>
            <w:tcW w:w="0" w:type="auto"/>
            <w:tcBorders>
              <w:top w:val="single" w:sz="4" w:space="0" w:color="auto"/>
              <w:bottom w:val="single" w:sz="4" w:space="0" w:color="auto"/>
            </w:tcBorders>
            <w:vAlign w:val="center"/>
          </w:tcPr>
          <w:p w14:paraId="342FA428" w14:textId="77777777" w:rsidR="00E4064F" w:rsidRPr="007F7A1E"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Negative Predictive Value</w:t>
            </w:r>
          </w:p>
        </w:tc>
      </w:tr>
      <w:tr w:rsidR="00E4064F" w:rsidRPr="007F7A1E" w14:paraId="12D3AFBE" w14:textId="77777777" w:rsidTr="000D1B2E">
        <w:trPr>
          <w:cnfStyle w:val="010000000000" w:firstRow="0" w:lastRow="1" w:firstColumn="0" w:lastColumn="0" w:oddVBand="0" w:evenVBand="0" w:oddHBand="0" w:evenHBand="0" w:firstRowFirstColumn="0" w:firstRowLastColumn="0" w:lastRowFirstColumn="0" w:lastRowLastColumn="0"/>
        </w:trPr>
        <w:tc>
          <w:tcPr>
            <w:tcW w:w="2127" w:type="dxa"/>
            <w:tcBorders>
              <w:top w:val="single" w:sz="4" w:space="0" w:color="auto"/>
            </w:tcBorders>
          </w:tcPr>
          <w:p w14:paraId="3FBB7BF5" w14:textId="77777777" w:rsidR="00E4064F" w:rsidRPr="007F7A1E" w:rsidRDefault="00E4064F" w:rsidP="000D1B2E">
            <w:pPr>
              <w:pStyle w:val="BodyText1"/>
              <w:spacing w:line="276" w:lineRule="auto"/>
              <w:jc w:val="both"/>
              <w:rPr>
                <w:rFonts w:ascii="Times New Roman" w:hAnsi="Times New Roman" w:cs="Times New Roman"/>
                <w:sz w:val="22"/>
              </w:rPr>
            </w:pPr>
            <w:proofErr w:type="spellStart"/>
            <w:r>
              <w:rPr>
                <w:rFonts w:ascii="Times New Roman" w:hAnsi="Times New Roman" w:cs="Times New Roman"/>
                <w:sz w:val="22"/>
              </w:rPr>
              <w:t>Rpart</w:t>
            </w:r>
            <w:proofErr w:type="spellEnd"/>
            <w:r>
              <w:rPr>
                <w:rFonts w:ascii="Times New Roman" w:hAnsi="Times New Roman" w:cs="Times New Roman"/>
                <w:sz w:val="22"/>
              </w:rPr>
              <w:t xml:space="preserve"> Decision Tree</w:t>
            </w:r>
          </w:p>
        </w:tc>
        <w:tc>
          <w:tcPr>
            <w:tcW w:w="0" w:type="auto"/>
            <w:tcBorders>
              <w:top w:val="single" w:sz="4" w:space="0" w:color="auto"/>
            </w:tcBorders>
          </w:tcPr>
          <w:p w14:paraId="168F4671" w14:textId="77777777" w:rsidR="00E4064F" w:rsidRPr="007F7A1E"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0.89</w:t>
            </w:r>
          </w:p>
        </w:tc>
        <w:tc>
          <w:tcPr>
            <w:tcW w:w="0" w:type="auto"/>
            <w:tcBorders>
              <w:top w:val="single" w:sz="4" w:space="0" w:color="auto"/>
            </w:tcBorders>
          </w:tcPr>
          <w:p w14:paraId="118E07C3"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0.89</w:t>
            </w:r>
          </w:p>
        </w:tc>
        <w:tc>
          <w:tcPr>
            <w:tcW w:w="0" w:type="auto"/>
            <w:tcBorders>
              <w:top w:val="single" w:sz="4" w:space="0" w:color="auto"/>
            </w:tcBorders>
          </w:tcPr>
          <w:p w14:paraId="10CC8BD9"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0.90</w:t>
            </w:r>
          </w:p>
        </w:tc>
        <w:tc>
          <w:tcPr>
            <w:tcW w:w="0" w:type="auto"/>
            <w:tcBorders>
              <w:top w:val="single" w:sz="4" w:space="0" w:color="auto"/>
            </w:tcBorders>
          </w:tcPr>
          <w:p w14:paraId="121DCCAA"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0.94</w:t>
            </w:r>
          </w:p>
        </w:tc>
        <w:tc>
          <w:tcPr>
            <w:tcW w:w="0" w:type="auto"/>
            <w:tcBorders>
              <w:top w:val="single" w:sz="4" w:space="0" w:color="auto"/>
            </w:tcBorders>
          </w:tcPr>
          <w:p w14:paraId="1C415E84" w14:textId="77777777" w:rsidR="00E4064F" w:rsidRPr="007F7A1E"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0.82</w:t>
            </w:r>
          </w:p>
        </w:tc>
      </w:tr>
    </w:tbl>
    <w:p w14:paraId="5E09D1EE" w14:textId="3081C512" w:rsidR="00E4064F" w:rsidRDefault="00E4064F" w:rsidP="00E4064F">
      <w:pPr>
        <w:pStyle w:val="Caption"/>
      </w:pPr>
      <w:bookmarkStart w:id="255" w:name="_Ref353351153"/>
      <w:bookmarkStart w:id="256" w:name="_Toc354233099"/>
      <w:bookmarkStart w:id="257" w:name="_Toc60597188"/>
      <w:r>
        <w:t xml:space="preserve">Table </w:t>
      </w:r>
      <w:r w:rsidR="004D7B97">
        <w:fldChar w:fldCharType="begin"/>
      </w:r>
      <w:r w:rsidR="004D7B97">
        <w:instrText xml:space="preserve"> STYLEREF 1 \s </w:instrText>
      </w:r>
      <w:r w:rsidR="004D7B97">
        <w:fldChar w:fldCharType="separate"/>
      </w:r>
      <w:r w:rsidR="00885DE4">
        <w:rPr>
          <w:noProof/>
        </w:rPr>
        <w:t>5</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3</w:t>
      </w:r>
      <w:r w:rsidR="004D7B97">
        <w:fldChar w:fldCharType="end"/>
      </w:r>
      <w:bookmarkEnd w:id="255"/>
      <w:r>
        <w:t xml:space="preserve"> </w:t>
      </w:r>
      <w:proofErr w:type="spellStart"/>
      <w:r>
        <w:t>Rpart</w:t>
      </w:r>
      <w:proofErr w:type="spellEnd"/>
      <w:r>
        <w:t xml:space="preserve"> decision tree performance metrics summarising the diagnostic power for the classification of PAH within </w:t>
      </w:r>
      <w:proofErr w:type="spellStart"/>
      <w:r>
        <w:t>SSc</w:t>
      </w:r>
      <w:proofErr w:type="spellEnd"/>
      <w:r>
        <w:t>.</w:t>
      </w:r>
      <w:bookmarkEnd w:id="256"/>
      <w:bookmarkEnd w:id="257"/>
    </w:p>
    <w:p w14:paraId="39C7835C" w14:textId="77777777" w:rsidR="00E4064F" w:rsidRPr="00DB173F" w:rsidRDefault="00E4064F" w:rsidP="00E4064F"/>
    <w:p w14:paraId="3607297A" w14:textId="77777777" w:rsidR="00E4064F" w:rsidRPr="00AA737C" w:rsidRDefault="00E4064F" w:rsidP="00E4064F">
      <w:pPr>
        <w:pStyle w:val="Heading2"/>
        <w:numPr>
          <w:ilvl w:val="1"/>
          <w:numId w:val="7"/>
        </w:numPr>
        <w:spacing w:before="120" w:after="120"/>
      </w:pPr>
      <w:bookmarkStart w:id="258" w:name="_Toc60773940"/>
      <w:r>
        <w:t>Combining biomarkers by ROC determined thresholds</w:t>
      </w:r>
      <w:bookmarkEnd w:id="258"/>
    </w:p>
    <w:p w14:paraId="4BCF0AFB" w14:textId="768039CD" w:rsidR="00E4064F" w:rsidRPr="00266FF0" w:rsidRDefault="00E4064F" w:rsidP="00266FF0">
      <w:pPr>
        <w:pStyle w:val="Body"/>
      </w:pPr>
      <w:r>
        <w:t xml:space="preserve">Combined ROC thresholds as described in </w:t>
      </w:r>
      <w:r>
        <w:fldChar w:fldCharType="begin"/>
      </w:r>
      <w:r>
        <w:instrText xml:space="preserve"> REF _Ref344043698 \r \h </w:instrText>
      </w:r>
      <w:r>
        <w:fldChar w:fldCharType="separate"/>
      </w:r>
      <w:r w:rsidR="00885DE4">
        <w:t>2.3</w:t>
      </w:r>
      <w:r>
        <w:fldChar w:fldCharType="end"/>
      </w:r>
      <w:r>
        <w:t xml:space="preserve"> was used to build biomarker panels were built using the 7 miRNAs identified in </w:t>
      </w:r>
      <w:r>
        <w:fldChar w:fldCharType="begin"/>
      </w:r>
      <w:r>
        <w:instrText xml:space="preserve"> REF _Ref353802252 \r \h </w:instrText>
      </w:r>
      <w:r>
        <w:fldChar w:fldCharType="separate"/>
      </w:r>
      <w:r w:rsidR="00885DE4">
        <w:t>5.3</w:t>
      </w:r>
      <w:r>
        <w:fldChar w:fldCharType="end"/>
      </w:r>
      <w:r>
        <w:t xml:space="preserve"> choosing a panel size containing from 2 to 5 miRNAs a total of 112 combinations were possible. 8 panels had a sensitivity and specificity greater than 0.8 and were subjected to 10 repeats of k fold cross-validation (k=3). Further filtering and ordering of the cross-validated panels, reduced the list of </w:t>
      </w:r>
      <w:r>
        <w:lastRenderedPageBreak/>
        <w:t>final panels to 2 (</w:t>
      </w:r>
      <w:r>
        <w:fldChar w:fldCharType="begin"/>
      </w:r>
      <w:r>
        <w:instrText xml:space="preserve"> REF _Ref353802352 \h </w:instrText>
      </w:r>
      <w:r>
        <w:fldChar w:fldCharType="separate"/>
      </w:r>
      <w:r w:rsidR="00885DE4" w:rsidRPr="00BC5DE4">
        <w:rPr>
          <w:i/>
          <w:iCs/>
        </w:rPr>
        <w:t xml:space="preserve">Table </w:t>
      </w:r>
      <w:r w:rsidR="00885DE4">
        <w:rPr>
          <w:i/>
          <w:iCs/>
          <w:noProof/>
        </w:rPr>
        <w:t>5</w:t>
      </w:r>
      <w:r w:rsidR="00885DE4">
        <w:rPr>
          <w:i/>
          <w:iCs/>
        </w:rPr>
        <w:noBreakHyphen/>
      </w:r>
      <w:r w:rsidR="00885DE4">
        <w:rPr>
          <w:i/>
          <w:iCs/>
          <w:noProof/>
        </w:rPr>
        <w:t>4</w:t>
      </w:r>
      <w:r>
        <w:fldChar w:fldCharType="end"/>
      </w:r>
      <w:r>
        <w:t xml:space="preserve">). </w:t>
      </w:r>
      <w:r w:rsidR="00266FF0">
        <w:t>The small standard deviation of the performance metrics shown is indicative of stability within the performance of the panel.</w:t>
      </w:r>
    </w:p>
    <w:tbl>
      <w:tblPr>
        <w:tblStyle w:val="DefaultTableStyle"/>
        <w:tblW w:w="8845" w:type="dxa"/>
        <w:tblInd w:w="108" w:type="dxa"/>
        <w:tblBorders>
          <w:insideV w:val="none" w:sz="0" w:space="0" w:color="auto"/>
        </w:tblBorders>
        <w:tblLayout w:type="fixed"/>
        <w:tblLook w:val="0660" w:firstRow="1" w:lastRow="1" w:firstColumn="0" w:lastColumn="0" w:noHBand="1" w:noVBand="1"/>
      </w:tblPr>
      <w:tblGrid>
        <w:gridCol w:w="3294"/>
        <w:gridCol w:w="851"/>
        <w:gridCol w:w="850"/>
        <w:gridCol w:w="1885"/>
        <w:gridCol w:w="1965"/>
      </w:tblGrid>
      <w:tr w:rsidR="00E4064F" w:rsidRPr="007F7A1E" w14:paraId="324B5334" w14:textId="77777777" w:rsidTr="00A15530">
        <w:trPr>
          <w:cnfStyle w:val="100000000000" w:firstRow="1" w:lastRow="0" w:firstColumn="0" w:lastColumn="0" w:oddVBand="0" w:evenVBand="0" w:oddHBand="0" w:evenHBand="0" w:firstRowFirstColumn="0" w:firstRowLastColumn="0" w:lastRowFirstColumn="0" w:lastRowLastColumn="0"/>
          <w:trHeight w:val="746"/>
        </w:trPr>
        <w:tc>
          <w:tcPr>
            <w:tcW w:w="3294" w:type="dxa"/>
            <w:tcBorders>
              <w:top w:val="single" w:sz="4" w:space="0" w:color="auto"/>
              <w:bottom w:val="single" w:sz="4" w:space="0" w:color="auto"/>
            </w:tcBorders>
            <w:vAlign w:val="center"/>
          </w:tcPr>
          <w:p w14:paraId="60E51AF8" w14:textId="77777777" w:rsidR="00E4064F" w:rsidRPr="007F7A1E" w:rsidRDefault="00E4064F" w:rsidP="000D1B2E">
            <w:pPr>
              <w:pStyle w:val="BodyText1"/>
              <w:jc w:val="center"/>
              <w:rPr>
                <w:rFonts w:ascii="Times New Roman" w:hAnsi="Times New Roman" w:cs="Times New Roman"/>
                <w:sz w:val="22"/>
              </w:rPr>
            </w:pPr>
            <w:r>
              <w:rPr>
                <w:rFonts w:ascii="Times New Roman" w:hAnsi="Times New Roman" w:cs="Times New Roman"/>
                <w:sz w:val="22"/>
              </w:rPr>
              <w:t>miRNAs in Panel</w:t>
            </w:r>
          </w:p>
        </w:tc>
        <w:tc>
          <w:tcPr>
            <w:tcW w:w="851" w:type="dxa"/>
            <w:tcBorders>
              <w:top w:val="single" w:sz="4" w:space="0" w:color="auto"/>
              <w:bottom w:val="single" w:sz="4" w:space="0" w:color="auto"/>
            </w:tcBorders>
            <w:vAlign w:val="center"/>
          </w:tcPr>
          <w:p w14:paraId="5048897D" w14:textId="77777777" w:rsidR="00E4064F" w:rsidRDefault="00E4064F" w:rsidP="000D1B2E">
            <w:pPr>
              <w:pStyle w:val="BodyText1"/>
              <w:jc w:val="center"/>
              <w:rPr>
                <w:rFonts w:ascii="Times New Roman" w:hAnsi="Times New Roman" w:cs="Times New Roman"/>
                <w:sz w:val="22"/>
              </w:rPr>
            </w:pPr>
            <w:r>
              <w:rPr>
                <w:rFonts w:ascii="Times New Roman" w:hAnsi="Times New Roman" w:cs="Times New Roman"/>
                <w:sz w:val="22"/>
              </w:rPr>
              <w:t>Se</w:t>
            </w:r>
          </w:p>
        </w:tc>
        <w:tc>
          <w:tcPr>
            <w:tcW w:w="850" w:type="dxa"/>
            <w:tcBorders>
              <w:top w:val="single" w:sz="4" w:space="0" w:color="auto"/>
              <w:bottom w:val="single" w:sz="4" w:space="0" w:color="auto"/>
            </w:tcBorders>
            <w:vAlign w:val="center"/>
          </w:tcPr>
          <w:p w14:paraId="09CF61BF" w14:textId="77777777" w:rsidR="00E4064F" w:rsidRDefault="00E4064F" w:rsidP="000D1B2E">
            <w:pPr>
              <w:pStyle w:val="BodyText1"/>
              <w:jc w:val="center"/>
              <w:rPr>
                <w:rFonts w:ascii="Times New Roman" w:hAnsi="Times New Roman" w:cs="Times New Roman"/>
                <w:sz w:val="22"/>
              </w:rPr>
            </w:pPr>
            <w:proofErr w:type="spellStart"/>
            <w:r>
              <w:rPr>
                <w:rFonts w:ascii="Times New Roman" w:hAnsi="Times New Roman" w:cs="Times New Roman"/>
                <w:sz w:val="22"/>
              </w:rPr>
              <w:t>Sp</w:t>
            </w:r>
            <w:proofErr w:type="spellEnd"/>
          </w:p>
        </w:tc>
        <w:tc>
          <w:tcPr>
            <w:tcW w:w="1885" w:type="dxa"/>
            <w:tcBorders>
              <w:top w:val="single" w:sz="4" w:space="0" w:color="auto"/>
              <w:bottom w:val="single" w:sz="4" w:space="0" w:color="auto"/>
            </w:tcBorders>
            <w:vAlign w:val="center"/>
          </w:tcPr>
          <w:p w14:paraId="73E58DFD" w14:textId="77777777" w:rsidR="00E4064F" w:rsidRDefault="00E4064F" w:rsidP="000D1B2E">
            <w:pPr>
              <w:pStyle w:val="BodyText1"/>
              <w:jc w:val="center"/>
              <w:rPr>
                <w:rFonts w:ascii="Times New Roman" w:hAnsi="Times New Roman" w:cs="Times New Roman"/>
                <w:sz w:val="22"/>
              </w:rPr>
            </w:pPr>
            <w:r>
              <w:rPr>
                <w:rFonts w:ascii="Times New Roman" w:hAnsi="Times New Roman" w:cs="Times New Roman"/>
                <w:sz w:val="22"/>
              </w:rPr>
              <w:t>Positive Predictive Value</w:t>
            </w:r>
          </w:p>
        </w:tc>
        <w:tc>
          <w:tcPr>
            <w:tcW w:w="1965" w:type="dxa"/>
            <w:tcBorders>
              <w:top w:val="single" w:sz="4" w:space="0" w:color="auto"/>
              <w:bottom w:val="single" w:sz="4" w:space="0" w:color="auto"/>
            </w:tcBorders>
            <w:vAlign w:val="center"/>
          </w:tcPr>
          <w:p w14:paraId="48850631" w14:textId="77777777" w:rsidR="00E4064F" w:rsidRPr="007F7A1E" w:rsidRDefault="00E4064F" w:rsidP="000D1B2E">
            <w:pPr>
              <w:pStyle w:val="BodyText1"/>
              <w:jc w:val="center"/>
              <w:rPr>
                <w:rFonts w:ascii="Times New Roman" w:hAnsi="Times New Roman" w:cs="Times New Roman"/>
                <w:sz w:val="22"/>
              </w:rPr>
            </w:pPr>
            <w:r>
              <w:rPr>
                <w:rFonts w:ascii="Times New Roman" w:hAnsi="Times New Roman" w:cs="Times New Roman"/>
                <w:sz w:val="22"/>
              </w:rPr>
              <w:t>Negative Predictive Value</w:t>
            </w:r>
          </w:p>
        </w:tc>
      </w:tr>
      <w:tr w:rsidR="00E4064F" w:rsidRPr="007F7A1E" w14:paraId="63A4059F" w14:textId="77777777" w:rsidTr="00A15530">
        <w:trPr>
          <w:trHeight w:val="613"/>
        </w:trPr>
        <w:tc>
          <w:tcPr>
            <w:tcW w:w="3294" w:type="dxa"/>
            <w:tcBorders>
              <w:top w:val="single" w:sz="4" w:space="0" w:color="auto"/>
            </w:tcBorders>
            <w:vAlign w:val="center"/>
          </w:tcPr>
          <w:p w14:paraId="0EC3BDB9" w14:textId="77777777" w:rsidR="00E4064F" w:rsidRPr="00D15175" w:rsidRDefault="00E4064F" w:rsidP="000D1B2E">
            <w:pPr>
              <w:pStyle w:val="BodyText1"/>
              <w:rPr>
                <w:rFonts w:ascii="Times New Roman" w:hAnsi="Times New Roman"/>
              </w:rPr>
            </w:pPr>
            <w:r>
              <w:rPr>
                <w:rFonts w:ascii="Times New Roman" w:hAnsi="Times New Roman"/>
              </w:rPr>
              <w:t xml:space="preserve">miR-3613-3p, miR-584-5p, </w:t>
            </w:r>
            <w:r w:rsidRPr="00D15175">
              <w:rPr>
                <w:rFonts w:ascii="Times New Roman" w:hAnsi="Times New Roman"/>
              </w:rPr>
              <w:t>miR-630</w:t>
            </w:r>
          </w:p>
        </w:tc>
        <w:tc>
          <w:tcPr>
            <w:tcW w:w="851" w:type="dxa"/>
            <w:tcBorders>
              <w:top w:val="single" w:sz="4" w:space="0" w:color="auto"/>
            </w:tcBorders>
            <w:vAlign w:val="center"/>
          </w:tcPr>
          <w:p w14:paraId="5FBE8075" w14:textId="77777777" w:rsidR="00E4064F" w:rsidRDefault="00E4064F" w:rsidP="000D1B2E">
            <w:pPr>
              <w:pStyle w:val="BodyText1"/>
              <w:jc w:val="center"/>
              <w:rPr>
                <w:rFonts w:ascii="Times New Roman" w:hAnsi="Times New Roman"/>
              </w:rPr>
            </w:pPr>
            <w:r w:rsidRPr="00D15175">
              <w:rPr>
                <w:rFonts w:ascii="Times New Roman" w:hAnsi="Times New Roman"/>
              </w:rPr>
              <w:t>0.92</w:t>
            </w:r>
          </w:p>
          <w:p w14:paraId="06520ECB" w14:textId="5883DEFA" w:rsidR="00454ED0" w:rsidRPr="00D15175" w:rsidRDefault="00454ED0" w:rsidP="000D1B2E">
            <w:pPr>
              <w:pStyle w:val="BodyText1"/>
              <w:jc w:val="center"/>
              <w:rPr>
                <w:rFonts w:ascii="Times New Roman" w:hAnsi="Times New Roman" w:cs="Times New Roman"/>
              </w:rPr>
            </w:pPr>
            <w:r>
              <w:rPr>
                <w:rFonts w:ascii="Times New Roman" w:hAnsi="Times New Roman"/>
              </w:rPr>
              <w:t>(0.039)</w:t>
            </w:r>
          </w:p>
        </w:tc>
        <w:tc>
          <w:tcPr>
            <w:tcW w:w="850" w:type="dxa"/>
            <w:tcBorders>
              <w:top w:val="single" w:sz="4" w:space="0" w:color="auto"/>
            </w:tcBorders>
            <w:vAlign w:val="center"/>
          </w:tcPr>
          <w:p w14:paraId="469AEC98" w14:textId="77777777" w:rsidR="00E4064F" w:rsidRDefault="00E4064F" w:rsidP="000D1B2E">
            <w:pPr>
              <w:pStyle w:val="BodyText1"/>
              <w:jc w:val="center"/>
              <w:rPr>
                <w:rFonts w:ascii="Times New Roman" w:hAnsi="Times New Roman"/>
              </w:rPr>
            </w:pPr>
            <w:r w:rsidRPr="00D15175">
              <w:rPr>
                <w:rFonts w:ascii="Times New Roman" w:hAnsi="Times New Roman"/>
              </w:rPr>
              <w:t>0.87</w:t>
            </w:r>
          </w:p>
          <w:p w14:paraId="150E3826" w14:textId="49EC247D" w:rsidR="00454ED0" w:rsidRPr="00D15175" w:rsidRDefault="00454ED0" w:rsidP="000D1B2E">
            <w:pPr>
              <w:pStyle w:val="BodyText1"/>
              <w:jc w:val="center"/>
              <w:rPr>
                <w:rFonts w:ascii="Times New Roman" w:hAnsi="Times New Roman" w:cs="Times New Roman"/>
              </w:rPr>
            </w:pPr>
            <w:r>
              <w:rPr>
                <w:rFonts w:ascii="Times New Roman" w:hAnsi="Times New Roman"/>
              </w:rPr>
              <w:t>(0.048)</w:t>
            </w:r>
          </w:p>
        </w:tc>
        <w:tc>
          <w:tcPr>
            <w:tcW w:w="1885" w:type="dxa"/>
            <w:tcBorders>
              <w:top w:val="single" w:sz="4" w:space="0" w:color="auto"/>
            </w:tcBorders>
            <w:vAlign w:val="center"/>
          </w:tcPr>
          <w:p w14:paraId="1DF8BE30" w14:textId="77777777" w:rsidR="00E4064F" w:rsidRDefault="00E4064F" w:rsidP="000D1B2E">
            <w:pPr>
              <w:pStyle w:val="BodyText1"/>
              <w:jc w:val="center"/>
              <w:rPr>
                <w:rFonts w:ascii="Times New Roman" w:hAnsi="Times New Roman"/>
              </w:rPr>
            </w:pPr>
            <w:r w:rsidRPr="00D15175">
              <w:rPr>
                <w:rFonts w:ascii="Times New Roman" w:hAnsi="Times New Roman"/>
              </w:rPr>
              <w:t>0.93</w:t>
            </w:r>
          </w:p>
          <w:p w14:paraId="5D8CB855" w14:textId="57D8E14B" w:rsidR="00454ED0" w:rsidRPr="00D15175" w:rsidRDefault="00454ED0" w:rsidP="000D1B2E">
            <w:pPr>
              <w:pStyle w:val="BodyText1"/>
              <w:jc w:val="center"/>
              <w:rPr>
                <w:rFonts w:ascii="Times New Roman" w:hAnsi="Times New Roman" w:cs="Times New Roman"/>
              </w:rPr>
            </w:pPr>
            <w:r>
              <w:rPr>
                <w:rFonts w:ascii="Times New Roman" w:hAnsi="Times New Roman"/>
              </w:rPr>
              <w:t>(0.024)</w:t>
            </w:r>
          </w:p>
        </w:tc>
        <w:tc>
          <w:tcPr>
            <w:tcW w:w="1965" w:type="dxa"/>
            <w:tcBorders>
              <w:top w:val="single" w:sz="4" w:space="0" w:color="auto"/>
            </w:tcBorders>
            <w:vAlign w:val="center"/>
          </w:tcPr>
          <w:p w14:paraId="3D78EA87" w14:textId="77777777" w:rsidR="00E4064F" w:rsidRDefault="00E4064F" w:rsidP="000D1B2E">
            <w:pPr>
              <w:pStyle w:val="BodyText1"/>
              <w:jc w:val="center"/>
              <w:rPr>
                <w:rFonts w:ascii="Times New Roman" w:hAnsi="Times New Roman"/>
              </w:rPr>
            </w:pPr>
            <w:r w:rsidRPr="00D15175">
              <w:rPr>
                <w:rFonts w:ascii="Times New Roman" w:hAnsi="Times New Roman"/>
              </w:rPr>
              <w:t>0.86</w:t>
            </w:r>
          </w:p>
          <w:p w14:paraId="7A888D5C" w14:textId="29240B20" w:rsidR="00454ED0" w:rsidRPr="00D15175" w:rsidRDefault="00454ED0" w:rsidP="000D1B2E">
            <w:pPr>
              <w:pStyle w:val="BodyText1"/>
              <w:jc w:val="center"/>
              <w:rPr>
                <w:rFonts w:ascii="Times New Roman" w:hAnsi="Times New Roman" w:cs="Times New Roman"/>
              </w:rPr>
            </w:pPr>
            <w:r>
              <w:rPr>
                <w:rFonts w:ascii="Times New Roman" w:hAnsi="Times New Roman"/>
              </w:rPr>
              <w:t>(0.055)</w:t>
            </w:r>
          </w:p>
        </w:tc>
      </w:tr>
      <w:tr w:rsidR="00E4064F" w:rsidRPr="007F7A1E" w14:paraId="7803FCD8" w14:textId="77777777" w:rsidTr="00A15530">
        <w:trPr>
          <w:cnfStyle w:val="010000000000" w:firstRow="0" w:lastRow="1" w:firstColumn="0" w:lastColumn="0" w:oddVBand="0" w:evenVBand="0" w:oddHBand="0" w:evenHBand="0" w:firstRowFirstColumn="0" w:firstRowLastColumn="0" w:lastRowFirstColumn="0" w:lastRowLastColumn="0"/>
        </w:trPr>
        <w:tc>
          <w:tcPr>
            <w:tcW w:w="3294" w:type="dxa"/>
            <w:tcBorders>
              <w:top w:val="none" w:sz="0" w:space="0" w:color="auto"/>
              <w:bottom w:val="single" w:sz="4" w:space="0" w:color="000000"/>
            </w:tcBorders>
            <w:shd w:val="clear" w:color="auto" w:fill="auto"/>
            <w:vAlign w:val="center"/>
          </w:tcPr>
          <w:p w14:paraId="267880B3" w14:textId="77777777" w:rsidR="00E4064F" w:rsidRPr="00D15175" w:rsidRDefault="00E4064F" w:rsidP="000D1B2E">
            <w:pPr>
              <w:pStyle w:val="BodyText1"/>
              <w:rPr>
                <w:rFonts w:ascii="Times New Roman" w:hAnsi="Times New Roman"/>
                <w:b w:val="0"/>
              </w:rPr>
            </w:pPr>
            <w:r>
              <w:rPr>
                <w:rFonts w:ascii="Times New Roman" w:hAnsi="Times New Roman"/>
                <w:b w:val="0"/>
              </w:rPr>
              <w:t xml:space="preserve">miR-485-3p, miR-584-5p, </w:t>
            </w:r>
            <w:r w:rsidRPr="00D15175">
              <w:rPr>
                <w:rFonts w:ascii="Times New Roman" w:hAnsi="Times New Roman"/>
                <w:b w:val="0"/>
              </w:rPr>
              <w:t>miR-630</w:t>
            </w:r>
          </w:p>
        </w:tc>
        <w:tc>
          <w:tcPr>
            <w:tcW w:w="851" w:type="dxa"/>
            <w:tcBorders>
              <w:top w:val="none" w:sz="0" w:space="0" w:color="auto"/>
              <w:bottom w:val="single" w:sz="4" w:space="0" w:color="000000"/>
            </w:tcBorders>
            <w:shd w:val="clear" w:color="auto" w:fill="auto"/>
            <w:vAlign w:val="center"/>
          </w:tcPr>
          <w:p w14:paraId="72AAECD2" w14:textId="77777777" w:rsidR="00E4064F" w:rsidRDefault="00E4064F" w:rsidP="000D1B2E">
            <w:pPr>
              <w:pStyle w:val="BodyText1"/>
              <w:jc w:val="center"/>
              <w:rPr>
                <w:rFonts w:ascii="Times New Roman" w:hAnsi="Times New Roman"/>
                <w:bCs w:val="0"/>
              </w:rPr>
            </w:pPr>
            <w:r w:rsidRPr="00D15175">
              <w:rPr>
                <w:rFonts w:ascii="Times New Roman" w:hAnsi="Times New Roman"/>
                <w:b w:val="0"/>
              </w:rPr>
              <w:t>0.88</w:t>
            </w:r>
          </w:p>
          <w:p w14:paraId="77EE27FE" w14:textId="21CC6EAE" w:rsidR="00454ED0" w:rsidRPr="00D15175" w:rsidRDefault="00454ED0" w:rsidP="000D1B2E">
            <w:pPr>
              <w:pStyle w:val="BodyText1"/>
              <w:jc w:val="center"/>
              <w:rPr>
                <w:rFonts w:ascii="Times New Roman" w:hAnsi="Times New Roman" w:cs="Times New Roman"/>
                <w:b w:val="0"/>
              </w:rPr>
            </w:pPr>
            <w:r>
              <w:rPr>
                <w:rFonts w:ascii="Times New Roman" w:hAnsi="Times New Roman"/>
                <w:b w:val="0"/>
              </w:rPr>
              <w:t>(0.018)</w:t>
            </w:r>
          </w:p>
        </w:tc>
        <w:tc>
          <w:tcPr>
            <w:tcW w:w="850" w:type="dxa"/>
            <w:tcBorders>
              <w:top w:val="none" w:sz="0" w:space="0" w:color="auto"/>
              <w:bottom w:val="single" w:sz="4" w:space="0" w:color="000000"/>
            </w:tcBorders>
            <w:shd w:val="clear" w:color="auto" w:fill="auto"/>
            <w:vAlign w:val="center"/>
          </w:tcPr>
          <w:p w14:paraId="637E845A" w14:textId="77777777" w:rsidR="00E4064F" w:rsidRDefault="00E4064F" w:rsidP="000D1B2E">
            <w:pPr>
              <w:pStyle w:val="BodyText1"/>
              <w:jc w:val="center"/>
              <w:rPr>
                <w:rFonts w:ascii="Times New Roman" w:hAnsi="Times New Roman"/>
                <w:bCs w:val="0"/>
              </w:rPr>
            </w:pPr>
            <w:r w:rsidRPr="00D15175">
              <w:rPr>
                <w:rFonts w:ascii="Times New Roman" w:hAnsi="Times New Roman"/>
                <w:b w:val="0"/>
              </w:rPr>
              <w:t>0.86</w:t>
            </w:r>
          </w:p>
          <w:p w14:paraId="06813ABB" w14:textId="00B2574B" w:rsidR="00454ED0" w:rsidRPr="00D15175" w:rsidRDefault="00454ED0" w:rsidP="000D1B2E">
            <w:pPr>
              <w:pStyle w:val="BodyText1"/>
              <w:jc w:val="center"/>
              <w:rPr>
                <w:rFonts w:ascii="Times New Roman" w:hAnsi="Times New Roman" w:cs="Times New Roman"/>
                <w:b w:val="0"/>
              </w:rPr>
            </w:pPr>
            <w:r>
              <w:rPr>
                <w:rFonts w:ascii="Times New Roman" w:hAnsi="Times New Roman"/>
                <w:b w:val="0"/>
              </w:rPr>
              <w:t>(0.052)</w:t>
            </w:r>
          </w:p>
        </w:tc>
        <w:tc>
          <w:tcPr>
            <w:tcW w:w="1885" w:type="dxa"/>
            <w:tcBorders>
              <w:top w:val="none" w:sz="0" w:space="0" w:color="auto"/>
              <w:bottom w:val="single" w:sz="4" w:space="0" w:color="000000"/>
            </w:tcBorders>
            <w:shd w:val="clear" w:color="auto" w:fill="auto"/>
            <w:vAlign w:val="center"/>
          </w:tcPr>
          <w:p w14:paraId="7B69AFA1" w14:textId="77777777" w:rsidR="00E4064F" w:rsidRDefault="00E4064F" w:rsidP="000D1B2E">
            <w:pPr>
              <w:pStyle w:val="BodyText1"/>
              <w:jc w:val="center"/>
              <w:rPr>
                <w:rFonts w:ascii="Times New Roman" w:hAnsi="Times New Roman"/>
                <w:bCs w:val="0"/>
              </w:rPr>
            </w:pPr>
            <w:r w:rsidRPr="00D15175">
              <w:rPr>
                <w:rFonts w:ascii="Times New Roman" w:hAnsi="Times New Roman"/>
                <w:b w:val="0"/>
              </w:rPr>
              <w:t>0.92</w:t>
            </w:r>
          </w:p>
          <w:p w14:paraId="26B6CA5D" w14:textId="130AC6BF" w:rsidR="00454ED0" w:rsidRPr="00D15175" w:rsidRDefault="00454ED0" w:rsidP="000D1B2E">
            <w:pPr>
              <w:pStyle w:val="BodyText1"/>
              <w:jc w:val="center"/>
              <w:rPr>
                <w:rFonts w:ascii="Times New Roman" w:hAnsi="Times New Roman" w:cs="Times New Roman"/>
                <w:b w:val="0"/>
              </w:rPr>
            </w:pPr>
            <w:r>
              <w:rPr>
                <w:rFonts w:ascii="Times New Roman" w:hAnsi="Times New Roman"/>
                <w:b w:val="0"/>
              </w:rPr>
              <w:t>(0.027)</w:t>
            </w:r>
          </w:p>
        </w:tc>
        <w:tc>
          <w:tcPr>
            <w:tcW w:w="1965" w:type="dxa"/>
            <w:tcBorders>
              <w:top w:val="none" w:sz="0" w:space="0" w:color="auto"/>
              <w:bottom w:val="single" w:sz="4" w:space="0" w:color="000000"/>
            </w:tcBorders>
            <w:shd w:val="clear" w:color="auto" w:fill="auto"/>
            <w:vAlign w:val="center"/>
          </w:tcPr>
          <w:p w14:paraId="2C2989A6" w14:textId="77777777" w:rsidR="00E4064F" w:rsidRDefault="00E4064F" w:rsidP="000D1B2E">
            <w:pPr>
              <w:pStyle w:val="BodyText1"/>
              <w:jc w:val="center"/>
              <w:rPr>
                <w:rFonts w:ascii="Times New Roman" w:hAnsi="Times New Roman"/>
                <w:bCs w:val="0"/>
              </w:rPr>
            </w:pPr>
            <w:r w:rsidRPr="00D15175">
              <w:rPr>
                <w:rFonts w:ascii="Times New Roman" w:hAnsi="Times New Roman"/>
                <w:b w:val="0"/>
              </w:rPr>
              <w:t>0.80</w:t>
            </w:r>
          </w:p>
          <w:p w14:paraId="4D7E0EA0" w14:textId="23E24650" w:rsidR="00454ED0" w:rsidRPr="00D15175" w:rsidRDefault="00454ED0" w:rsidP="000D1B2E">
            <w:pPr>
              <w:pStyle w:val="BodyText1"/>
              <w:jc w:val="center"/>
              <w:rPr>
                <w:rFonts w:ascii="Times New Roman" w:hAnsi="Times New Roman" w:cs="Times New Roman"/>
                <w:b w:val="0"/>
              </w:rPr>
            </w:pPr>
            <w:r>
              <w:rPr>
                <w:rFonts w:ascii="Times New Roman" w:hAnsi="Times New Roman"/>
                <w:b w:val="0"/>
              </w:rPr>
              <w:t>(0.021)</w:t>
            </w:r>
          </w:p>
        </w:tc>
      </w:tr>
    </w:tbl>
    <w:p w14:paraId="4C07D9D0" w14:textId="01EBCF36" w:rsidR="00E4064F" w:rsidRDefault="00E4064F" w:rsidP="00BC5DE4">
      <w:pPr>
        <w:pStyle w:val="Body"/>
      </w:pPr>
      <w:bookmarkStart w:id="259" w:name="_Ref353802352"/>
      <w:bookmarkStart w:id="260" w:name="_Toc354233100"/>
      <w:bookmarkStart w:id="261" w:name="_Toc60597189"/>
      <w:r w:rsidRPr="00BC5DE4">
        <w:rPr>
          <w:i/>
          <w:iCs/>
        </w:rPr>
        <w:t xml:space="preserve">Table </w:t>
      </w:r>
      <w:r w:rsidR="004D7B97">
        <w:rPr>
          <w:i/>
          <w:iCs/>
        </w:rPr>
        <w:fldChar w:fldCharType="begin"/>
      </w:r>
      <w:r w:rsidR="004D7B97">
        <w:rPr>
          <w:i/>
          <w:iCs/>
        </w:rPr>
        <w:instrText xml:space="preserve"> STYLEREF 1 \s </w:instrText>
      </w:r>
      <w:r w:rsidR="004D7B97">
        <w:rPr>
          <w:i/>
          <w:iCs/>
        </w:rPr>
        <w:fldChar w:fldCharType="separate"/>
      </w:r>
      <w:r w:rsidR="00885DE4">
        <w:rPr>
          <w:i/>
          <w:iCs/>
          <w:noProof/>
        </w:rPr>
        <w:t>5</w:t>
      </w:r>
      <w:r w:rsidR="004D7B97">
        <w:rPr>
          <w:i/>
          <w:iCs/>
        </w:rPr>
        <w:fldChar w:fldCharType="end"/>
      </w:r>
      <w:r w:rsidR="004D7B97">
        <w:rPr>
          <w:i/>
          <w:iCs/>
        </w:rPr>
        <w:noBreakHyphen/>
      </w:r>
      <w:r w:rsidR="004D7B97">
        <w:rPr>
          <w:i/>
          <w:iCs/>
        </w:rPr>
        <w:fldChar w:fldCharType="begin"/>
      </w:r>
      <w:r w:rsidR="004D7B97">
        <w:rPr>
          <w:i/>
          <w:iCs/>
        </w:rPr>
        <w:instrText xml:space="preserve"> SEQ Table \* ARABIC \s 1 </w:instrText>
      </w:r>
      <w:r w:rsidR="004D7B97">
        <w:rPr>
          <w:i/>
          <w:iCs/>
        </w:rPr>
        <w:fldChar w:fldCharType="separate"/>
      </w:r>
      <w:r w:rsidR="00885DE4">
        <w:rPr>
          <w:i/>
          <w:iCs/>
          <w:noProof/>
        </w:rPr>
        <w:t>4</w:t>
      </w:r>
      <w:r w:rsidR="004D7B97">
        <w:rPr>
          <w:i/>
          <w:iCs/>
        </w:rPr>
        <w:fldChar w:fldCharType="end"/>
      </w:r>
      <w:bookmarkEnd w:id="259"/>
      <w:r w:rsidRPr="00BC5DE4">
        <w:rPr>
          <w:i/>
          <w:iCs/>
        </w:rPr>
        <w:t xml:space="preserve"> Top two miRNA panels for determining PAH in </w:t>
      </w:r>
      <w:proofErr w:type="spellStart"/>
      <w:r w:rsidRPr="00BC5DE4">
        <w:rPr>
          <w:i/>
          <w:iCs/>
        </w:rPr>
        <w:t>SSc</w:t>
      </w:r>
      <w:proofErr w:type="spellEnd"/>
      <w:r w:rsidRPr="00BC5DE4">
        <w:rPr>
          <w:i/>
          <w:iCs/>
        </w:rPr>
        <w:t>.</w:t>
      </w:r>
      <w:bookmarkEnd w:id="260"/>
      <w:r w:rsidR="00BC5DE4" w:rsidRPr="00BC5DE4">
        <w:rPr>
          <w:i/>
          <w:iCs/>
        </w:rPr>
        <w:t xml:space="preserve"> Performance metrics are shown as the mean and, in brackets, standard deviation from the cross-validation.</w:t>
      </w:r>
      <w:bookmarkEnd w:id="261"/>
    </w:p>
    <w:p w14:paraId="643BD767" w14:textId="77777777" w:rsidR="00E4064F" w:rsidRPr="003137C7" w:rsidRDefault="00E4064F" w:rsidP="00E4064F"/>
    <w:p w14:paraId="66C37843" w14:textId="77777777" w:rsidR="00E4064F" w:rsidRPr="00AA737C" w:rsidRDefault="00E4064F" w:rsidP="00E4064F">
      <w:pPr>
        <w:pStyle w:val="Heading2"/>
        <w:numPr>
          <w:ilvl w:val="1"/>
          <w:numId w:val="7"/>
        </w:numPr>
        <w:spacing w:before="120" w:after="120"/>
      </w:pPr>
      <w:bookmarkStart w:id="262" w:name="_Toc60773941"/>
      <w:r>
        <w:t>Comparison of Biomarker Performance</w:t>
      </w:r>
      <w:bookmarkEnd w:id="262"/>
    </w:p>
    <w:p w14:paraId="73E9871E" w14:textId="77777777" w:rsidR="00E4064F" w:rsidRDefault="00E4064F" w:rsidP="00E4064F"/>
    <w:p w14:paraId="60F16F80" w14:textId="379EDAEB" w:rsidR="00C27B25" w:rsidRDefault="00E4064F" w:rsidP="00E4064F">
      <w:pPr>
        <w:pStyle w:val="Body"/>
      </w:pPr>
      <w:r>
        <w:t>To</w:t>
      </w:r>
      <w:r w:rsidRPr="0041708A">
        <w:t xml:space="preserve"> compare the diagnostic </w:t>
      </w:r>
      <w:r>
        <w:t xml:space="preserve">performance of the panels as </w:t>
      </w:r>
      <w:r w:rsidRPr="0041708A">
        <w:t>biomarker</w:t>
      </w:r>
      <w:r>
        <w:t>s of PAH</w:t>
      </w:r>
      <w:r w:rsidRPr="0041708A">
        <w:t xml:space="preserve"> ROC curves </w:t>
      </w:r>
      <w:r>
        <w:t xml:space="preserve">for both the </w:t>
      </w:r>
      <w:proofErr w:type="spellStart"/>
      <w:r>
        <w:t>Rpart</w:t>
      </w:r>
      <w:proofErr w:type="spellEnd"/>
      <w:r>
        <w:t xml:space="preserve"> decision tree and the top ROC threshold panel of 3 miRNAs were built. To demonstrate the added performance in a panel the constitutive miRNAs for each panel have been drawn along with </w:t>
      </w:r>
      <w:proofErr w:type="spellStart"/>
      <w:r>
        <w:t>NTproBNP</w:t>
      </w:r>
      <w:proofErr w:type="spellEnd"/>
      <w:r>
        <w:t xml:space="preserve"> as a reference, </w:t>
      </w:r>
      <w:r>
        <w:fldChar w:fldCharType="begin"/>
      </w:r>
      <w:r>
        <w:instrText xml:space="preserve"> REF _Ref353881734 \h </w:instrText>
      </w:r>
      <w:r>
        <w:fldChar w:fldCharType="separate"/>
      </w:r>
      <w:r w:rsidR="00885DE4">
        <w:t xml:space="preserve">Figure </w:t>
      </w:r>
      <w:r w:rsidR="00885DE4">
        <w:rPr>
          <w:noProof/>
        </w:rPr>
        <w:t>5</w:t>
      </w:r>
      <w:r w:rsidR="00885DE4">
        <w:noBreakHyphen/>
      </w:r>
      <w:r w:rsidR="00885DE4">
        <w:rPr>
          <w:noProof/>
        </w:rPr>
        <w:t>2</w:t>
      </w:r>
      <w:r>
        <w:fldChar w:fldCharType="end"/>
      </w:r>
      <w:r>
        <w:t>.</w:t>
      </w:r>
      <w:r w:rsidRPr="005E2115">
        <w:t xml:space="preserve"> </w:t>
      </w:r>
    </w:p>
    <w:p w14:paraId="4F10E096" w14:textId="77777777" w:rsidR="00C27B25" w:rsidRDefault="00C27B25">
      <w:pPr>
        <w:rPr>
          <w:rFonts w:ascii="TUOS Blake" w:eastAsia="TUOS Blake" w:hAnsi="TUOS Blake" w:cs="TUOS Blake"/>
          <w:color w:val="000000"/>
          <w:bdr w:val="nil"/>
        </w:rPr>
      </w:pPr>
      <w:r>
        <w:br w:type="page"/>
      </w:r>
    </w:p>
    <w:p w14:paraId="294F6708" w14:textId="0D505E6A" w:rsidR="00E4064F" w:rsidRDefault="00E4064F" w:rsidP="00E4064F">
      <w:pPr>
        <w:pStyle w:val="Body"/>
      </w:pPr>
      <w:r>
        <w:rPr>
          <w:noProof/>
          <w:lang w:val="en-US"/>
        </w:rPr>
        <w:lastRenderedPageBreak/>
        <w:drawing>
          <wp:inline distT="0" distB="0" distL="0" distR="0" wp14:anchorId="74D1ED57" wp14:editId="348B0703">
            <wp:extent cx="5259705" cy="2704074"/>
            <wp:effectExtent l="0" t="0" r="0" b="0"/>
            <wp:docPr id="81" name="Picture 81" descr="Macintosh HD:Users:jamesiremonger:Dropbox:MPhil:Thesis:R:Graphs:SSc RO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amesiremonger:Dropbox:MPhil:Thesis:R:Graphs:SSc ROCs.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7487"/>
                    <a:stretch/>
                  </pic:blipFill>
                  <pic:spPr bwMode="auto">
                    <a:xfrm>
                      <a:off x="0" y="0"/>
                      <a:ext cx="5259705" cy="27040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30561A" w14:textId="7F7E99B0" w:rsidR="00E4064F" w:rsidRDefault="00E4064F" w:rsidP="00E4064F">
      <w:pPr>
        <w:pStyle w:val="Caption"/>
      </w:pPr>
      <w:bookmarkStart w:id="263" w:name="_Ref353881734"/>
      <w:bookmarkStart w:id="264" w:name="_Toc354233085"/>
      <w:bookmarkStart w:id="265" w:name="_Toc60597212"/>
      <w:r>
        <w:t xml:space="preserve">Figure </w:t>
      </w:r>
      <w:r w:rsidR="00864CF4">
        <w:fldChar w:fldCharType="begin"/>
      </w:r>
      <w:r w:rsidR="00864CF4">
        <w:instrText xml:space="preserve"> STYLEREF 1 \s </w:instrText>
      </w:r>
      <w:r w:rsidR="00864CF4">
        <w:fldChar w:fldCharType="separate"/>
      </w:r>
      <w:r w:rsidR="00885DE4">
        <w:rPr>
          <w:noProof/>
        </w:rPr>
        <w:t>5</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2</w:t>
      </w:r>
      <w:r w:rsidR="00864CF4">
        <w:fldChar w:fldCharType="end"/>
      </w:r>
      <w:bookmarkEnd w:id="263"/>
      <w:r>
        <w:t xml:space="preserve"> ROC curves for top ROC threshold panel, </w:t>
      </w:r>
      <w:proofErr w:type="spellStart"/>
      <w:r>
        <w:t>Rpart</w:t>
      </w:r>
      <w:proofErr w:type="spellEnd"/>
      <w:r>
        <w:t xml:space="preserve"> model in black, their constituent miRNAs and </w:t>
      </w:r>
      <w:proofErr w:type="spellStart"/>
      <w:r>
        <w:t>NTproBNP</w:t>
      </w:r>
      <w:proofErr w:type="spellEnd"/>
      <w:r>
        <w:t xml:space="preserve"> reference in purple.</w:t>
      </w:r>
      <w:bookmarkEnd w:id="264"/>
      <w:bookmarkEnd w:id="265"/>
    </w:p>
    <w:p w14:paraId="67640620" w14:textId="77777777" w:rsidR="00E4064F" w:rsidRPr="0033087D" w:rsidRDefault="00E4064F" w:rsidP="00E4064F">
      <w:pPr>
        <w:pStyle w:val="Caption"/>
      </w:pPr>
    </w:p>
    <w:p w14:paraId="034BDBEF" w14:textId="77777777" w:rsidR="00E4064F" w:rsidRPr="00AA737C" w:rsidRDefault="00E4064F" w:rsidP="00E4064F">
      <w:pPr>
        <w:pStyle w:val="Heading2"/>
        <w:numPr>
          <w:ilvl w:val="1"/>
          <w:numId w:val="7"/>
        </w:numPr>
        <w:spacing w:before="120" w:after="120"/>
      </w:pPr>
      <w:bookmarkStart w:id="266" w:name="_Toc60773942"/>
      <w:r>
        <w:t>Discussion</w:t>
      </w:r>
      <w:bookmarkEnd w:id="266"/>
    </w:p>
    <w:p w14:paraId="10411F4B" w14:textId="332A296A" w:rsidR="00E4064F" w:rsidRDefault="00E4064F" w:rsidP="00E4064F">
      <w:pPr>
        <w:pStyle w:val="Body"/>
      </w:pPr>
      <w:r>
        <w:t xml:space="preserve">This chapter has applied the analytical method demonstrated in the larger and more phenotypically diverse IPAH HV cohort from chapter </w:t>
      </w:r>
      <w:r>
        <w:fldChar w:fldCharType="begin"/>
      </w:r>
      <w:r>
        <w:instrText xml:space="preserve"> REF _Ref353882125 \r \h </w:instrText>
      </w:r>
      <w:r>
        <w:fldChar w:fldCharType="separate"/>
      </w:r>
      <w:r w:rsidR="00885DE4">
        <w:t>0</w:t>
      </w:r>
      <w:r>
        <w:fldChar w:fldCharType="end"/>
      </w:r>
      <w:r>
        <w:t xml:space="preserve">. The panels built by features selected by Boruta alone were successfully built into panels with superior performance to an individual miRNA and </w:t>
      </w:r>
      <w:proofErr w:type="spellStart"/>
      <w:r>
        <w:t>NTproBNP</w:t>
      </w:r>
      <w:proofErr w:type="spellEnd"/>
      <w:r>
        <w:t>.</w:t>
      </w:r>
    </w:p>
    <w:p w14:paraId="2D5A2DF5" w14:textId="327CEA2F" w:rsidR="00E4064F" w:rsidRDefault="00E4064F" w:rsidP="00E4064F">
      <w:pPr>
        <w:pStyle w:val="Body"/>
      </w:pPr>
      <w:r>
        <w:t xml:space="preserve">A direct comparison between the miRNA panel and DETECT score would have been preferable. Unfortunately, a DETECT score was not available for patients within this study as the Sheffield patient biobank data does not include the serum levels for </w:t>
      </w:r>
      <w:proofErr w:type="spellStart"/>
      <w:r>
        <w:t>NTproBNP</w:t>
      </w:r>
      <w:proofErr w:type="spellEnd"/>
      <w:r>
        <w:t xml:space="preserve">, ACA, or urate nor the required echocardiograph measures. However, the 3-miRNA panel exceeds the overall positive predictive value from 0.35 to 0.93 of the DETECT study with only a minimal reduction in the negative predictive value 0.98 to 0.86 </w:t>
      </w:r>
      <w:r>
        <w:fldChar w:fldCharType="begin"/>
      </w:r>
      <w:r w:rsidR="004E19A5">
        <w:instrText xml:space="preserve"> ADDIN PAPERS2_CITATIONS &lt;citation&gt;&lt;priority&gt;0&lt;/priority&gt;&lt;uuid&gt;BA75AA90-871C-481C-B1F1-5FD5701F2C21&lt;/uuid&gt;&lt;publications&gt;&lt;publication&gt;&lt;subtype&gt;400&lt;/subtype&gt;&lt;title&gt;23687283&lt;/title&gt;&lt;url&gt;http://ard.bmj.com/lookup/doi/10.1136/annrheumdis-2013-203301&lt;/url&gt;&lt;volume&gt;73&lt;/volume&gt;&lt;publication_date&gt;99201406061200000000222000&lt;/publication_date&gt;&lt;uuid&gt;33D95E50-9DFE-4DA7-8336-4BDE87ADFCA7&lt;/uuid&gt;&lt;type&gt;400&lt;/type&gt;&lt;number&gt;7&lt;/number&gt;&lt;doi&gt;10.1136/annrheumdis-2013-203301&lt;/doi&gt;&lt;institution&gt;Cardiology Department, Royal Free Hospital, London, UK.&lt;/institution&gt;&lt;startpage&gt;1340&lt;/startpage&gt;&lt;endpage&gt;1349&lt;/endpage&gt;&lt;bundle&gt;&lt;publication&gt;&lt;title&gt;Annals of the Rheumatic Diseases&lt;/title&gt;&lt;uuid&gt;FAA9DB70-BB5F-4454-90D8-261C3F4A522D&lt;/uuid&gt;&lt;subtype&gt;-100&lt;/subtype&gt;&lt;publisher&gt;BMJ Publishing Group Ltd&lt;/publisher&gt;&lt;type&gt;-100&lt;/type&gt;&lt;/publication&gt;&lt;/bundle&gt;&lt;authors&gt;&lt;author&gt;&lt;lastName&gt;Coghlan&lt;/lastName&gt;&lt;firstName&gt;J&lt;/firstName&gt;&lt;middleNames&gt;Gerry&lt;/middleNames&gt;&lt;/author&gt;&lt;author&gt;&lt;lastName&gt;Denton&lt;/lastName&gt;&lt;firstName&gt;Christopher&lt;/firstName&gt;&lt;middleNames&gt;P&lt;/middleNames&gt;&lt;/author&gt;&lt;author&gt;&lt;lastName&gt;Grünig&lt;/lastName&gt;&lt;firstName&gt;Ekkehard&lt;/firstName&gt;&lt;/author&gt;&lt;author&gt;&lt;lastName&gt;Bonderman&lt;/lastName&gt;&lt;firstName&gt;Diana&lt;/firstName&gt;&lt;/author&gt;&lt;author&gt;&lt;lastName&gt;Distler&lt;/lastName&gt;&lt;firstName&gt;Oliver&lt;/firstName&gt;&lt;/author&gt;&lt;author&gt;&lt;lastName&gt;Khanna&lt;/lastName&gt;&lt;firstName&gt;Dinesh&lt;/firstName&gt;&lt;/author&gt;&lt;author&gt;&lt;lastName&gt;Müller-Ladner&lt;/lastName&gt;&lt;firstName&gt;Ulf&lt;/firstName&gt;&lt;/author&gt;&lt;author&gt;&lt;lastName&gt;Pope&lt;/lastName&gt;&lt;firstName&gt;Janet&lt;/firstName&gt;&lt;middleNames&gt;E&lt;/middleNames&gt;&lt;/author&gt;&lt;author&gt;&lt;lastName&gt;Vonk&lt;/lastName&gt;&lt;firstName&gt;Madelon&lt;/firstName&gt;&lt;middleNames&gt;C&lt;/middleNames&gt;&lt;/author&gt;&lt;author&gt;&lt;lastName&gt;Doelberg&lt;/lastName&gt;&lt;firstName&gt;Martin&lt;/firstName&gt;&lt;/author&gt;&lt;author&gt;&lt;lastName&gt;Chadha-Boreham&lt;/lastName&gt;&lt;firstName&gt;Harbajan&lt;/firstName&gt;&lt;/author&gt;&lt;author&gt;&lt;lastName&gt;Heinzl&lt;/lastName&gt;&lt;firstName&gt;Harald&lt;/firstName&gt;&lt;/author&gt;&lt;author&gt;&lt;lastName&gt;Rosenberg&lt;/lastName&gt;&lt;firstName&gt;Daniel&lt;/firstName&gt;&lt;middleNames&gt;M&lt;/middleNames&gt;&lt;/author&gt;&lt;author&gt;&lt;lastName&gt;McLaughlin&lt;/lastName&gt;&lt;firstName&gt;Vallerie&lt;/firstName&gt;&lt;middleNames&gt;V&lt;/middleNames&gt;&lt;/author&gt;&lt;author&gt;&lt;lastName&gt;Seibold&lt;/lastName&gt;&lt;firstName&gt;James&lt;/firstName&gt;&lt;middleNames&gt;R&lt;/middleNames&gt;&lt;/author&gt;&lt;author&gt;&lt;lastName&gt;on behalf of the DETECT study group&lt;/lastName&gt;&lt;/author&gt;&lt;/authors&gt;&lt;/publication&gt;&lt;/publications&gt;&lt;cites&gt;&lt;/cites&gt;&lt;/citation&gt;</w:instrText>
      </w:r>
      <w:r>
        <w:fldChar w:fldCharType="separate"/>
      </w:r>
      <w:r w:rsidR="00095567">
        <w:rPr>
          <w:rFonts w:eastAsiaTheme="minorEastAsia"/>
          <w:lang w:val="en-US"/>
        </w:rPr>
        <w:t>(Coghlan et al., 2014)</w:t>
      </w:r>
      <w:r>
        <w:fldChar w:fldCharType="end"/>
      </w:r>
      <w:r>
        <w:t xml:space="preserve">.  </w:t>
      </w:r>
    </w:p>
    <w:p w14:paraId="77A1D2D6" w14:textId="77777777" w:rsidR="00E4064F" w:rsidRPr="00FA2CF2" w:rsidRDefault="00E4064F" w:rsidP="00E4064F">
      <w:pPr>
        <w:pStyle w:val="Body"/>
      </w:pPr>
    </w:p>
    <w:p w14:paraId="16225CD9" w14:textId="77777777" w:rsidR="00E4064F" w:rsidRDefault="00E4064F" w:rsidP="00E4064F">
      <w:pPr>
        <w:pStyle w:val="Heading1"/>
        <w:numPr>
          <w:ilvl w:val="0"/>
          <w:numId w:val="7"/>
        </w:numPr>
        <w:spacing w:before="120" w:after="120"/>
      </w:pPr>
      <w:bookmarkStart w:id="267" w:name="_Toc60773943"/>
      <w:r>
        <w:lastRenderedPageBreak/>
        <w:t>Validation of Microarray Results by QPCR</w:t>
      </w:r>
      <w:bookmarkEnd w:id="267"/>
    </w:p>
    <w:p w14:paraId="3F50A31C" w14:textId="77777777" w:rsidR="00E4064F" w:rsidRPr="00FA2CF2" w:rsidRDefault="00E4064F" w:rsidP="00E4064F"/>
    <w:p w14:paraId="138E3E71" w14:textId="77777777" w:rsidR="00E4064F" w:rsidRDefault="00E4064F" w:rsidP="00E4064F">
      <w:pPr>
        <w:pStyle w:val="Body"/>
      </w:pPr>
      <w:r>
        <w:t xml:space="preserve">Validation by an independent analytical technique is necessary to verify microarray findings as sensitivity and specificity are sacrificed in order to multiplex. This can lead to an increase in type I and type II errors. Additionally, the design of the of the miRNA microarray probes is unique to the platform and cannot be replicated, meaning that whilst a miRNA might be accurately profiled by microarray it may not be accurately determined by an alternate method. Validation by miRNA QPCR is a suitable technique for validation of miRNA microarray results. </w:t>
      </w:r>
    </w:p>
    <w:p w14:paraId="52FE43A6" w14:textId="77777777" w:rsidR="00E4064F" w:rsidRDefault="00E4064F" w:rsidP="00E4064F">
      <w:pPr>
        <w:pStyle w:val="Body"/>
      </w:pPr>
    </w:p>
    <w:p w14:paraId="7F7625E5" w14:textId="77777777" w:rsidR="00E4064F" w:rsidRDefault="00E4064F" w:rsidP="00E4064F">
      <w:pPr>
        <w:pStyle w:val="Body"/>
      </w:pPr>
      <w:r>
        <w:t xml:space="preserve">Due to the lower availability of samples from patients </w:t>
      </w:r>
      <w:proofErr w:type="spellStart"/>
      <w:r>
        <w:t>SSc</w:t>
      </w:r>
      <w:proofErr w:type="spellEnd"/>
      <w:r>
        <w:t xml:space="preserve"> with and without PAH </w:t>
      </w:r>
      <w:proofErr w:type="gramStart"/>
      <w:r>
        <w:t>miRNA’s</w:t>
      </w:r>
      <w:proofErr w:type="gramEnd"/>
      <w:r>
        <w:t xml:space="preserve"> were first checked and validated in a small verification cohort of healthy volunteers and IPAH patients.</w:t>
      </w:r>
    </w:p>
    <w:p w14:paraId="7298C64A" w14:textId="77777777" w:rsidR="00E4064F" w:rsidRDefault="00E4064F" w:rsidP="00E4064F">
      <w:pPr>
        <w:pStyle w:val="Body"/>
      </w:pPr>
      <w:r w:rsidRPr="00004BB1">
        <w:t xml:space="preserve"> </w:t>
      </w:r>
    </w:p>
    <w:p w14:paraId="69FBE7B6" w14:textId="77777777" w:rsidR="00E4064F" w:rsidRDefault="00E4064F" w:rsidP="00E4064F">
      <w:pPr>
        <w:pStyle w:val="Heading2"/>
        <w:numPr>
          <w:ilvl w:val="1"/>
          <w:numId w:val="7"/>
        </w:numPr>
        <w:spacing w:before="120" w:after="120"/>
      </w:pPr>
      <w:bookmarkStart w:id="268" w:name="_Ref524185900"/>
      <w:bookmarkStart w:id="269" w:name="_Toc60773944"/>
      <w:r>
        <w:t xml:space="preserve">Initial MiRNAs for Selected for </w:t>
      </w:r>
      <w:bookmarkEnd w:id="268"/>
      <w:r>
        <w:t>Verification</w:t>
      </w:r>
      <w:bookmarkEnd w:id="269"/>
    </w:p>
    <w:p w14:paraId="7FF5216E" w14:textId="5062191C" w:rsidR="00E4064F" w:rsidRDefault="00E4064F" w:rsidP="00E4064F">
      <w:pPr>
        <w:pStyle w:val="Body"/>
      </w:pPr>
      <w:r w:rsidRPr="00E372D0">
        <w:t xml:space="preserve">MiRNAs </w:t>
      </w:r>
      <w:r>
        <w:t>from</w:t>
      </w:r>
      <w:r w:rsidRPr="00E372D0">
        <w:t xml:space="preserve"> the top</w:t>
      </w:r>
      <w:r>
        <w:t xml:space="preserve"> two ROC based</w:t>
      </w:r>
      <w:r w:rsidRPr="00E372D0">
        <w:t xml:space="preserve"> panel</w:t>
      </w:r>
      <w:r>
        <w:t>s</w:t>
      </w:r>
      <w:r w:rsidRPr="00E372D0">
        <w:t xml:space="preserve"> determined from the miRNA microarray results for IPAH from HV and </w:t>
      </w:r>
      <w:proofErr w:type="spellStart"/>
      <w:r w:rsidRPr="00E372D0">
        <w:t>SSc</w:t>
      </w:r>
      <w:proofErr w:type="spellEnd"/>
      <w:r w:rsidRPr="00E372D0">
        <w:t xml:space="preserve">-PAH from </w:t>
      </w:r>
      <w:proofErr w:type="spellStart"/>
      <w:r w:rsidRPr="00E372D0">
        <w:t>SSc</w:t>
      </w:r>
      <w:proofErr w:type="spellEnd"/>
      <w:r w:rsidRPr="00E372D0">
        <w:t xml:space="preserve"> was chosen for validation</w:t>
      </w:r>
      <w:r>
        <w:t xml:space="preserve"> and detail in </w:t>
      </w:r>
      <w:r>
        <w:fldChar w:fldCharType="begin"/>
      </w:r>
      <w:r>
        <w:instrText xml:space="preserve"> REF _Ref520635002 \h </w:instrText>
      </w:r>
      <w:r>
        <w:fldChar w:fldCharType="separate"/>
      </w:r>
      <w:r w:rsidR="00885DE4">
        <w:t xml:space="preserve">Table </w:t>
      </w:r>
      <w:r w:rsidR="00885DE4">
        <w:rPr>
          <w:noProof/>
        </w:rPr>
        <w:t>6</w:t>
      </w:r>
      <w:r w:rsidR="00885DE4">
        <w:noBreakHyphen/>
      </w:r>
      <w:r w:rsidR="00885DE4">
        <w:rPr>
          <w:noProof/>
        </w:rPr>
        <w:t>1</w:t>
      </w:r>
      <w:r>
        <w:fldChar w:fldCharType="end"/>
      </w:r>
      <w:r w:rsidRPr="00E372D0">
        <w:t>.</w:t>
      </w:r>
      <w:r w:rsidRPr="00641989">
        <w:t xml:space="preserve"> </w:t>
      </w:r>
    </w:p>
    <w:p w14:paraId="7A1083E0" w14:textId="4D238B39" w:rsidR="00911921" w:rsidRDefault="00911921">
      <w:pPr>
        <w:rPr>
          <w:rFonts w:ascii="TUOS Blake" w:eastAsia="TUOS Blake" w:hAnsi="TUOS Blake" w:cs="TUOS Blake"/>
          <w:color w:val="000000"/>
          <w:bdr w:val="nil"/>
        </w:rPr>
      </w:pPr>
      <w:r>
        <w:br w:type="page"/>
      </w:r>
    </w:p>
    <w:tbl>
      <w:tblPr>
        <w:tblStyle w:val="DefaultTableStyle"/>
        <w:tblW w:w="5748" w:type="dxa"/>
        <w:jc w:val="center"/>
        <w:tblBorders>
          <w:insideV w:val="none" w:sz="0" w:space="0" w:color="auto"/>
        </w:tblBorders>
        <w:tblLayout w:type="fixed"/>
        <w:tblLook w:val="0660" w:firstRow="1" w:lastRow="1" w:firstColumn="0" w:lastColumn="0" w:noHBand="1" w:noVBand="1"/>
      </w:tblPr>
      <w:tblGrid>
        <w:gridCol w:w="3828"/>
        <w:gridCol w:w="1920"/>
      </w:tblGrid>
      <w:tr w:rsidR="00E4064F" w:rsidRPr="007F7A1E" w14:paraId="20F6EA12" w14:textId="77777777" w:rsidTr="000D1B2E">
        <w:trPr>
          <w:cnfStyle w:val="100000000000" w:firstRow="1" w:lastRow="0" w:firstColumn="0" w:lastColumn="0" w:oddVBand="0" w:evenVBand="0" w:oddHBand="0" w:evenHBand="0" w:firstRowFirstColumn="0" w:firstRowLastColumn="0" w:lastRowFirstColumn="0" w:lastRowLastColumn="0"/>
          <w:trHeight w:val="746"/>
          <w:jc w:val="center"/>
        </w:trPr>
        <w:tc>
          <w:tcPr>
            <w:tcW w:w="3828" w:type="dxa"/>
            <w:tcBorders>
              <w:top w:val="single" w:sz="4" w:space="0" w:color="auto"/>
              <w:bottom w:val="single" w:sz="4" w:space="0" w:color="auto"/>
            </w:tcBorders>
            <w:vAlign w:val="center"/>
          </w:tcPr>
          <w:p w14:paraId="66A01F95" w14:textId="77777777" w:rsidR="00E4064F" w:rsidRPr="007F7A1E" w:rsidRDefault="00E4064F" w:rsidP="000D1B2E">
            <w:pPr>
              <w:pStyle w:val="BodyText1"/>
              <w:jc w:val="center"/>
              <w:rPr>
                <w:rFonts w:ascii="Times New Roman" w:hAnsi="Times New Roman" w:cs="Times New Roman"/>
                <w:sz w:val="22"/>
              </w:rPr>
            </w:pPr>
            <w:r>
              <w:rPr>
                <w:rFonts w:ascii="Times New Roman" w:hAnsi="Times New Roman" w:cs="Times New Roman"/>
                <w:sz w:val="22"/>
              </w:rPr>
              <w:lastRenderedPageBreak/>
              <w:t>miRNA</w:t>
            </w:r>
          </w:p>
        </w:tc>
        <w:tc>
          <w:tcPr>
            <w:tcW w:w="1920" w:type="dxa"/>
            <w:tcBorders>
              <w:top w:val="single" w:sz="4" w:space="0" w:color="auto"/>
              <w:bottom w:val="single" w:sz="4" w:space="0" w:color="auto"/>
            </w:tcBorders>
            <w:vAlign w:val="center"/>
          </w:tcPr>
          <w:p w14:paraId="27E89709" w14:textId="77777777" w:rsidR="00E4064F" w:rsidRDefault="00E4064F" w:rsidP="000D1B2E">
            <w:pPr>
              <w:pStyle w:val="BodyText1"/>
              <w:jc w:val="center"/>
              <w:rPr>
                <w:rFonts w:ascii="Times New Roman" w:hAnsi="Times New Roman" w:cs="Times New Roman"/>
                <w:sz w:val="22"/>
              </w:rPr>
            </w:pPr>
            <w:r>
              <w:rPr>
                <w:rFonts w:ascii="Times New Roman" w:hAnsi="Times New Roman" w:cs="Times New Roman"/>
                <w:sz w:val="22"/>
              </w:rPr>
              <w:t>Disease Panel</w:t>
            </w:r>
          </w:p>
        </w:tc>
      </w:tr>
      <w:tr w:rsidR="00E4064F" w:rsidRPr="007F7A1E" w14:paraId="3CB7B09E" w14:textId="77777777" w:rsidTr="000D1B2E">
        <w:trPr>
          <w:trHeight w:val="613"/>
          <w:jc w:val="center"/>
        </w:trPr>
        <w:tc>
          <w:tcPr>
            <w:tcW w:w="3828" w:type="dxa"/>
            <w:tcBorders>
              <w:top w:val="single" w:sz="4" w:space="0" w:color="auto"/>
            </w:tcBorders>
            <w:vAlign w:val="center"/>
          </w:tcPr>
          <w:p w14:paraId="3B7E780D" w14:textId="77777777" w:rsidR="00E4064F" w:rsidRPr="00D15175" w:rsidRDefault="00E4064F" w:rsidP="000D1B2E">
            <w:pPr>
              <w:pStyle w:val="BodyText1"/>
              <w:rPr>
                <w:rFonts w:ascii="Times New Roman" w:hAnsi="Times New Roman"/>
              </w:rPr>
            </w:pPr>
            <w:r>
              <w:rPr>
                <w:rFonts w:ascii="Times New Roman" w:hAnsi="Times New Roman"/>
              </w:rPr>
              <w:t>miR-331-3p</w:t>
            </w:r>
          </w:p>
        </w:tc>
        <w:tc>
          <w:tcPr>
            <w:tcW w:w="1920" w:type="dxa"/>
            <w:tcBorders>
              <w:top w:val="single" w:sz="4" w:space="0" w:color="auto"/>
            </w:tcBorders>
            <w:vAlign w:val="center"/>
          </w:tcPr>
          <w:p w14:paraId="7DD05772" w14:textId="77777777" w:rsidR="00E4064F" w:rsidRPr="00D15175" w:rsidRDefault="00E4064F" w:rsidP="000D1B2E">
            <w:pPr>
              <w:pStyle w:val="BodyText1"/>
              <w:jc w:val="center"/>
              <w:rPr>
                <w:rFonts w:ascii="Times New Roman" w:hAnsi="Times New Roman" w:cs="Times New Roman"/>
              </w:rPr>
            </w:pPr>
            <w:r>
              <w:rPr>
                <w:rFonts w:ascii="Times New Roman" w:hAnsi="Times New Roman" w:cs="Times New Roman"/>
              </w:rPr>
              <w:t>IPAH</w:t>
            </w:r>
          </w:p>
        </w:tc>
      </w:tr>
      <w:tr w:rsidR="00E4064F" w:rsidRPr="007F7A1E" w14:paraId="703F88B9" w14:textId="77777777" w:rsidTr="000D1B2E">
        <w:trPr>
          <w:jc w:val="center"/>
        </w:trPr>
        <w:tc>
          <w:tcPr>
            <w:tcW w:w="3828" w:type="dxa"/>
            <w:shd w:val="clear" w:color="auto" w:fill="auto"/>
            <w:vAlign w:val="center"/>
          </w:tcPr>
          <w:p w14:paraId="6DFF6F25" w14:textId="77777777" w:rsidR="00E4064F" w:rsidRPr="00D15175" w:rsidRDefault="00E4064F" w:rsidP="000D1B2E">
            <w:pPr>
              <w:pStyle w:val="BodyText1"/>
              <w:rPr>
                <w:rFonts w:ascii="Times New Roman" w:hAnsi="Times New Roman"/>
                <w:b/>
              </w:rPr>
            </w:pPr>
            <w:r>
              <w:rPr>
                <w:rFonts w:ascii="Times New Roman" w:hAnsi="Times New Roman"/>
              </w:rPr>
              <w:t>miR-451a</w:t>
            </w:r>
          </w:p>
        </w:tc>
        <w:tc>
          <w:tcPr>
            <w:tcW w:w="1920" w:type="dxa"/>
            <w:shd w:val="clear" w:color="auto" w:fill="auto"/>
            <w:vAlign w:val="center"/>
          </w:tcPr>
          <w:p w14:paraId="7B57BECC" w14:textId="77777777" w:rsidR="00E4064F" w:rsidRPr="001E23AD" w:rsidRDefault="00E4064F" w:rsidP="000D1B2E">
            <w:pPr>
              <w:pStyle w:val="BodyText1"/>
              <w:jc w:val="center"/>
              <w:rPr>
                <w:rFonts w:ascii="Times New Roman" w:hAnsi="Times New Roman" w:cs="Times New Roman"/>
              </w:rPr>
            </w:pPr>
            <w:r>
              <w:rPr>
                <w:rFonts w:ascii="Times New Roman" w:hAnsi="Times New Roman" w:cs="Times New Roman"/>
              </w:rPr>
              <w:t>IPAH</w:t>
            </w:r>
          </w:p>
        </w:tc>
      </w:tr>
      <w:tr w:rsidR="00E4064F" w:rsidRPr="007F7A1E" w14:paraId="40A1D4C0" w14:textId="77777777" w:rsidTr="000D1B2E">
        <w:trPr>
          <w:jc w:val="center"/>
        </w:trPr>
        <w:tc>
          <w:tcPr>
            <w:tcW w:w="3828" w:type="dxa"/>
            <w:shd w:val="clear" w:color="auto" w:fill="auto"/>
            <w:vAlign w:val="center"/>
          </w:tcPr>
          <w:p w14:paraId="506D21B5" w14:textId="77777777" w:rsidR="00E4064F" w:rsidRPr="001E23AD" w:rsidRDefault="00E4064F" w:rsidP="000D1B2E">
            <w:pPr>
              <w:pStyle w:val="BodyText1"/>
              <w:rPr>
                <w:rFonts w:ascii="Times New Roman" w:hAnsi="Times New Roman"/>
              </w:rPr>
            </w:pPr>
            <w:r>
              <w:rPr>
                <w:rFonts w:ascii="Times New Roman" w:hAnsi="Times New Roman"/>
              </w:rPr>
              <w:t>miR-485-3p</w:t>
            </w:r>
          </w:p>
        </w:tc>
        <w:tc>
          <w:tcPr>
            <w:tcW w:w="1920" w:type="dxa"/>
            <w:shd w:val="clear" w:color="auto" w:fill="auto"/>
            <w:vAlign w:val="center"/>
          </w:tcPr>
          <w:p w14:paraId="05B30A61" w14:textId="77777777" w:rsidR="00E4064F" w:rsidRPr="001E23AD" w:rsidRDefault="00E4064F" w:rsidP="000D1B2E">
            <w:pPr>
              <w:pStyle w:val="BodyText1"/>
              <w:jc w:val="center"/>
              <w:rPr>
                <w:rFonts w:ascii="Times New Roman" w:hAnsi="Times New Roman"/>
              </w:rPr>
            </w:pPr>
            <w:proofErr w:type="spellStart"/>
            <w:r w:rsidRPr="001E23AD">
              <w:rPr>
                <w:rFonts w:ascii="Times New Roman" w:hAnsi="Times New Roman"/>
              </w:rPr>
              <w:t>SSc</w:t>
            </w:r>
            <w:proofErr w:type="spellEnd"/>
          </w:p>
        </w:tc>
      </w:tr>
      <w:tr w:rsidR="00E4064F" w:rsidRPr="007F7A1E" w14:paraId="7D84E234" w14:textId="77777777" w:rsidTr="000D1B2E">
        <w:trPr>
          <w:jc w:val="center"/>
        </w:trPr>
        <w:tc>
          <w:tcPr>
            <w:tcW w:w="3828" w:type="dxa"/>
            <w:shd w:val="clear" w:color="auto" w:fill="auto"/>
            <w:vAlign w:val="center"/>
          </w:tcPr>
          <w:p w14:paraId="1B6B955B" w14:textId="77777777" w:rsidR="00E4064F" w:rsidRDefault="00E4064F" w:rsidP="000D1B2E">
            <w:pPr>
              <w:pStyle w:val="BodyText1"/>
              <w:rPr>
                <w:rFonts w:ascii="Times New Roman" w:hAnsi="Times New Roman"/>
                <w:b/>
              </w:rPr>
            </w:pPr>
            <w:r>
              <w:rPr>
                <w:rFonts w:ascii="Times New Roman" w:hAnsi="Times New Roman"/>
              </w:rPr>
              <w:t>miR-584-5p</w:t>
            </w:r>
          </w:p>
        </w:tc>
        <w:tc>
          <w:tcPr>
            <w:tcW w:w="1920" w:type="dxa"/>
            <w:shd w:val="clear" w:color="auto" w:fill="auto"/>
            <w:vAlign w:val="center"/>
          </w:tcPr>
          <w:p w14:paraId="094D821A" w14:textId="77777777" w:rsidR="00E4064F" w:rsidRDefault="00E4064F" w:rsidP="000D1B2E">
            <w:pPr>
              <w:pStyle w:val="BodyText1"/>
              <w:jc w:val="center"/>
              <w:rPr>
                <w:rFonts w:ascii="Times New Roman" w:hAnsi="Times New Roman"/>
                <w:b/>
              </w:rPr>
            </w:pPr>
            <w:proofErr w:type="spellStart"/>
            <w:r>
              <w:rPr>
                <w:rFonts w:ascii="Times New Roman" w:hAnsi="Times New Roman"/>
              </w:rPr>
              <w:t>SSc</w:t>
            </w:r>
            <w:proofErr w:type="spellEnd"/>
          </w:p>
        </w:tc>
      </w:tr>
      <w:tr w:rsidR="00E4064F" w:rsidRPr="007F7A1E" w14:paraId="17E76365" w14:textId="77777777" w:rsidTr="000D1B2E">
        <w:trPr>
          <w:jc w:val="center"/>
        </w:trPr>
        <w:tc>
          <w:tcPr>
            <w:tcW w:w="3828" w:type="dxa"/>
            <w:shd w:val="clear" w:color="auto" w:fill="auto"/>
            <w:vAlign w:val="center"/>
          </w:tcPr>
          <w:p w14:paraId="6DE6DF05" w14:textId="77777777" w:rsidR="00E4064F" w:rsidRPr="001E23AD" w:rsidRDefault="00E4064F" w:rsidP="000D1B2E">
            <w:pPr>
              <w:pStyle w:val="BodyText1"/>
              <w:rPr>
                <w:rFonts w:ascii="Times New Roman" w:hAnsi="Times New Roman"/>
              </w:rPr>
            </w:pPr>
            <w:r w:rsidRPr="001E23AD">
              <w:rPr>
                <w:rFonts w:ascii="Times New Roman" w:hAnsi="Times New Roman"/>
              </w:rPr>
              <w:t>miR-630</w:t>
            </w:r>
          </w:p>
        </w:tc>
        <w:tc>
          <w:tcPr>
            <w:tcW w:w="1920" w:type="dxa"/>
            <w:shd w:val="clear" w:color="auto" w:fill="auto"/>
            <w:vAlign w:val="center"/>
          </w:tcPr>
          <w:p w14:paraId="4D06C604" w14:textId="77777777" w:rsidR="00E4064F" w:rsidRPr="001E23AD" w:rsidRDefault="00E4064F" w:rsidP="000D1B2E">
            <w:pPr>
              <w:pStyle w:val="BodyText1"/>
              <w:jc w:val="center"/>
              <w:rPr>
                <w:rFonts w:ascii="Times New Roman" w:hAnsi="Times New Roman"/>
              </w:rPr>
            </w:pPr>
            <w:r w:rsidRPr="001E23AD">
              <w:rPr>
                <w:rFonts w:ascii="Times New Roman" w:hAnsi="Times New Roman"/>
              </w:rPr>
              <w:t xml:space="preserve">IPAH and </w:t>
            </w:r>
            <w:proofErr w:type="spellStart"/>
            <w:r w:rsidRPr="001E23AD">
              <w:rPr>
                <w:rFonts w:ascii="Times New Roman" w:hAnsi="Times New Roman"/>
              </w:rPr>
              <w:t>SSc</w:t>
            </w:r>
            <w:proofErr w:type="spellEnd"/>
          </w:p>
        </w:tc>
      </w:tr>
      <w:tr w:rsidR="00E4064F" w:rsidRPr="007F7A1E" w14:paraId="22DE7FBF" w14:textId="77777777" w:rsidTr="000D1B2E">
        <w:trPr>
          <w:jc w:val="center"/>
        </w:trPr>
        <w:tc>
          <w:tcPr>
            <w:tcW w:w="3828" w:type="dxa"/>
            <w:shd w:val="clear" w:color="auto" w:fill="auto"/>
            <w:vAlign w:val="center"/>
          </w:tcPr>
          <w:p w14:paraId="22DCC84D" w14:textId="77777777" w:rsidR="00E4064F" w:rsidRPr="001E23AD" w:rsidRDefault="00E4064F" w:rsidP="000D1B2E">
            <w:pPr>
              <w:pStyle w:val="BodyText1"/>
              <w:rPr>
                <w:rFonts w:ascii="Times New Roman" w:hAnsi="Times New Roman"/>
              </w:rPr>
            </w:pPr>
            <w:r>
              <w:rPr>
                <w:rFonts w:ascii="Times New Roman" w:hAnsi="Times New Roman"/>
              </w:rPr>
              <w:t>miR-636</w:t>
            </w:r>
          </w:p>
        </w:tc>
        <w:tc>
          <w:tcPr>
            <w:tcW w:w="1920" w:type="dxa"/>
            <w:shd w:val="clear" w:color="auto" w:fill="auto"/>
            <w:vAlign w:val="center"/>
          </w:tcPr>
          <w:p w14:paraId="0AFCE4B4" w14:textId="77777777" w:rsidR="00E4064F" w:rsidRPr="001E23AD" w:rsidRDefault="00E4064F" w:rsidP="000D1B2E">
            <w:pPr>
              <w:pStyle w:val="BodyText1"/>
              <w:jc w:val="center"/>
              <w:rPr>
                <w:rFonts w:ascii="Times New Roman" w:hAnsi="Times New Roman"/>
              </w:rPr>
            </w:pPr>
            <w:r w:rsidRPr="001E23AD">
              <w:rPr>
                <w:rFonts w:ascii="Times New Roman" w:hAnsi="Times New Roman"/>
              </w:rPr>
              <w:t>IPAH</w:t>
            </w:r>
          </w:p>
        </w:tc>
      </w:tr>
      <w:tr w:rsidR="00E4064F" w:rsidRPr="007F7A1E" w14:paraId="46B47CE5" w14:textId="77777777" w:rsidTr="000D1B2E">
        <w:trPr>
          <w:jc w:val="center"/>
        </w:trPr>
        <w:tc>
          <w:tcPr>
            <w:tcW w:w="3828" w:type="dxa"/>
            <w:shd w:val="clear" w:color="auto" w:fill="auto"/>
            <w:vAlign w:val="center"/>
          </w:tcPr>
          <w:p w14:paraId="4CD77842" w14:textId="77777777" w:rsidR="00E4064F" w:rsidRDefault="00E4064F" w:rsidP="000D1B2E">
            <w:pPr>
              <w:pStyle w:val="BodyText1"/>
              <w:rPr>
                <w:rFonts w:ascii="Times New Roman" w:hAnsi="Times New Roman"/>
              </w:rPr>
            </w:pPr>
            <w:r>
              <w:rPr>
                <w:rFonts w:ascii="Times New Roman" w:hAnsi="Times New Roman"/>
              </w:rPr>
              <w:t>miR-671-5p</w:t>
            </w:r>
          </w:p>
        </w:tc>
        <w:tc>
          <w:tcPr>
            <w:tcW w:w="1920" w:type="dxa"/>
            <w:shd w:val="clear" w:color="auto" w:fill="auto"/>
            <w:vAlign w:val="center"/>
          </w:tcPr>
          <w:p w14:paraId="012D6CD3" w14:textId="77777777" w:rsidR="00E4064F" w:rsidRPr="001E23AD" w:rsidRDefault="00E4064F" w:rsidP="000D1B2E">
            <w:pPr>
              <w:pStyle w:val="BodyText1"/>
              <w:jc w:val="center"/>
              <w:rPr>
                <w:rFonts w:ascii="Times New Roman" w:hAnsi="Times New Roman"/>
              </w:rPr>
            </w:pPr>
            <w:r w:rsidRPr="001E23AD">
              <w:rPr>
                <w:rFonts w:ascii="Times New Roman" w:hAnsi="Times New Roman"/>
              </w:rPr>
              <w:t>IPAH</w:t>
            </w:r>
          </w:p>
        </w:tc>
      </w:tr>
      <w:tr w:rsidR="00E4064F" w:rsidRPr="007F7A1E" w14:paraId="031887D3" w14:textId="77777777" w:rsidTr="000D1B2E">
        <w:trPr>
          <w:jc w:val="center"/>
        </w:trPr>
        <w:tc>
          <w:tcPr>
            <w:tcW w:w="3828" w:type="dxa"/>
            <w:shd w:val="clear" w:color="auto" w:fill="auto"/>
            <w:vAlign w:val="center"/>
          </w:tcPr>
          <w:p w14:paraId="15283769" w14:textId="77777777" w:rsidR="00E4064F" w:rsidRDefault="00E4064F" w:rsidP="000D1B2E">
            <w:pPr>
              <w:pStyle w:val="BodyText1"/>
              <w:rPr>
                <w:rFonts w:ascii="Times New Roman" w:hAnsi="Times New Roman"/>
              </w:rPr>
            </w:pPr>
            <w:r>
              <w:rPr>
                <w:rFonts w:ascii="Times New Roman" w:hAnsi="Times New Roman"/>
              </w:rPr>
              <w:t>miR-877-3p</w:t>
            </w:r>
          </w:p>
        </w:tc>
        <w:tc>
          <w:tcPr>
            <w:tcW w:w="1920" w:type="dxa"/>
            <w:shd w:val="clear" w:color="auto" w:fill="auto"/>
            <w:vAlign w:val="center"/>
          </w:tcPr>
          <w:p w14:paraId="42E26A65" w14:textId="77777777" w:rsidR="00E4064F" w:rsidRPr="001E23AD" w:rsidRDefault="00E4064F" w:rsidP="000D1B2E">
            <w:pPr>
              <w:pStyle w:val="BodyText1"/>
              <w:jc w:val="center"/>
              <w:rPr>
                <w:rFonts w:ascii="Times New Roman" w:hAnsi="Times New Roman"/>
              </w:rPr>
            </w:pPr>
            <w:r w:rsidRPr="001E23AD">
              <w:rPr>
                <w:rFonts w:ascii="Times New Roman" w:hAnsi="Times New Roman"/>
              </w:rPr>
              <w:t>IPAH</w:t>
            </w:r>
          </w:p>
        </w:tc>
      </w:tr>
      <w:tr w:rsidR="00E4064F" w:rsidRPr="007F7A1E" w14:paraId="4B90E467" w14:textId="77777777" w:rsidTr="000D1B2E">
        <w:trPr>
          <w:cnfStyle w:val="010000000000" w:firstRow="0" w:lastRow="1" w:firstColumn="0" w:lastColumn="0" w:oddVBand="0" w:evenVBand="0" w:oddHBand="0" w:evenHBand="0" w:firstRowFirstColumn="0" w:firstRowLastColumn="0" w:lastRowFirstColumn="0" w:lastRowLastColumn="0"/>
          <w:jc w:val="center"/>
        </w:trPr>
        <w:tc>
          <w:tcPr>
            <w:tcW w:w="3828" w:type="dxa"/>
            <w:tcBorders>
              <w:top w:val="none" w:sz="0" w:space="0" w:color="auto"/>
              <w:bottom w:val="single" w:sz="4" w:space="0" w:color="000000"/>
            </w:tcBorders>
            <w:shd w:val="clear" w:color="auto" w:fill="auto"/>
            <w:vAlign w:val="center"/>
          </w:tcPr>
          <w:p w14:paraId="5F1F690A" w14:textId="77777777" w:rsidR="00E4064F" w:rsidRPr="001E23AD" w:rsidRDefault="00E4064F" w:rsidP="000D1B2E">
            <w:pPr>
              <w:pStyle w:val="BodyText1"/>
              <w:rPr>
                <w:rFonts w:ascii="Times New Roman" w:hAnsi="Times New Roman"/>
                <w:b w:val="0"/>
              </w:rPr>
            </w:pPr>
            <w:r w:rsidRPr="001E23AD">
              <w:rPr>
                <w:rFonts w:ascii="Times New Roman" w:hAnsi="Times New Roman"/>
                <w:b w:val="0"/>
              </w:rPr>
              <w:t>miR-3613-3p,</w:t>
            </w:r>
          </w:p>
        </w:tc>
        <w:tc>
          <w:tcPr>
            <w:tcW w:w="1920" w:type="dxa"/>
            <w:tcBorders>
              <w:top w:val="none" w:sz="0" w:space="0" w:color="auto"/>
              <w:bottom w:val="single" w:sz="4" w:space="0" w:color="000000"/>
            </w:tcBorders>
            <w:shd w:val="clear" w:color="auto" w:fill="auto"/>
            <w:vAlign w:val="center"/>
          </w:tcPr>
          <w:p w14:paraId="530D9819" w14:textId="77777777" w:rsidR="00E4064F" w:rsidRPr="001E23AD" w:rsidRDefault="00E4064F" w:rsidP="000D1B2E">
            <w:pPr>
              <w:pStyle w:val="BodyText1"/>
              <w:jc w:val="center"/>
              <w:rPr>
                <w:rFonts w:ascii="Times New Roman" w:hAnsi="Times New Roman"/>
                <w:b w:val="0"/>
              </w:rPr>
            </w:pPr>
            <w:proofErr w:type="spellStart"/>
            <w:r w:rsidRPr="001E23AD">
              <w:rPr>
                <w:rFonts w:ascii="Times New Roman" w:hAnsi="Times New Roman"/>
                <w:b w:val="0"/>
              </w:rPr>
              <w:t>SSc</w:t>
            </w:r>
            <w:proofErr w:type="spellEnd"/>
          </w:p>
        </w:tc>
      </w:tr>
    </w:tbl>
    <w:p w14:paraId="77C402A9" w14:textId="41282DB2" w:rsidR="00CB51E5" w:rsidRDefault="00E4064F" w:rsidP="00CB51E5">
      <w:pPr>
        <w:pStyle w:val="Caption"/>
      </w:pPr>
      <w:bookmarkStart w:id="270" w:name="_Ref520635002"/>
      <w:bookmarkStart w:id="271" w:name="_Ref520634980"/>
      <w:bookmarkStart w:id="272" w:name="_Toc60597190"/>
      <w:r>
        <w:t xml:space="preserve">Table </w:t>
      </w:r>
      <w:r w:rsidR="004D7B97">
        <w:fldChar w:fldCharType="begin"/>
      </w:r>
      <w:r w:rsidR="004D7B97">
        <w:instrText xml:space="preserve"> STYLEREF 1 \s </w:instrText>
      </w:r>
      <w:r w:rsidR="004D7B97">
        <w:fldChar w:fldCharType="separate"/>
      </w:r>
      <w:r w:rsidR="00885DE4">
        <w:rPr>
          <w:noProof/>
        </w:rPr>
        <w:t>6</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1</w:t>
      </w:r>
      <w:r w:rsidR="004D7B97">
        <w:fldChar w:fldCharType="end"/>
      </w:r>
      <w:bookmarkEnd w:id="270"/>
      <w:r>
        <w:t xml:space="preserve"> miRNAs chosen for validation and their association with previously described disease panels</w:t>
      </w:r>
      <w:bookmarkEnd w:id="271"/>
      <w:r>
        <w:t>.</w:t>
      </w:r>
      <w:bookmarkEnd w:id="272"/>
    </w:p>
    <w:p w14:paraId="7AF88EBF" w14:textId="77777777" w:rsidR="00C612CC" w:rsidRPr="00C612CC" w:rsidRDefault="00C612CC" w:rsidP="00C612CC"/>
    <w:p w14:paraId="105E5DBF" w14:textId="77777777" w:rsidR="00E4064F" w:rsidRDefault="00E4064F" w:rsidP="00E4064F">
      <w:pPr>
        <w:pStyle w:val="Heading2"/>
        <w:numPr>
          <w:ilvl w:val="1"/>
          <w:numId w:val="7"/>
        </w:numPr>
        <w:spacing w:before="120" w:after="120"/>
      </w:pPr>
      <w:bookmarkStart w:id="273" w:name="_Toc60773945"/>
      <w:r>
        <w:t>Methods</w:t>
      </w:r>
      <w:bookmarkEnd w:id="273"/>
    </w:p>
    <w:p w14:paraId="0F3F24EF" w14:textId="74042967" w:rsidR="00E4064F" w:rsidRDefault="00E4064F" w:rsidP="00E4064F">
      <w:pPr>
        <w:pStyle w:val="Body"/>
      </w:pPr>
      <w:r>
        <w:t xml:space="preserve">Reverse-transcription of RNA to cDNA was performed as described in </w:t>
      </w:r>
      <w:r>
        <w:fldChar w:fldCharType="begin"/>
      </w:r>
      <w:r>
        <w:instrText xml:space="preserve"> REF _Ref367556423 \n \h </w:instrText>
      </w:r>
      <w:r>
        <w:fldChar w:fldCharType="separate"/>
      </w:r>
      <w:r w:rsidR="00885DE4">
        <w:t>2.5.1</w:t>
      </w:r>
      <w:r>
        <w:fldChar w:fldCharType="end"/>
      </w:r>
      <w:r>
        <w:t xml:space="preserve"> followed by real-time PCR as described in </w:t>
      </w:r>
      <w:r>
        <w:fldChar w:fldCharType="begin"/>
      </w:r>
      <w:r>
        <w:instrText xml:space="preserve"> REF _Ref367556474 \n \h </w:instrText>
      </w:r>
      <w:r>
        <w:fldChar w:fldCharType="separate"/>
      </w:r>
      <w:r w:rsidR="00885DE4">
        <w:t>0</w:t>
      </w:r>
      <w:r>
        <w:fldChar w:fldCharType="end"/>
      </w:r>
      <w:r>
        <w:t xml:space="preserve">. Normalisation was performed to the mean of miRNA-320c and miRNA-142-3p described previously by </w:t>
      </w:r>
      <w:r>
        <w:fldChar w:fldCharType="begin"/>
      </w:r>
      <w:r w:rsidR="004E19A5">
        <w:instrText xml:space="preserve"> ADDIN PAPERS2_CITATIONS &lt;citation&gt;&lt;priority&gt;0&lt;/priority&gt;&lt;uuid&gt;5CC33AF5-C8EE-4561-B020-442A13A4D222&lt;/uuid&gt;&lt;publications&gt;&lt;publication&gt;&lt;subtype&gt;400&lt;/subtype&gt;&lt;title&gt;Customized Internal Reference Controls for Improved Assessment of Circulating MicroRNAs in Disease&lt;/title&gt;&lt;url&gt;http://dx.plos.org/10.1371/journal.pone.0127443&lt;/url&gt;&lt;volume&gt;10&lt;/volume&gt;&lt;publication_date&gt;99201505261200000000222000&lt;/publication_date&gt;&lt;uuid&gt;BBB24937-A3A6-40D9-913E-8DE22FA13700&lt;/uuid&gt;&lt;type&gt;400&lt;/type&gt;&lt;number&gt;5&lt;/number&gt;&lt;doi&gt;10.1371/journal.pone.0127443&lt;/doi&gt;&lt;startpage&gt;e0127443&lt;/startpage&gt;&lt;endpage&gt;22&lt;/endpage&gt;&lt;bundle&gt;&lt;publication&gt;&lt;title&gt;PloS one&lt;/title&gt;&lt;uuid&gt;82F7624E-B927-496C-B434-7FDEB6B50A82&lt;/uuid&gt;&lt;subtype&gt;-100&lt;/subtype&gt;&lt;publisher&gt;Public Library of Science&lt;/publisher&gt;&lt;type&gt;-100&lt;/type&gt;&lt;url&gt;http://www.plosone.org&lt;/url&gt;&lt;/publication&gt;&lt;/bundle&gt;&lt;authors&gt;&lt;author&gt;&lt;lastName&gt;Schlosser&lt;/lastName&gt;&lt;firstName&gt;Kenny&lt;/firstName&gt;&lt;/author&gt;&lt;author&gt;&lt;lastName&gt;McIntyre&lt;/lastName&gt;&lt;firstName&gt;Lauralyn&lt;/firstName&gt;&lt;middleNames&gt;A&lt;/middleNames&gt;&lt;/author&gt;&lt;author&gt;&lt;lastName&gt;White&lt;/lastName&gt;&lt;firstName&gt;R&lt;/firstName&gt;&lt;middleNames&gt;James&lt;/middleNames&gt;&lt;/author&gt;&lt;author&gt;&lt;lastName&gt;Stewart&lt;/lastName&gt;&lt;firstName&gt;Duncan&lt;/firstName&gt;&lt;middleNames&gt;J&lt;/middleNames&gt;&lt;/author&gt;&lt;/authors&gt;&lt;editors&gt;&lt;author&gt;&lt;lastName&gt;Jeyaseelan&lt;/lastName&gt;&lt;firstName&gt;Kandiah&lt;/firstName&gt;&lt;/author&gt;&lt;/editors&gt;&lt;/publication&gt;&lt;/publications&gt;&lt;cites&gt;&lt;/cites&gt;&lt;/citation&gt;</w:instrText>
      </w:r>
      <w:r>
        <w:fldChar w:fldCharType="separate"/>
      </w:r>
      <w:r w:rsidR="00095567">
        <w:rPr>
          <w:rFonts w:eastAsiaTheme="minorEastAsia"/>
          <w:lang w:val="en-US"/>
        </w:rPr>
        <w:t>(Schlosser, McIntyre, White, &amp; Stewart, 2015)</w:t>
      </w:r>
      <w:r>
        <w:fldChar w:fldCharType="end"/>
      </w:r>
    </w:p>
    <w:p w14:paraId="23C6170A" w14:textId="77777777" w:rsidR="00C612CC" w:rsidRDefault="00C612CC" w:rsidP="00E4064F">
      <w:pPr>
        <w:pStyle w:val="Body"/>
      </w:pPr>
    </w:p>
    <w:p w14:paraId="04788F50" w14:textId="77777777" w:rsidR="00E4064F" w:rsidRDefault="00E4064F" w:rsidP="00E4064F">
      <w:pPr>
        <w:pStyle w:val="Heading2"/>
        <w:numPr>
          <w:ilvl w:val="1"/>
          <w:numId w:val="7"/>
        </w:numPr>
        <w:spacing w:before="120" w:after="120"/>
      </w:pPr>
      <w:bookmarkStart w:id="274" w:name="_Ref535063034"/>
      <w:bookmarkStart w:id="275" w:name="_Toc60773946"/>
      <w:r>
        <w:t>Initial qPCR Probe Verification with Test Cohort</w:t>
      </w:r>
      <w:bookmarkEnd w:id="274"/>
      <w:bookmarkEnd w:id="275"/>
    </w:p>
    <w:p w14:paraId="201EA32A" w14:textId="097B4D15" w:rsidR="00E4064F" w:rsidRDefault="00E4064F" w:rsidP="00E4064F">
      <w:pPr>
        <w:pStyle w:val="Body"/>
      </w:pPr>
      <w:r>
        <w:t xml:space="preserve">Due to difficulties associated with amplifying miRNAs the qPCR probes were checked for clean amplification in a small cohort of HV and IPAH samples. </w:t>
      </w:r>
      <w:r w:rsidR="00E526A7">
        <w:t xml:space="preserve">Patients are well matched with non-significance in age, gender, and ethnicity </w:t>
      </w:r>
      <w:r>
        <w:fldChar w:fldCharType="begin"/>
      </w:r>
      <w:r>
        <w:instrText xml:space="preserve"> REF _Ref4095845 \h </w:instrText>
      </w:r>
      <w:r>
        <w:fldChar w:fldCharType="separate"/>
      </w:r>
      <w:r w:rsidR="00885DE4" w:rsidRPr="002936EE">
        <w:rPr>
          <w:i/>
          <w:iCs/>
        </w:rPr>
        <w:t xml:space="preserve">Table </w:t>
      </w:r>
      <w:r w:rsidR="00885DE4">
        <w:rPr>
          <w:i/>
          <w:iCs/>
          <w:noProof/>
        </w:rPr>
        <w:t>6</w:t>
      </w:r>
      <w:r w:rsidR="00885DE4">
        <w:rPr>
          <w:i/>
          <w:iCs/>
        </w:rPr>
        <w:noBreakHyphen/>
      </w:r>
      <w:r w:rsidR="00885DE4">
        <w:rPr>
          <w:i/>
          <w:iCs/>
          <w:noProof/>
        </w:rPr>
        <w:t>2</w:t>
      </w:r>
      <w:r>
        <w:fldChar w:fldCharType="end"/>
      </w:r>
      <w:r>
        <w:t>.</w:t>
      </w:r>
      <w:r w:rsidR="00E526A7">
        <w:t xml:space="preserve"> IPAH patients </w:t>
      </w:r>
      <w:r w:rsidR="002936EE">
        <w:lastRenderedPageBreak/>
        <w:t>are shown to</w:t>
      </w:r>
      <w:r w:rsidR="00E526A7">
        <w:t xml:space="preserve"> have PAH </w:t>
      </w:r>
      <w:r w:rsidR="00637C96">
        <w:t xml:space="preserve">from the </w:t>
      </w:r>
      <w:r w:rsidR="002936EE">
        <w:t>appropriate values in the catheter based</w:t>
      </w:r>
      <w:r w:rsidR="00E526A7">
        <w:t xml:space="preserve"> diagnostic measures.</w:t>
      </w:r>
    </w:p>
    <w:tbl>
      <w:tblPr>
        <w:tblStyle w:val="GridTable3-Accent5"/>
        <w:tblW w:w="0" w:type="auto"/>
        <w:tblLook w:val="04A0" w:firstRow="1" w:lastRow="0" w:firstColumn="1" w:lastColumn="0" w:noHBand="0" w:noVBand="1"/>
      </w:tblPr>
      <w:tblGrid>
        <w:gridCol w:w="3119"/>
        <w:gridCol w:w="2126"/>
        <w:gridCol w:w="2268"/>
        <w:gridCol w:w="1497"/>
      </w:tblGrid>
      <w:tr w:rsidR="00D75194" w:rsidRPr="00FD59B9" w14:paraId="55095FE5" w14:textId="77777777" w:rsidTr="00F27D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Pr>
          <w:p w14:paraId="49B75ABA" w14:textId="77777777" w:rsidR="00D75194" w:rsidRPr="00FD59B9" w:rsidRDefault="00D75194" w:rsidP="00F27D55">
            <w:pPr>
              <w:rPr>
                <w:rFonts w:ascii="TUOS Blake" w:hAnsi="TUOS Blake"/>
                <w:b w:val="0"/>
                <w:bCs w:val="0"/>
                <w:sz w:val="22"/>
                <w:szCs w:val="22"/>
              </w:rPr>
            </w:pPr>
          </w:p>
        </w:tc>
        <w:tc>
          <w:tcPr>
            <w:tcW w:w="2126" w:type="dxa"/>
          </w:tcPr>
          <w:p w14:paraId="1A206C9C" w14:textId="77777777" w:rsidR="00D75194" w:rsidRPr="00FD59B9" w:rsidRDefault="00D75194" w:rsidP="00F27D55">
            <w:pPr>
              <w:cnfStyle w:val="100000000000" w:firstRow="1" w:lastRow="0" w:firstColumn="0" w:lastColumn="0" w:oddVBand="0" w:evenVBand="0" w:oddHBand="0" w:evenHBand="0" w:firstRowFirstColumn="0" w:firstRowLastColumn="0" w:lastRowFirstColumn="0" w:lastRowLastColumn="0"/>
              <w:rPr>
                <w:rFonts w:ascii="TUOS Blake" w:hAnsi="TUOS Blake"/>
                <w:sz w:val="22"/>
                <w:szCs w:val="22"/>
              </w:rPr>
            </w:pPr>
            <w:r w:rsidRPr="00FD59B9">
              <w:rPr>
                <w:rFonts w:ascii="TUOS Blake" w:hAnsi="TUOS Blake"/>
                <w:sz w:val="22"/>
                <w:szCs w:val="22"/>
              </w:rPr>
              <w:t>HV</w:t>
            </w:r>
          </w:p>
        </w:tc>
        <w:tc>
          <w:tcPr>
            <w:tcW w:w="2268" w:type="dxa"/>
          </w:tcPr>
          <w:p w14:paraId="68F36ABF" w14:textId="77777777" w:rsidR="00D75194" w:rsidRPr="00FD59B9" w:rsidRDefault="00D75194" w:rsidP="00F27D55">
            <w:pPr>
              <w:cnfStyle w:val="100000000000" w:firstRow="1" w:lastRow="0" w:firstColumn="0" w:lastColumn="0" w:oddVBand="0" w:evenVBand="0" w:oddHBand="0" w:evenHBand="0" w:firstRowFirstColumn="0" w:firstRowLastColumn="0" w:lastRowFirstColumn="0" w:lastRowLastColumn="0"/>
              <w:rPr>
                <w:rFonts w:ascii="TUOS Blake" w:hAnsi="TUOS Blake"/>
                <w:sz w:val="22"/>
                <w:szCs w:val="22"/>
              </w:rPr>
            </w:pPr>
            <w:r w:rsidRPr="00FD59B9">
              <w:rPr>
                <w:rFonts w:ascii="TUOS Blake" w:hAnsi="TUOS Blake"/>
                <w:sz w:val="22"/>
                <w:szCs w:val="22"/>
              </w:rPr>
              <w:t>IPAH</w:t>
            </w:r>
          </w:p>
        </w:tc>
        <w:tc>
          <w:tcPr>
            <w:tcW w:w="1497" w:type="dxa"/>
          </w:tcPr>
          <w:p w14:paraId="5D530590" w14:textId="77777777" w:rsidR="00D75194" w:rsidRPr="00FD59B9" w:rsidRDefault="00D75194" w:rsidP="00F27D55">
            <w:pPr>
              <w:cnfStyle w:val="100000000000" w:firstRow="1" w:lastRow="0" w:firstColumn="0" w:lastColumn="0" w:oddVBand="0" w:evenVBand="0" w:oddHBand="0" w:evenHBand="0" w:firstRowFirstColumn="0" w:firstRowLastColumn="0" w:lastRowFirstColumn="0" w:lastRowLastColumn="0"/>
              <w:rPr>
                <w:rFonts w:ascii="TUOS Blake" w:hAnsi="TUOS Blake"/>
                <w:sz w:val="22"/>
                <w:szCs w:val="22"/>
              </w:rPr>
            </w:pPr>
            <w:r w:rsidRPr="00FD59B9">
              <w:rPr>
                <w:rFonts w:ascii="TUOS Blake" w:hAnsi="TUOS Blake"/>
                <w:sz w:val="22"/>
                <w:szCs w:val="22"/>
              </w:rPr>
              <w:t>p-value</w:t>
            </w:r>
          </w:p>
        </w:tc>
      </w:tr>
      <w:tr w:rsidR="00D75194" w:rsidRPr="00FD59B9" w14:paraId="4B5E4639" w14:textId="77777777" w:rsidTr="00F27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3B0B453" w14:textId="77777777" w:rsidR="00D75194" w:rsidRPr="00FD59B9" w:rsidRDefault="00D75194" w:rsidP="00F27D55">
            <w:pPr>
              <w:rPr>
                <w:rFonts w:ascii="TUOS Blake" w:hAnsi="TUOS Blake"/>
                <w:b/>
                <w:bCs/>
                <w:i w:val="0"/>
                <w:iCs w:val="0"/>
                <w:sz w:val="22"/>
                <w:szCs w:val="22"/>
              </w:rPr>
            </w:pPr>
            <w:r w:rsidRPr="00FD59B9">
              <w:rPr>
                <w:rFonts w:ascii="TUOS Blake" w:hAnsi="TUOS Blake"/>
                <w:b/>
                <w:bCs/>
                <w:i w:val="0"/>
                <w:iCs w:val="0"/>
                <w:sz w:val="22"/>
                <w:szCs w:val="22"/>
              </w:rPr>
              <w:t>N</w:t>
            </w:r>
          </w:p>
        </w:tc>
        <w:tc>
          <w:tcPr>
            <w:tcW w:w="2126" w:type="dxa"/>
          </w:tcPr>
          <w:p w14:paraId="0D02AFB8" w14:textId="77777777" w:rsidR="00D75194" w:rsidRPr="00FD59B9" w:rsidRDefault="00D75194"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FD59B9">
              <w:rPr>
                <w:rFonts w:ascii="TUOS Blake" w:hAnsi="TUOS Blake"/>
                <w:sz w:val="22"/>
                <w:szCs w:val="22"/>
              </w:rPr>
              <w:t>5</w:t>
            </w:r>
          </w:p>
        </w:tc>
        <w:tc>
          <w:tcPr>
            <w:tcW w:w="2268" w:type="dxa"/>
          </w:tcPr>
          <w:p w14:paraId="3B1BD7F9" w14:textId="77777777" w:rsidR="00D75194" w:rsidRPr="00FD59B9" w:rsidRDefault="00D75194"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FD59B9">
              <w:rPr>
                <w:rFonts w:ascii="TUOS Blake" w:hAnsi="TUOS Blake"/>
                <w:sz w:val="22"/>
                <w:szCs w:val="22"/>
              </w:rPr>
              <w:t>7</w:t>
            </w:r>
          </w:p>
        </w:tc>
        <w:tc>
          <w:tcPr>
            <w:tcW w:w="1497" w:type="dxa"/>
          </w:tcPr>
          <w:p w14:paraId="363932CA" w14:textId="77777777" w:rsidR="00D75194" w:rsidRPr="00FD59B9" w:rsidRDefault="00D75194"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p>
        </w:tc>
      </w:tr>
      <w:tr w:rsidR="00D75194" w:rsidRPr="00FD59B9" w14:paraId="3D759068" w14:textId="77777777" w:rsidTr="00F27D55">
        <w:tc>
          <w:tcPr>
            <w:cnfStyle w:val="001000000000" w:firstRow="0" w:lastRow="0" w:firstColumn="1" w:lastColumn="0" w:oddVBand="0" w:evenVBand="0" w:oddHBand="0" w:evenHBand="0" w:firstRowFirstColumn="0" w:firstRowLastColumn="0" w:lastRowFirstColumn="0" w:lastRowLastColumn="0"/>
            <w:tcW w:w="3119" w:type="dxa"/>
          </w:tcPr>
          <w:p w14:paraId="7AB8E68C" w14:textId="77777777" w:rsidR="00D75194" w:rsidRPr="00FD59B9" w:rsidRDefault="00D75194" w:rsidP="00F27D55">
            <w:pPr>
              <w:rPr>
                <w:rFonts w:ascii="TUOS Blake" w:hAnsi="TUOS Blake"/>
                <w:b/>
                <w:bCs/>
                <w:i w:val="0"/>
                <w:iCs w:val="0"/>
                <w:sz w:val="22"/>
                <w:szCs w:val="22"/>
              </w:rPr>
            </w:pPr>
            <w:r w:rsidRPr="00FD59B9">
              <w:rPr>
                <w:rFonts w:ascii="TUOS Blake" w:hAnsi="TUOS Blake"/>
                <w:b/>
                <w:bCs/>
                <w:i w:val="0"/>
                <w:iCs w:val="0"/>
                <w:sz w:val="22"/>
                <w:szCs w:val="22"/>
              </w:rPr>
              <w:t xml:space="preserve">Age </w:t>
            </w:r>
          </w:p>
        </w:tc>
        <w:tc>
          <w:tcPr>
            <w:tcW w:w="2126" w:type="dxa"/>
          </w:tcPr>
          <w:p w14:paraId="22719401" w14:textId="77777777" w:rsidR="00D75194" w:rsidRPr="00FD59B9" w:rsidRDefault="00D75194"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FD59B9">
              <w:rPr>
                <w:rFonts w:ascii="TUOS Blake" w:hAnsi="TUOS Blake"/>
                <w:color w:val="000000"/>
                <w:sz w:val="22"/>
                <w:szCs w:val="22"/>
              </w:rPr>
              <w:t>50.6 (14)</w:t>
            </w:r>
          </w:p>
        </w:tc>
        <w:tc>
          <w:tcPr>
            <w:tcW w:w="2268" w:type="dxa"/>
          </w:tcPr>
          <w:p w14:paraId="7A47A9AD" w14:textId="77777777" w:rsidR="00D75194" w:rsidRPr="00FD59B9" w:rsidRDefault="00D75194"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FD59B9">
              <w:rPr>
                <w:rFonts w:ascii="TUOS Blake" w:hAnsi="TUOS Blake"/>
                <w:color w:val="000000"/>
                <w:sz w:val="22"/>
                <w:szCs w:val="22"/>
              </w:rPr>
              <w:t>41.1 (18.9)</w:t>
            </w:r>
          </w:p>
        </w:tc>
        <w:tc>
          <w:tcPr>
            <w:tcW w:w="1497" w:type="dxa"/>
          </w:tcPr>
          <w:p w14:paraId="2A453E58" w14:textId="77777777" w:rsidR="00D75194" w:rsidRPr="00FD59B9" w:rsidRDefault="00D75194"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FD59B9">
              <w:rPr>
                <w:rFonts w:ascii="TUOS Blake" w:hAnsi="TUOS Blake"/>
                <w:sz w:val="22"/>
                <w:szCs w:val="22"/>
              </w:rPr>
              <w:t>NS</w:t>
            </w:r>
          </w:p>
        </w:tc>
      </w:tr>
      <w:tr w:rsidR="00D75194" w:rsidRPr="00FD59B9" w14:paraId="29B232E5" w14:textId="77777777" w:rsidTr="00F27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231C8D6" w14:textId="77777777" w:rsidR="00D75194" w:rsidRPr="00FD59B9" w:rsidRDefault="00D75194" w:rsidP="00F27D55">
            <w:pPr>
              <w:rPr>
                <w:rFonts w:ascii="TUOS Blake" w:hAnsi="TUOS Blake"/>
                <w:b/>
                <w:bCs/>
                <w:i w:val="0"/>
                <w:iCs w:val="0"/>
                <w:sz w:val="22"/>
                <w:szCs w:val="22"/>
              </w:rPr>
            </w:pPr>
            <w:r w:rsidRPr="00FD59B9">
              <w:rPr>
                <w:rFonts w:ascii="TUOS Blake" w:hAnsi="TUOS Blake"/>
                <w:b/>
                <w:bCs/>
                <w:i w:val="0"/>
                <w:iCs w:val="0"/>
                <w:sz w:val="22"/>
                <w:szCs w:val="22"/>
              </w:rPr>
              <w:t>Gender (% Female)</w:t>
            </w:r>
          </w:p>
        </w:tc>
        <w:tc>
          <w:tcPr>
            <w:tcW w:w="2126" w:type="dxa"/>
          </w:tcPr>
          <w:p w14:paraId="2AF29887" w14:textId="77777777" w:rsidR="00D75194" w:rsidRPr="00FD59B9" w:rsidRDefault="00D75194"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FD59B9">
              <w:rPr>
                <w:rFonts w:ascii="TUOS Blake" w:hAnsi="TUOS Blake"/>
                <w:sz w:val="22"/>
                <w:szCs w:val="22"/>
              </w:rPr>
              <w:t>40%</w:t>
            </w:r>
          </w:p>
        </w:tc>
        <w:tc>
          <w:tcPr>
            <w:tcW w:w="2268" w:type="dxa"/>
          </w:tcPr>
          <w:p w14:paraId="37D24444" w14:textId="77777777" w:rsidR="00D75194" w:rsidRPr="00FD59B9" w:rsidRDefault="00D75194"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FD59B9">
              <w:rPr>
                <w:rFonts w:ascii="TUOS Blake" w:hAnsi="TUOS Blake"/>
                <w:sz w:val="22"/>
                <w:szCs w:val="22"/>
              </w:rPr>
              <w:t>71%</w:t>
            </w:r>
          </w:p>
        </w:tc>
        <w:tc>
          <w:tcPr>
            <w:tcW w:w="1497" w:type="dxa"/>
          </w:tcPr>
          <w:p w14:paraId="1891BAA6" w14:textId="77777777" w:rsidR="00D75194" w:rsidRPr="00FD59B9" w:rsidRDefault="00D75194"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FD59B9">
              <w:rPr>
                <w:rFonts w:ascii="TUOS Blake" w:hAnsi="TUOS Blake"/>
                <w:sz w:val="22"/>
                <w:szCs w:val="22"/>
              </w:rPr>
              <w:t>NS</w:t>
            </w:r>
          </w:p>
        </w:tc>
      </w:tr>
      <w:tr w:rsidR="00D75194" w:rsidRPr="00FD59B9" w14:paraId="3EDF8BCA" w14:textId="77777777" w:rsidTr="00F27D55">
        <w:tc>
          <w:tcPr>
            <w:cnfStyle w:val="001000000000" w:firstRow="0" w:lastRow="0" w:firstColumn="1" w:lastColumn="0" w:oddVBand="0" w:evenVBand="0" w:oddHBand="0" w:evenHBand="0" w:firstRowFirstColumn="0" w:firstRowLastColumn="0" w:lastRowFirstColumn="0" w:lastRowLastColumn="0"/>
            <w:tcW w:w="3119" w:type="dxa"/>
          </w:tcPr>
          <w:p w14:paraId="345744B2" w14:textId="77777777" w:rsidR="00D75194" w:rsidRPr="00FD59B9" w:rsidRDefault="00D75194" w:rsidP="00F27D55">
            <w:pPr>
              <w:rPr>
                <w:rFonts w:ascii="TUOS Blake" w:hAnsi="TUOS Blake"/>
                <w:b/>
                <w:bCs/>
                <w:i w:val="0"/>
                <w:iCs w:val="0"/>
                <w:sz w:val="22"/>
                <w:szCs w:val="22"/>
              </w:rPr>
            </w:pPr>
            <w:r w:rsidRPr="00FD59B9">
              <w:rPr>
                <w:rFonts w:ascii="TUOS Blake" w:hAnsi="TUOS Blake"/>
                <w:b/>
                <w:bCs/>
                <w:i w:val="0"/>
                <w:iCs w:val="0"/>
                <w:sz w:val="22"/>
                <w:szCs w:val="22"/>
              </w:rPr>
              <w:t>Ethnicity (% Caucasian)</w:t>
            </w:r>
          </w:p>
        </w:tc>
        <w:tc>
          <w:tcPr>
            <w:tcW w:w="2126" w:type="dxa"/>
          </w:tcPr>
          <w:p w14:paraId="12F341C6" w14:textId="77777777" w:rsidR="00D75194" w:rsidRPr="00FD59B9" w:rsidRDefault="00D75194"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FD59B9">
              <w:rPr>
                <w:rFonts w:ascii="TUOS Blake" w:hAnsi="TUOS Blake"/>
                <w:sz w:val="22"/>
                <w:szCs w:val="22"/>
              </w:rPr>
              <w:t>100%</w:t>
            </w:r>
          </w:p>
        </w:tc>
        <w:tc>
          <w:tcPr>
            <w:tcW w:w="2268" w:type="dxa"/>
          </w:tcPr>
          <w:p w14:paraId="192F0BFE" w14:textId="77777777" w:rsidR="00D75194" w:rsidRPr="00FD59B9" w:rsidRDefault="00D75194" w:rsidP="00F27D55">
            <w:pPr>
              <w:cnfStyle w:val="000000000000" w:firstRow="0" w:lastRow="0" w:firstColumn="0" w:lastColumn="0" w:oddVBand="0" w:evenVBand="0" w:oddHBand="0" w:evenHBand="0" w:firstRowFirstColumn="0" w:firstRowLastColumn="0" w:lastRowFirstColumn="0" w:lastRowLastColumn="0"/>
              <w:rPr>
                <w:rFonts w:ascii="TUOS Blake" w:hAnsi="TUOS Blake"/>
                <w:color w:val="000000"/>
                <w:sz w:val="22"/>
                <w:szCs w:val="22"/>
              </w:rPr>
            </w:pPr>
            <w:r w:rsidRPr="00FD59B9">
              <w:rPr>
                <w:rFonts w:ascii="TUOS Blake" w:hAnsi="TUOS Blake"/>
                <w:color w:val="000000"/>
                <w:sz w:val="22"/>
                <w:szCs w:val="22"/>
              </w:rPr>
              <w:t>57%</w:t>
            </w:r>
          </w:p>
        </w:tc>
        <w:tc>
          <w:tcPr>
            <w:tcW w:w="1497" w:type="dxa"/>
          </w:tcPr>
          <w:p w14:paraId="3CEBD88E" w14:textId="77777777" w:rsidR="00D75194" w:rsidRPr="00FD59B9" w:rsidRDefault="00D75194"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FD59B9">
              <w:rPr>
                <w:rFonts w:ascii="TUOS Blake" w:hAnsi="TUOS Blake"/>
                <w:sz w:val="22"/>
                <w:szCs w:val="22"/>
              </w:rPr>
              <w:t>NS</w:t>
            </w:r>
          </w:p>
        </w:tc>
      </w:tr>
      <w:tr w:rsidR="00D75194" w:rsidRPr="00FD59B9" w14:paraId="437139C2" w14:textId="77777777" w:rsidTr="00F27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10293CF" w14:textId="77777777" w:rsidR="00D75194" w:rsidRPr="00FD59B9" w:rsidRDefault="00D75194" w:rsidP="00F27D55">
            <w:pPr>
              <w:rPr>
                <w:rFonts w:ascii="TUOS Blake" w:hAnsi="TUOS Blake"/>
                <w:b/>
                <w:bCs/>
                <w:i w:val="0"/>
                <w:iCs w:val="0"/>
                <w:sz w:val="22"/>
                <w:szCs w:val="22"/>
              </w:rPr>
            </w:pPr>
            <w:proofErr w:type="spellStart"/>
            <w:r w:rsidRPr="00FD59B9">
              <w:rPr>
                <w:rFonts w:ascii="TUOS Blake" w:hAnsi="TUOS Blake"/>
                <w:b/>
                <w:bCs/>
                <w:i w:val="0"/>
                <w:iCs w:val="0"/>
                <w:sz w:val="22"/>
                <w:szCs w:val="22"/>
              </w:rPr>
              <w:t>mPAP</w:t>
            </w:r>
            <w:proofErr w:type="spellEnd"/>
            <w:r w:rsidRPr="00FD59B9">
              <w:rPr>
                <w:rFonts w:ascii="TUOS Blake" w:hAnsi="TUOS Blake"/>
                <w:b/>
                <w:bCs/>
                <w:i w:val="0"/>
                <w:iCs w:val="0"/>
                <w:sz w:val="22"/>
                <w:szCs w:val="22"/>
              </w:rPr>
              <w:t xml:space="preserve"> (mmHg)</w:t>
            </w:r>
          </w:p>
        </w:tc>
        <w:tc>
          <w:tcPr>
            <w:tcW w:w="2126" w:type="dxa"/>
          </w:tcPr>
          <w:p w14:paraId="7AED345A" w14:textId="77777777" w:rsidR="00D75194" w:rsidRPr="00FD59B9" w:rsidRDefault="00D75194"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FD59B9">
              <w:rPr>
                <w:rFonts w:ascii="TUOS Blake" w:hAnsi="TUOS Blake"/>
                <w:sz w:val="22"/>
                <w:szCs w:val="22"/>
              </w:rPr>
              <w:t>-</w:t>
            </w:r>
          </w:p>
        </w:tc>
        <w:tc>
          <w:tcPr>
            <w:tcW w:w="2268" w:type="dxa"/>
          </w:tcPr>
          <w:p w14:paraId="78FE5DD3" w14:textId="77777777" w:rsidR="00D75194" w:rsidRPr="00FD59B9" w:rsidRDefault="00D75194" w:rsidP="00F27D55">
            <w:pPr>
              <w:cnfStyle w:val="000000100000" w:firstRow="0" w:lastRow="0" w:firstColumn="0" w:lastColumn="0" w:oddVBand="0" w:evenVBand="0" w:oddHBand="1" w:evenHBand="0" w:firstRowFirstColumn="0" w:firstRowLastColumn="0" w:lastRowFirstColumn="0" w:lastRowLastColumn="0"/>
              <w:rPr>
                <w:rFonts w:ascii="TUOS Blake" w:hAnsi="TUOS Blake"/>
                <w:color w:val="000000"/>
                <w:sz w:val="22"/>
                <w:szCs w:val="22"/>
              </w:rPr>
            </w:pPr>
            <w:r w:rsidRPr="00FD59B9">
              <w:rPr>
                <w:rFonts w:ascii="TUOS Blake" w:hAnsi="TUOS Blake"/>
                <w:color w:val="000000"/>
                <w:sz w:val="22"/>
                <w:szCs w:val="22"/>
              </w:rPr>
              <w:t>61.8 (7.5)</w:t>
            </w:r>
          </w:p>
        </w:tc>
        <w:tc>
          <w:tcPr>
            <w:tcW w:w="1497" w:type="dxa"/>
          </w:tcPr>
          <w:p w14:paraId="51624EAE" w14:textId="77777777" w:rsidR="00D75194" w:rsidRPr="00FD59B9" w:rsidRDefault="00D75194"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FD59B9">
              <w:rPr>
                <w:rFonts w:ascii="TUOS Blake" w:hAnsi="TUOS Blake"/>
                <w:sz w:val="22"/>
                <w:szCs w:val="22"/>
              </w:rPr>
              <w:t>-</w:t>
            </w:r>
          </w:p>
        </w:tc>
      </w:tr>
      <w:tr w:rsidR="00D75194" w:rsidRPr="00FD59B9" w14:paraId="48C22BA4" w14:textId="77777777" w:rsidTr="00F27D55">
        <w:tc>
          <w:tcPr>
            <w:cnfStyle w:val="001000000000" w:firstRow="0" w:lastRow="0" w:firstColumn="1" w:lastColumn="0" w:oddVBand="0" w:evenVBand="0" w:oddHBand="0" w:evenHBand="0" w:firstRowFirstColumn="0" w:firstRowLastColumn="0" w:lastRowFirstColumn="0" w:lastRowLastColumn="0"/>
            <w:tcW w:w="3119" w:type="dxa"/>
          </w:tcPr>
          <w:p w14:paraId="69C1AB6E" w14:textId="77777777" w:rsidR="00D75194" w:rsidRPr="00FD59B9" w:rsidRDefault="00D75194" w:rsidP="00F27D55">
            <w:pPr>
              <w:rPr>
                <w:rFonts w:ascii="TUOS Blake" w:hAnsi="TUOS Blake"/>
                <w:b/>
                <w:bCs/>
                <w:i w:val="0"/>
                <w:iCs w:val="0"/>
                <w:sz w:val="22"/>
                <w:szCs w:val="22"/>
              </w:rPr>
            </w:pPr>
            <w:r w:rsidRPr="00FD59B9">
              <w:rPr>
                <w:rFonts w:ascii="TUOS Blake" w:hAnsi="TUOS Blake"/>
                <w:b/>
                <w:bCs/>
                <w:i w:val="0"/>
                <w:iCs w:val="0"/>
                <w:sz w:val="22"/>
                <w:szCs w:val="22"/>
              </w:rPr>
              <w:t>PVR (</w:t>
            </w:r>
            <w:proofErr w:type="spellStart"/>
            <w:r w:rsidRPr="00FD59B9">
              <w:rPr>
                <w:rFonts w:ascii="TUOS Blake" w:hAnsi="TUOS Blake"/>
                <w:b/>
                <w:bCs/>
                <w:i w:val="0"/>
                <w:iCs w:val="0"/>
                <w:sz w:val="22"/>
                <w:szCs w:val="22"/>
              </w:rPr>
              <w:t>Dynes.s</w:t>
            </w:r>
            <w:proofErr w:type="spellEnd"/>
            <w:r w:rsidRPr="00FD59B9">
              <w:rPr>
                <w:rFonts w:ascii="TUOS Blake" w:hAnsi="TUOS Blake"/>
                <w:b/>
                <w:bCs/>
                <w:i w:val="0"/>
                <w:iCs w:val="0"/>
                <w:sz w:val="22"/>
                <w:szCs w:val="22"/>
              </w:rPr>
              <w:t>/cm</w:t>
            </w:r>
            <w:r w:rsidRPr="00FD59B9">
              <w:rPr>
                <w:rFonts w:ascii="TUOS Blake" w:hAnsi="TUOS Blake"/>
                <w:b/>
                <w:bCs/>
                <w:i w:val="0"/>
                <w:iCs w:val="0"/>
                <w:sz w:val="22"/>
                <w:szCs w:val="22"/>
                <w:vertAlign w:val="superscript"/>
              </w:rPr>
              <w:t>5</w:t>
            </w:r>
            <w:r w:rsidRPr="00FD59B9">
              <w:rPr>
                <w:rFonts w:ascii="TUOS Blake" w:hAnsi="TUOS Blake"/>
                <w:b/>
                <w:bCs/>
                <w:i w:val="0"/>
                <w:iCs w:val="0"/>
                <w:sz w:val="22"/>
                <w:szCs w:val="22"/>
              </w:rPr>
              <w:t>)</w:t>
            </w:r>
          </w:p>
        </w:tc>
        <w:tc>
          <w:tcPr>
            <w:tcW w:w="2126" w:type="dxa"/>
          </w:tcPr>
          <w:p w14:paraId="45DA80A3" w14:textId="77777777" w:rsidR="00D75194" w:rsidRPr="00FD59B9" w:rsidRDefault="00D75194"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FD59B9">
              <w:rPr>
                <w:rFonts w:ascii="TUOS Blake" w:hAnsi="TUOS Blake"/>
                <w:sz w:val="22"/>
                <w:szCs w:val="22"/>
              </w:rPr>
              <w:t>-</w:t>
            </w:r>
          </w:p>
        </w:tc>
        <w:tc>
          <w:tcPr>
            <w:tcW w:w="2268" w:type="dxa"/>
          </w:tcPr>
          <w:p w14:paraId="6A85D9B5" w14:textId="77777777" w:rsidR="00D75194" w:rsidRPr="00FD59B9" w:rsidRDefault="00D75194" w:rsidP="00F27D55">
            <w:pPr>
              <w:cnfStyle w:val="000000000000" w:firstRow="0" w:lastRow="0" w:firstColumn="0" w:lastColumn="0" w:oddVBand="0" w:evenVBand="0" w:oddHBand="0" w:evenHBand="0" w:firstRowFirstColumn="0" w:firstRowLastColumn="0" w:lastRowFirstColumn="0" w:lastRowLastColumn="0"/>
              <w:rPr>
                <w:rFonts w:ascii="TUOS Blake" w:hAnsi="TUOS Blake"/>
                <w:color w:val="000000"/>
                <w:sz w:val="22"/>
                <w:szCs w:val="22"/>
              </w:rPr>
            </w:pPr>
            <w:r w:rsidRPr="00FD59B9">
              <w:rPr>
                <w:rFonts w:ascii="TUOS Blake" w:hAnsi="TUOS Blake"/>
                <w:color w:val="000000"/>
                <w:sz w:val="22"/>
                <w:szCs w:val="22"/>
              </w:rPr>
              <w:t>1197.6 (519.1)</w:t>
            </w:r>
          </w:p>
        </w:tc>
        <w:tc>
          <w:tcPr>
            <w:tcW w:w="1497" w:type="dxa"/>
          </w:tcPr>
          <w:p w14:paraId="2BFDF58F" w14:textId="77777777" w:rsidR="00D75194" w:rsidRPr="00FD59B9" w:rsidRDefault="00D75194"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FD59B9">
              <w:rPr>
                <w:rFonts w:ascii="TUOS Blake" w:hAnsi="TUOS Blake"/>
                <w:sz w:val="22"/>
                <w:szCs w:val="22"/>
              </w:rPr>
              <w:t>-</w:t>
            </w:r>
          </w:p>
        </w:tc>
      </w:tr>
      <w:tr w:rsidR="00D75194" w:rsidRPr="00FD59B9" w14:paraId="2696058F" w14:textId="77777777" w:rsidTr="00F27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C11115C" w14:textId="77777777" w:rsidR="00D75194" w:rsidRPr="00FD59B9" w:rsidRDefault="00D75194" w:rsidP="00F27D55">
            <w:pPr>
              <w:rPr>
                <w:rFonts w:ascii="TUOS Blake" w:hAnsi="TUOS Blake"/>
                <w:b/>
                <w:bCs/>
                <w:i w:val="0"/>
                <w:iCs w:val="0"/>
                <w:sz w:val="22"/>
                <w:szCs w:val="22"/>
              </w:rPr>
            </w:pPr>
            <w:r w:rsidRPr="00FD59B9">
              <w:rPr>
                <w:rFonts w:ascii="TUOS Blake" w:hAnsi="TUOS Blake"/>
                <w:b/>
                <w:bCs/>
                <w:i w:val="0"/>
                <w:iCs w:val="0"/>
                <w:sz w:val="22"/>
                <w:szCs w:val="22"/>
              </w:rPr>
              <w:t>Cardiac Output (L/min)</w:t>
            </w:r>
          </w:p>
        </w:tc>
        <w:tc>
          <w:tcPr>
            <w:tcW w:w="2126" w:type="dxa"/>
          </w:tcPr>
          <w:p w14:paraId="15D3EE03" w14:textId="77777777" w:rsidR="00D75194" w:rsidRPr="00FD59B9" w:rsidRDefault="00D75194"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FD59B9">
              <w:rPr>
                <w:rFonts w:ascii="TUOS Blake" w:hAnsi="TUOS Blake"/>
                <w:sz w:val="22"/>
                <w:szCs w:val="22"/>
              </w:rPr>
              <w:t>-</w:t>
            </w:r>
          </w:p>
        </w:tc>
        <w:tc>
          <w:tcPr>
            <w:tcW w:w="2268" w:type="dxa"/>
          </w:tcPr>
          <w:p w14:paraId="7E5E98AA" w14:textId="77777777" w:rsidR="00D75194" w:rsidRPr="00FD59B9" w:rsidRDefault="00D75194" w:rsidP="00F27D55">
            <w:pPr>
              <w:cnfStyle w:val="000000100000" w:firstRow="0" w:lastRow="0" w:firstColumn="0" w:lastColumn="0" w:oddVBand="0" w:evenVBand="0" w:oddHBand="1" w:evenHBand="0" w:firstRowFirstColumn="0" w:firstRowLastColumn="0" w:lastRowFirstColumn="0" w:lastRowLastColumn="0"/>
              <w:rPr>
                <w:rFonts w:ascii="TUOS Blake" w:hAnsi="TUOS Blake"/>
                <w:color w:val="000000"/>
                <w:sz w:val="22"/>
                <w:szCs w:val="22"/>
              </w:rPr>
            </w:pPr>
            <w:r w:rsidRPr="00FD59B9">
              <w:rPr>
                <w:rFonts w:ascii="TUOS Blake" w:hAnsi="TUOS Blake"/>
                <w:color w:val="000000"/>
                <w:sz w:val="22"/>
                <w:szCs w:val="22"/>
              </w:rPr>
              <w:t>4.3 (1.5)</w:t>
            </w:r>
          </w:p>
        </w:tc>
        <w:tc>
          <w:tcPr>
            <w:tcW w:w="1497" w:type="dxa"/>
          </w:tcPr>
          <w:p w14:paraId="0E13BF13" w14:textId="77777777" w:rsidR="00D75194" w:rsidRPr="00FD59B9" w:rsidRDefault="00D75194"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FD59B9">
              <w:rPr>
                <w:rFonts w:ascii="TUOS Blake" w:hAnsi="TUOS Blake"/>
                <w:sz w:val="22"/>
                <w:szCs w:val="22"/>
              </w:rPr>
              <w:t>-</w:t>
            </w:r>
          </w:p>
        </w:tc>
      </w:tr>
      <w:tr w:rsidR="00D75194" w:rsidRPr="00FD59B9" w14:paraId="3D212A1D" w14:textId="77777777" w:rsidTr="00F27D55">
        <w:tc>
          <w:tcPr>
            <w:cnfStyle w:val="001000000000" w:firstRow="0" w:lastRow="0" w:firstColumn="1" w:lastColumn="0" w:oddVBand="0" w:evenVBand="0" w:oddHBand="0" w:evenHBand="0" w:firstRowFirstColumn="0" w:firstRowLastColumn="0" w:lastRowFirstColumn="0" w:lastRowLastColumn="0"/>
            <w:tcW w:w="3119" w:type="dxa"/>
          </w:tcPr>
          <w:p w14:paraId="646007A1" w14:textId="77777777" w:rsidR="00D75194" w:rsidRPr="00FD59B9" w:rsidRDefault="00D75194" w:rsidP="00F27D55">
            <w:pPr>
              <w:rPr>
                <w:rFonts w:ascii="TUOS Blake" w:hAnsi="TUOS Blake"/>
                <w:b/>
                <w:bCs/>
                <w:i w:val="0"/>
                <w:iCs w:val="0"/>
                <w:sz w:val="22"/>
                <w:szCs w:val="22"/>
              </w:rPr>
            </w:pPr>
            <w:r w:rsidRPr="00FD59B9">
              <w:rPr>
                <w:rFonts w:ascii="TUOS Blake" w:hAnsi="TUOS Blake"/>
                <w:b/>
                <w:bCs/>
                <w:i w:val="0"/>
                <w:iCs w:val="0"/>
                <w:sz w:val="22"/>
                <w:szCs w:val="22"/>
              </w:rPr>
              <w:t>PA Wedge Pressure (mmHg)</w:t>
            </w:r>
          </w:p>
        </w:tc>
        <w:tc>
          <w:tcPr>
            <w:tcW w:w="2126" w:type="dxa"/>
          </w:tcPr>
          <w:p w14:paraId="53118CAB" w14:textId="77777777" w:rsidR="00D75194" w:rsidRPr="00FD59B9" w:rsidRDefault="00D75194"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FD59B9">
              <w:rPr>
                <w:rFonts w:ascii="TUOS Blake" w:hAnsi="TUOS Blake"/>
                <w:sz w:val="22"/>
                <w:szCs w:val="22"/>
              </w:rPr>
              <w:t>-</w:t>
            </w:r>
          </w:p>
        </w:tc>
        <w:tc>
          <w:tcPr>
            <w:tcW w:w="2268" w:type="dxa"/>
          </w:tcPr>
          <w:p w14:paraId="634E6C83" w14:textId="77777777" w:rsidR="00D75194" w:rsidRPr="00FD59B9" w:rsidRDefault="00D75194" w:rsidP="00F27D55">
            <w:pPr>
              <w:cnfStyle w:val="000000000000" w:firstRow="0" w:lastRow="0" w:firstColumn="0" w:lastColumn="0" w:oddVBand="0" w:evenVBand="0" w:oddHBand="0" w:evenHBand="0" w:firstRowFirstColumn="0" w:firstRowLastColumn="0" w:lastRowFirstColumn="0" w:lastRowLastColumn="0"/>
              <w:rPr>
                <w:rFonts w:ascii="TUOS Blake" w:hAnsi="TUOS Blake"/>
                <w:color w:val="000000"/>
                <w:sz w:val="22"/>
                <w:szCs w:val="22"/>
              </w:rPr>
            </w:pPr>
            <w:r w:rsidRPr="00FD59B9">
              <w:rPr>
                <w:rFonts w:ascii="TUOS Blake" w:hAnsi="TUOS Blake"/>
                <w:color w:val="000000"/>
                <w:sz w:val="22"/>
                <w:szCs w:val="22"/>
              </w:rPr>
              <w:t>8.8 (1.9)</w:t>
            </w:r>
          </w:p>
        </w:tc>
        <w:tc>
          <w:tcPr>
            <w:tcW w:w="1497" w:type="dxa"/>
          </w:tcPr>
          <w:p w14:paraId="52A5C91C" w14:textId="77777777" w:rsidR="00D75194" w:rsidRPr="00FD59B9" w:rsidRDefault="00D75194"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FD59B9">
              <w:rPr>
                <w:rFonts w:ascii="TUOS Blake" w:hAnsi="TUOS Blake"/>
                <w:sz w:val="22"/>
                <w:szCs w:val="22"/>
              </w:rPr>
              <w:t>-</w:t>
            </w:r>
          </w:p>
        </w:tc>
      </w:tr>
    </w:tbl>
    <w:p w14:paraId="57D99550" w14:textId="7205246B" w:rsidR="002936EE" w:rsidRPr="002936EE" w:rsidRDefault="00E4064F" w:rsidP="002936EE">
      <w:pPr>
        <w:pStyle w:val="Body"/>
        <w:rPr>
          <w:rFonts w:eastAsia="Arial Unicode MS" w:cs="Arial Unicode MS"/>
          <w:i/>
          <w:iCs/>
        </w:rPr>
      </w:pPr>
      <w:bookmarkStart w:id="276" w:name="_Ref4095845"/>
      <w:bookmarkStart w:id="277" w:name="_Ref4095643"/>
      <w:bookmarkStart w:id="278" w:name="_Toc60597191"/>
      <w:r w:rsidRPr="002936EE">
        <w:rPr>
          <w:i/>
          <w:iCs/>
        </w:rPr>
        <w:t xml:space="preserve">Table </w:t>
      </w:r>
      <w:r w:rsidR="004D7B97">
        <w:rPr>
          <w:i/>
          <w:iCs/>
        </w:rPr>
        <w:fldChar w:fldCharType="begin"/>
      </w:r>
      <w:r w:rsidR="004D7B97">
        <w:rPr>
          <w:i/>
          <w:iCs/>
        </w:rPr>
        <w:instrText xml:space="preserve"> STYLEREF 1 \s </w:instrText>
      </w:r>
      <w:r w:rsidR="004D7B97">
        <w:rPr>
          <w:i/>
          <w:iCs/>
        </w:rPr>
        <w:fldChar w:fldCharType="separate"/>
      </w:r>
      <w:r w:rsidR="00885DE4">
        <w:rPr>
          <w:i/>
          <w:iCs/>
          <w:noProof/>
        </w:rPr>
        <w:t>6</w:t>
      </w:r>
      <w:r w:rsidR="004D7B97">
        <w:rPr>
          <w:i/>
          <w:iCs/>
        </w:rPr>
        <w:fldChar w:fldCharType="end"/>
      </w:r>
      <w:r w:rsidR="004D7B97">
        <w:rPr>
          <w:i/>
          <w:iCs/>
        </w:rPr>
        <w:noBreakHyphen/>
      </w:r>
      <w:r w:rsidR="004D7B97">
        <w:rPr>
          <w:i/>
          <w:iCs/>
        </w:rPr>
        <w:fldChar w:fldCharType="begin"/>
      </w:r>
      <w:r w:rsidR="004D7B97">
        <w:rPr>
          <w:i/>
          <w:iCs/>
        </w:rPr>
        <w:instrText xml:space="preserve"> SEQ Table \* ARABIC \s 1 </w:instrText>
      </w:r>
      <w:r w:rsidR="004D7B97">
        <w:rPr>
          <w:i/>
          <w:iCs/>
        </w:rPr>
        <w:fldChar w:fldCharType="separate"/>
      </w:r>
      <w:r w:rsidR="00885DE4">
        <w:rPr>
          <w:i/>
          <w:iCs/>
          <w:noProof/>
        </w:rPr>
        <w:t>2</w:t>
      </w:r>
      <w:r w:rsidR="004D7B97">
        <w:rPr>
          <w:i/>
          <w:iCs/>
        </w:rPr>
        <w:fldChar w:fldCharType="end"/>
      </w:r>
      <w:bookmarkEnd w:id="276"/>
      <w:r w:rsidRPr="002936EE">
        <w:rPr>
          <w:i/>
          <w:iCs/>
        </w:rPr>
        <w:t xml:space="preserve"> Demographics table for</w:t>
      </w:r>
      <w:bookmarkEnd w:id="277"/>
      <w:r w:rsidRPr="002936EE">
        <w:rPr>
          <w:i/>
          <w:iCs/>
        </w:rPr>
        <w:t xml:space="preserve"> initial qPCR probe verification cohort of IPAH and HV samples.</w:t>
      </w:r>
      <w:r>
        <w:t xml:space="preserve">  </w:t>
      </w:r>
      <w:r w:rsidR="002936EE" w:rsidRPr="002936EE">
        <w:rPr>
          <w:rFonts w:eastAsia="Arial Unicode MS" w:cs="Arial Unicode MS"/>
          <w:i/>
          <w:iCs/>
        </w:rPr>
        <w:t>Normally distributed data shown as mean + standard deviation and comparisons made using Students t-test.  Non-normally distributed data shown as median + interquartile range and comparisons made using Mann Whitney U-test. Categorical data was tested with Chi-Squared.</w:t>
      </w:r>
      <w:bookmarkEnd w:id="278"/>
    </w:p>
    <w:p w14:paraId="1DCA4D16" w14:textId="3A44884A" w:rsidR="00777BE1" w:rsidRDefault="00777BE1">
      <w:r>
        <w:br w:type="page"/>
      </w:r>
    </w:p>
    <w:p w14:paraId="74FC16D0" w14:textId="77777777" w:rsidR="00E4064F" w:rsidRPr="004B3124" w:rsidRDefault="00E4064F" w:rsidP="00E4064F">
      <w:pPr>
        <w:pStyle w:val="Heading2"/>
        <w:numPr>
          <w:ilvl w:val="2"/>
          <w:numId w:val="7"/>
        </w:numPr>
        <w:spacing w:before="120" w:after="120"/>
      </w:pPr>
      <w:bookmarkStart w:id="279" w:name="_Toc60773947"/>
      <w:r>
        <w:lastRenderedPageBreak/>
        <w:t>Results</w:t>
      </w:r>
      <w:bookmarkEnd w:id="279"/>
    </w:p>
    <w:p w14:paraId="060410E4" w14:textId="12EBE741" w:rsidR="00E4064F" w:rsidRDefault="00E4064F" w:rsidP="00E4064F">
      <w:pPr>
        <w:pStyle w:val="Body"/>
      </w:pPr>
      <w:r>
        <w:t>R was used to interrogate the qPCR results of each miRNA.</w:t>
      </w:r>
      <w:r w:rsidRPr="00565530">
        <w:t xml:space="preserve"> </w:t>
      </w:r>
      <w:r>
        <w:t>5 out of 9 miRNAs failed due too extremely low to no sample amplification or NTC amplification close or within sample amplification,</w:t>
      </w:r>
      <w:r w:rsidR="00CE6A0A">
        <w:t xml:space="preserve"> </w:t>
      </w:r>
      <w:r w:rsidR="00CE6A0A">
        <w:fldChar w:fldCharType="begin"/>
      </w:r>
      <w:r w:rsidR="00CE6A0A">
        <w:instrText xml:space="preserve"> REF _Ref34558414 \r \h </w:instrText>
      </w:r>
      <w:r w:rsidR="00CE6A0A">
        <w:fldChar w:fldCharType="separate"/>
      </w:r>
      <w:r w:rsidR="00885DE4">
        <w:t>2.5.3.1</w:t>
      </w:r>
      <w:r w:rsidR="00CE6A0A">
        <w:fldChar w:fldCharType="end"/>
      </w:r>
      <w:r>
        <w:t xml:space="preserve">. These findings are summarised in </w:t>
      </w:r>
      <w:r>
        <w:fldChar w:fldCharType="begin"/>
      </w:r>
      <w:r>
        <w:instrText xml:space="preserve"> REF _Ref522462433 \h </w:instrText>
      </w:r>
      <w:r>
        <w:fldChar w:fldCharType="separate"/>
      </w:r>
      <w:r w:rsidR="00885DE4">
        <w:t xml:space="preserve">Table </w:t>
      </w:r>
      <w:r w:rsidR="00885DE4">
        <w:rPr>
          <w:noProof/>
        </w:rPr>
        <w:t>6</w:t>
      </w:r>
      <w:r w:rsidR="00885DE4">
        <w:noBreakHyphen/>
      </w:r>
      <w:r w:rsidR="00885DE4">
        <w:rPr>
          <w:noProof/>
        </w:rPr>
        <w:t>3</w:t>
      </w:r>
      <w:r>
        <w:fldChar w:fldCharType="end"/>
      </w:r>
      <w:r>
        <w:t>.</w:t>
      </w:r>
    </w:p>
    <w:tbl>
      <w:tblPr>
        <w:tblStyle w:val="DefaultTableStyle"/>
        <w:tblW w:w="8222" w:type="dxa"/>
        <w:jc w:val="center"/>
        <w:tblBorders>
          <w:insideV w:val="none" w:sz="0" w:space="0" w:color="auto"/>
        </w:tblBorders>
        <w:tblLayout w:type="fixed"/>
        <w:tblLook w:val="0660" w:firstRow="1" w:lastRow="1" w:firstColumn="0" w:lastColumn="0" w:noHBand="1" w:noVBand="1"/>
      </w:tblPr>
      <w:tblGrid>
        <w:gridCol w:w="2127"/>
        <w:gridCol w:w="2551"/>
        <w:gridCol w:w="3544"/>
      </w:tblGrid>
      <w:tr w:rsidR="00E4064F" w:rsidRPr="007F7A1E" w14:paraId="1BBD456A" w14:textId="77777777" w:rsidTr="000D1B2E">
        <w:trPr>
          <w:cnfStyle w:val="100000000000" w:firstRow="1" w:lastRow="0" w:firstColumn="0" w:lastColumn="0" w:oddVBand="0" w:evenVBand="0" w:oddHBand="0" w:evenHBand="0" w:firstRowFirstColumn="0" w:firstRowLastColumn="0" w:lastRowFirstColumn="0" w:lastRowLastColumn="0"/>
          <w:trHeight w:val="746"/>
          <w:jc w:val="center"/>
        </w:trPr>
        <w:tc>
          <w:tcPr>
            <w:tcW w:w="2127" w:type="dxa"/>
            <w:tcBorders>
              <w:top w:val="single" w:sz="4" w:space="0" w:color="auto"/>
              <w:bottom w:val="single" w:sz="4" w:space="0" w:color="auto"/>
            </w:tcBorders>
            <w:vAlign w:val="center"/>
          </w:tcPr>
          <w:p w14:paraId="6508C0E2" w14:textId="77777777" w:rsidR="00E4064F" w:rsidRPr="007F7A1E" w:rsidRDefault="00E4064F" w:rsidP="000D1B2E">
            <w:pPr>
              <w:pStyle w:val="BodyText1"/>
              <w:jc w:val="center"/>
              <w:rPr>
                <w:rFonts w:ascii="Times New Roman" w:hAnsi="Times New Roman" w:cs="Times New Roman"/>
                <w:sz w:val="22"/>
              </w:rPr>
            </w:pPr>
            <w:r>
              <w:rPr>
                <w:rFonts w:ascii="Times New Roman" w:hAnsi="Times New Roman" w:cs="Times New Roman"/>
                <w:sz w:val="22"/>
              </w:rPr>
              <w:t>miRNA</w:t>
            </w:r>
          </w:p>
        </w:tc>
        <w:tc>
          <w:tcPr>
            <w:tcW w:w="2551" w:type="dxa"/>
            <w:tcBorders>
              <w:top w:val="single" w:sz="4" w:space="0" w:color="auto"/>
              <w:bottom w:val="single" w:sz="4" w:space="0" w:color="auto"/>
            </w:tcBorders>
            <w:vAlign w:val="center"/>
          </w:tcPr>
          <w:p w14:paraId="1BDC97F0" w14:textId="77777777" w:rsidR="00E4064F" w:rsidRDefault="00E4064F" w:rsidP="000D1B2E">
            <w:pPr>
              <w:pStyle w:val="BodyText1"/>
              <w:jc w:val="center"/>
              <w:rPr>
                <w:rFonts w:ascii="Times New Roman" w:hAnsi="Times New Roman" w:cs="Times New Roman"/>
                <w:sz w:val="22"/>
              </w:rPr>
            </w:pPr>
            <w:r>
              <w:rPr>
                <w:rFonts w:ascii="Times New Roman" w:hAnsi="Times New Roman" w:cs="Times New Roman"/>
                <w:sz w:val="22"/>
              </w:rPr>
              <w:t>qPCR Pass/Fail</w:t>
            </w:r>
          </w:p>
        </w:tc>
        <w:tc>
          <w:tcPr>
            <w:tcW w:w="3544" w:type="dxa"/>
            <w:tcBorders>
              <w:top w:val="single" w:sz="4" w:space="0" w:color="auto"/>
              <w:bottom w:val="single" w:sz="4" w:space="0" w:color="auto"/>
            </w:tcBorders>
          </w:tcPr>
          <w:p w14:paraId="78BD92FF" w14:textId="77777777" w:rsidR="00E4064F" w:rsidRDefault="00E4064F" w:rsidP="000D1B2E">
            <w:pPr>
              <w:pStyle w:val="BodyText1"/>
              <w:jc w:val="center"/>
              <w:rPr>
                <w:rFonts w:ascii="Times New Roman" w:hAnsi="Times New Roman" w:cs="Times New Roman"/>
                <w:sz w:val="22"/>
              </w:rPr>
            </w:pPr>
            <w:r>
              <w:rPr>
                <w:rFonts w:ascii="Times New Roman" w:hAnsi="Times New Roman" w:cs="Times New Roman"/>
                <w:sz w:val="22"/>
              </w:rPr>
              <w:t>Notes</w:t>
            </w:r>
          </w:p>
        </w:tc>
      </w:tr>
      <w:tr w:rsidR="00E4064F" w:rsidRPr="007F7A1E" w14:paraId="2DA010BC" w14:textId="77777777" w:rsidTr="000D1B2E">
        <w:trPr>
          <w:trHeight w:val="613"/>
          <w:jc w:val="center"/>
        </w:trPr>
        <w:tc>
          <w:tcPr>
            <w:tcW w:w="2127" w:type="dxa"/>
            <w:tcBorders>
              <w:top w:val="single" w:sz="4" w:space="0" w:color="auto"/>
            </w:tcBorders>
            <w:vAlign w:val="center"/>
          </w:tcPr>
          <w:p w14:paraId="471CA1E3" w14:textId="77777777" w:rsidR="00E4064F" w:rsidRPr="00D15175" w:rsidRDefault="00E4064F" w:rsidP="000D1B2E">
            <w:pPr>
              <w:pStyle w:val="BodyText1"/>
              <w:rPr>
                <w:rFonts w:ascii="Times New Roman" w:hAnsi="Times New Roman"/>
              </w:rPr>
            </w:pPr>
            <w:r>
              <w:rPr>
                <w:rFonts w:ascii="Times New Roman" w:hAnsi="Times New Roman"/>
              </w:rPr>
              <w:t>miR-331-3p</w:t>
            </w:r>
          </w:p>
        </w:tc>
        <w:tc>
          <w:tcPr>
            <w:tcW w:w="2551" w:type="dxa"/>
            <w:tcBorders>
              <w:top w:val="single" w:sz="4" w:space="0" w:color="auto"/>
            </w:tcBorders>
            <w:vAlign w:val="center"/>
          </w:tcPr>
          <w:p w14:paraId="307B6C04" w14:textId="77777777" w:rsidR="00E4064F" w:rsidRPr="00D15175" w:rsidRDefault="00E4064F" w:rsidP="000D1B2E">
            <w:pPr>
              <w:pStyle w:val="BodyText1"/>
              <w:jc w:val="center"/>
              <w:rPr>
                <w:rFonts w:ascii="Times New Roman" w:hAnsi="Times New Roman" w:cs="Times New Roman"/>
              </w:rPr>
            </w:pPr>
            <w:r>
              <w:rPr>
                <w:rFonts w:ascii="Times New Roman" w:hAnsi="Times New Roman" w:cs="Times New Roman"/>
              </w:rPr>
              <w:t>Pass</w:t>
            </w:r>
          </w:p>
        </w:tc>
        <w:tc>
          <w:tcPr>
            <w:tcW w:w="3544" w:type="dxa"/>
            <w:tcBorders>
              <w:top w:val="single" w:sz="4" w:space="0" w:color="auto"/>
            </w:tcBorders>
          </w:tcPr>
          <w:p w14:paraId="09EB942C" w14:textId="77777777" w:rsidR="00E4064F" w:rsidRDefault="00E4064F" w:rsidP="000D1B2E">
            <w:pPr>
              <w:pStyle w:val="BodyText1"/>
              <w:jc w:val="center"/>
              <w:rPr>
                <w:rFonts w:ascii="Times New Roman" w:hAnsi="Times New Roman" w:cs="Times New Roman"/>
              </w:rPr>
            </w:pPr>
            <w:r>
              <w:rPr>
                <w:rFonts w:ascii="Times New Roman" w:hAnsi="Times New Roman" w:cs="Times New Roman"/>
              </w:rPr>
              <w:t>-</w:t>
            </w:r>
          </w:p>
        </w:tc>
      </w:tr>
      <w:tr w:rsidR="00E4064F" w:rsidRPr="007F7A1E" w14:paraId="70AD751F" w14:textId="77777777" w:rsidTr="000D1B2E">
        <w:trPr>
          <w:jc w:val="center"/>
        </w:trPr>
        <w:tc>
          <w:tcPr>
            <w:tcW w:w="2127" w:type="dxa"/>
            <w:shd w:val="clear" w:color="auto" w:fill="auto"/>
            <w:vAlign w:val="center"/>
          </w:tcPr>
          <w:p w14:paraId="70AED156" w14:textId="77777777" w:rsidR="00E4064F" w:rsidRPr="00D15175" w:rsidRDefault="00E4064F" w:rsidP="000D1B2E">
            <w:pPr>
              <w:pStyle w:val="BodyText1"/>
              <w:rPr>
                <w:rFonts w:ascii="Times New Roman" w:hAnsi="Times New Roman"/>
                <w:b/>
              </w:rPr>
            </w:pPr>
            <w:r>
              <w:rPr>
                <w:rFonts w:ascii="Times New Roman" w:hAnsi="Times New Roman"/>
              </w:rPr>
              <w:t>miR-451a</w:t>
            </w:r>
          </w:p>
        </w:tc>
        <w:tc>
          <w:tcPr>
            <w:tcW w:w="2551" w:type="dxa"/>
            <w:shd w:val="clear" w:color="auto" w:fill="auto"/>
            <w:vAlign w:val="center"/>
          </w:tcPr>
          <w:p w14:paraId="7DA1D6A9" w14:textId="77777777" w:rsidR="00E4064F" w:rsidRPr="001E23AD" w:rsidRDefault="00E4064F" w:rsidP="000D1B2E">
            <w:pPr>
              <w:pStyle w:val="BodyText1"/>
              <w:jc w:val="center"/>
              <w:rPr>
                <w:rFonts w:ascii="Times New Roman" w:hAnsi="Times New Roman" w:cs="Times New Roman"/>
              </w:rPr>
            </w:pPr>
            <w:r>
              <w:rPr>
                <w:rFonts w:ascii="Times New Roman" w:hAnsi="Times New Roman" w:cs="Times New Roman"/>
              </w:rPr>
              <w:t>Pass</w:t>
            </w:r>
          </w:p>
        </w:tc>
        <w:tc>
          <w:tcPr>
            <w:tcW w:w="3544" w:type="dxa"/>
          </w:tcPr>
          <w:p w14:paraId="44B50C80" w14:textId="77777777" w:rsidR="00E4064F" w:rsidRDefault="00E4064F" w:rsidP="000D1B2E">
            <w:pPr>
              <w:pStyle w:val="BodyText1"/>
              <w:jc w:val="center"/>
              <w:rPr>
                <w:rFonts w:ascii="Times New Roman" w:hAnsi="Times New Roman" w:cs="Times New Roman"/>
              </w:rPr>
            </w:pPr>
            <w:r>
              <w:rPr>
                <w:rFonts w:ascii="Times New Roman" w:hAnsi="Times New Roman" w:cs="Times New Roman"/>
              </w:rPr>
              <w:t>-</w:t>
            </w:r>
          </w:p>
        </w:tc>
      </w:tr>
      <w:tr w:rsidR="00E4064F" w:rsidRPr="007F7A1E" w14:paraId="68EB8129" w14:textId="77777777" w:rsidTr="000D1B2E">
        <w:trPr>
          <w:jc w:val="center"/>
        </w:trPr>
        <w:tc>
          <w:tcPr>
            <w:tcW w:w="2127" w:type="dxa"/>
            <w:shd w:val="clear" w:color="auto" w:fill="auto"/>
            <w:vAlign w:val="center"/>
          </w:tcPr>
          <w:p w14:paraId="4973124F" w14:textId="77777777" w:rsidR="00E4064F" w:rsidRPr="001E23AD" w:rsidRDefault="00E4064F" w:rsidP="000D1B2E">
            <w:pPr>
              <w:pStyle w:val="BodyText1"/>
              <w:rPr>
                <w:rFonts w:ascii="Times New Roman" w:hAnsi="Times New Roman"/>
              </w:rPr>
            </w:pPr>
            <w:r>
              <w:rPr>
                <w:rFonts w:ascii="Times New Roman" w:hAnsi="Times New Roman"/>
              </w:rPr>
              <w:t>miR-485-3p</w:t>
            </w:r>
          </w:p>
        </w:tc>
        <w:tc>
          <w:tcPr>
            <w:tcW w:w="2551" w:type="dxa"/>
            <w:shd w:val="clear" w:color="auto" w:fill="auto"/>
            <w:vAlign w:val="center"/>
          </w:tcPr>
          <w:p w14:paraId="5E9237D7" w14:textId="77777777" w:rsidR="00E4064F" w:rsidRPr="001E23AD" w:rsidRDefault="00E4064F" w:rsidP="000D1B2E">
            <w:pPr>
              <w:pStyle w:val="BodyText1"/>
              <w:jc w:val="center"/>
              <w:rPr>
                <w:rFonts w:ascii="Times New Roman" w:hAnsi="Times New Roman"/>
              </w:rPr>
            </w:pPr>
            <w:r>
              <w:rPr>
                <w:rFonts w:ascii="Times New Roman" w:hAnsi="Times New Roman"/>
              </w:rPr>
              <w:t>Pass</w:t>
            </w:r>
          </w:p>
        </w:tc>
        <w:tc>
          <w:tcPr>
            <w:tcW w:w="3544" w:type="dxa"/>
          </w:tcPr>
          <w:p w14:paraId="2A751676" w14:textId="77777777" w:rsidR="00E4064F" w:rsidRPr="001E23AD" w:rsidRDefault="00E4064F" w:rsidP="000D1B2E">
            <w:pPr>
              <w:pStyle w:val="BodyText1"/>
              <w:jc w:val="center"/>
              <w:rPr>
                <w:rFonts w:ascii="Times New Roman" w:hAnsi="Times New Roman"/>
              </w:rPr>
            </w:pPr>
            <w:r>
              <w:rPr>
                <w:rFonts w:ascii="Times New Roman" w:hAnsi="Times New Roman"/>
              </w:rPr>
              <w:t>-</w:t>
            </w:r>
          </w:p>
        </w:tc>
      </w:tr>
      <w:tr w:rsidR="00E4064F" w:rsidRPr="007F7A1E" w14:paraId="4A71DA29" w14:textId="77777777" w:rsidTr="000D1B2E">
        <w:trPr>
          <w:jc w:val="center"/>
        </w:trPr>
        <w:tc>
          <w:tcPr>
            <w:tcW w:w="2127" w:type="dxa"/>
            <w:shd w:val="clear" w:color="auto" w:fill="auto"/>
            <w:vAlign w:val="center"/>
          </w:tcPr>
          <w:p w14:paraId="2DC6E8FF" w14:textId="77777777" w:rsidR="00E4064F" w:rsidRDefault="00E4064F" w:rsidP="000D1B2E">
            <w:pPr>
              <w:pStyle w:val="BodyText1"/>
              <w:rPr>
                <w:rFonts w:ascii="Times New Roman" w:hAnsi="Times New Roman"/>
                <w:b/>
              </w:rPr>
            </w:pPr>
            <w:r>
              <w:rPr>
                <w:rFonts w:ascii="Times New Roman" w:hAnsi="Times New Roman"/>
              </w:rPr>
              <w:t>miR-584-5p</w:t>
            </w:r>
          </w:p>
        </w:tc>
        <w:tc>
          <w:tcPr>
            <w:tcW w:w="2551" w:type="dxa"/>
            <w:shd w:val="clear" w:color="auto" w:fill="auto"/>
            <w:vAlign w:val="center"/>
          </w:tcPr>
          <w:p w14:paraId="42E55614" w14:textId="77777777" w:rsidR="00E4064F" w:rsidRPr="004A4069" w:rsidRDefault="00E4064F" w:rsidP="000D1B2E">
            <w:pPr>
              <w:pStyle w:val="BodyText1"/>
              <w:jc w:val="center"/>
              <w:rPr>
                <w:rFonts w:ascii="Times New Roman" w:hAnsi="Times New Roman"/>
              </w:rPr>
            </w:pPr>
            <w:r>
              <w:rPr>
                <w:rFonts w:ascii="Times New Roman" w:hAnsi="Times New Roman"/>
                <w:b/>
              </w:rPr>
              <w:t xml:space="preserve"> </w:t>
            </w:r>
            <w:r>
              <w:rPr>
                <w:rFonts w:ascii="Times New Roman" w:hAnsi="Times New Roman"/>
              </w:rPr>
              <w:t>Pass</w:t>
            </w:r>
          </w:p>
        </w:tc>
        <w:tc>
          <w:tcPr>
            <w:tcW w:w="3544" w:type="dxa"/>
          </w:tcPr>
          <w:p w14:paraId="73241621" w14:textId="77777777" w:rsidR="00E4064F" w:rsidRDefault="00E4064F" w:rsidP="000D1B2E">
            <w:pPr>
              <w:pStyle w:val="BodyText1"/>
              <w:jc w:val="center"/>
              <w:rPr>
                <w:rFonts w:ascii="Times New Roman" w:hAnsi="Times New Roman"/>
              </w:rPr>
            </w:pPr>
            <w:r>
              <w:rPr>
                <w:rFonts w:ascii="Times New Roman" w:hAnsi="Times New Roman"/>
              </w:rPr>
              <w:t>-</w:t>
            </w:r>
          </w:p>
        </w:tc>
      </w:tr>
      <w:tr w:rsidR="00E4064F" w:rsidRPr="007F7A1E" w14:paraId="5C32177E" w14:textId="77777777" w:rsidTr="000D1B2E">
        <w:trPr>
          <w:jc w:val="center"/>
        </w:trPr>
        <w:tc>
          <w:tcPr>
            <w:tcW w:w="2127" w:type="dxa"/>
            <w:shd w:val="clear" w:color="auto" w:fill="auto"/>
            <w:vAlign w:val="center"/>
          </w:tcPr>
          <w:p w14:paraId="0CCB3F93" w14:textId="77777777" w:rsidR="00E4064F" w:rsidRPr="001E23AD" w:rsidRDefault="00E4064F" w:rsidP="000D1B2E">
            <w:pPr>
              <w:pStyle w:val="BodyText1"/>
              <w:rPr>
                <w:rFonts w:ascii="Times New Roman" w:hAnsi="Times New Roman"/>
              </w:rPr>
            </w:pPr>
            <w:r w:rsidRPr="001E23AD">
              <w:rPr>
                <w:rFonts w:ascii="Times New Roman" w:hAnsi="Times New Roman"/>
              </w:rPr>
              <w:t>miR-630</w:t>
            </w:r>
          </w:p>
        </w:tc>
        <w:tc>
          <w:tcPr>
            <w:tcW w:w="2551" w:type="dxa"/>
            <w:shd w:val="clear" w:color="auto" w:fill="auto"/>
            <w:vAlign w:val="center"/>
          </w:tcPr>
          <w:p w14:paraId="6C52945C" w14:textId="77777777" w:rsidR="00E4064F" w:rsidRPr="001E23AD" w:rsidRDefault="00E4064F" w:rsidP="000D1B2E">
            <w:pPr>
              <w:pStyle w:val="BodyText1"/>
              <w:jc w:val="center"/>
              <w:rPr>
                <w:rFonts w:ascii="Times New Roman" w:hAnsi="Times New Roman"/>
              </w:rPr>
            </w:pPr>
            <w:r>
              <w:rPr>
                <w:rFonts w:ascii="Times New Roman" w:hAnsi="Times New Roman"/>
              </w:rPr>
              <w:t>Failed</w:t>
            </w:r>
          </w:p>
        </w:tc>
        <w:tc>
          <w:tcPr>
            <w:tcW w:w="3544" w:type="dxa"/>
          </w:tcPr>
          <w:p w14:paraId="371282D6" w14:textId="77777777" w:rsidR="00E4064F" w:rsidRPr="001E23AD" w:rsidRDefault="00E4064F" w:rsidP="000D1B2E">
            <w:pPr>
              <w:pStyle w:val="BodyText1"/>
              <w:jc w:val="center"/>
              <w:rPr>
                <w:rFonts w:ascii="Times New Roman" w:hAnsi="Times New Roman"/>
              </w:rPr>
            </w:pPr>
            <w:r>
              <w:rPr>
                <w:rFonts w:ascii="Times New Roman" w:hAnsi="Times New Roman"/>
              </w:rPr>
              <w:t>Amplification in NTCs in-line with sample amplification</w:t>
            </w:r>
          </w:p>
        </w:tc>
      </w:tr>
      <w:tr w:rsidR="00E4064F" w:rsidRPr="007F7A1E" w14:paraId="2965C6F9" w14:textId="77777777" w:rsidTr="000D1B2E">
        <w:trPr>
          <w:jc w:val="center"/>
        </w:trPr>
        <w:tc>
          <w:tcPr>
            <w:tcW w:w="2127" w:type="dxa"/>
            <w:shd w:val="clear" w:color="auto" w:fill="auto"/>
            <w:vAlign w:val="center"/>
          </w:tcPr>
          <w:p w14:paraId="08BC2F1E" w14:textId="77777777" w:rsidR="00E4064F" w:rsidRPr="001E23AD" w:rsidRDefault="00E4064F" w:rsidP="000D1B2E">
            <w:pPr>
              <w:pStyle w:val="BodyText1"/>
              <w:rPr>
                <w:rFonts w:ascii="Times New Roman" w:hAnsi="Times New Roman"/>
              </w:rPr>
            </w:pPr>
            <w:r>
              <w:rPr>
                <w:rFonts w:ascii="Times New Roman" w:hAnsi="Times New Roman"/>
              </w:rPr>
              <w:t>miR-636</w:t>
            </w:r>
          </w:p>
        </w:tc>
        <w:tc>
          <w:tcPr>
            <w:tcW w:w="2551" w:type="dxa"/>
            <w:shd w:val="clear" w:color="auto" w:fill="auto"/>
            <w:vAlign w:val="center"/>
          </w:tcPr>
          <w:p w14:paraId="36684C6B" w14:textId="77777777" w:rsidR="00E4064F" w:rsidRPr="001E23AD" w:rsidRDefault="00E4064F" w:rsidP="000D1B2E">
            <w:pPr>
              <w:pStyle w:val="BodyText1"/>
              <w:jc w:val="center"/>
              <w:rPr>
                <w:rFonts w:ascii="Times New Roman" w:hAnsi="Times New Roman"/>
              </w:rPr>
            </w:pPr>
            <w:r>
              <w:rPr>
                <w:rFonts w:ascii="Times New Roman" w:hAnsi="Times New Roman"/>
              </w:rPr>
              <w:t>Failed</w:t>
            </w:r>
          </w:p>
        </w:tc>
        <w:tc>
          <w:tcPr>
            <w:tcW w:w="3544" w:type="dxa"/>
          </w:tcPr>
          <w:p w14:paraId="5A487964" w14:textId="77777777" w:rsidR="00E4064F" w:rsidRPr="001E23AD" w:rsidRDefault="00E4064F" w:rsidP="000D1B2E">
            <w:pPr>
              <w:pStyle w:val="BodyText1"/>
              <w:jc w:val="center"/>
              <w:rPr>
                <w:rFonts w:ascii="Times New Roman" w:hAnsi="Times New Roman"/>
              </w:rPr>
            </w:pPr>
            <w:r>
              <w:rPr>
                <w:rFonts w:ascii="Times New Roman" w:hAnsi="Times New Roman"/>
              </w:rPr>
              <w:t>Amplification in NTCs and failed amplification within most duplicates</w:t>
            </w:r>
          </w:p>
        </w:tc>
      </w:tr>
      <w:tr w:rsidR="00E4064F" w:rsidRPr="007F7A1E" w14:paraId="70DE5D23" w14:textId="77777777" w:rsidTr="000D1B2E">
        <w:trPr>
          <w:jc w:val="center"/>
        </w:trPr>
        <w:tc>
          <w:tcPr>
            <w:tcW w:w="2127" w:type="dxa"/>
            <w:shd w:val="clear" w:color="auto" w:fill="auto"/>
            <w:vAlign w:val="center"/>
          </w:tcPr>
          <w:p w14:paraId="408F0989" w14:textId="77777777" w:rsidR="00E4064F" w:rsidRDefault="00E4064F" w:rsidP="000D1B2E">
            <w:pPr>
              <w:pStyle w:val="BodyText1"/>
              <w:rPr>
                <w:rFonts w:ascii="Times New Roman" w:hAnsi="Times New Roman"/>
              </w:rPr>
            </w:pPr>
            <w:r>
              <w:rPr>
                <w:rFonts w:ascii="Times New Roman" w:hAnsi="Times New Roman"/>
              </w:rPr>
              <w:t>miR-671-5p</w:t>
            </w:r>
          </w:p>
        </w:tc>
        <w:tc>
          <w:tcPr>
            <w:tcW w:w="2551" w:type="dxa"/>
            <w:shd w:val="clear" w:color="auto" w:fill="auto"/>
            <w:vAlign w:val="center"/>
          </w:tcPr>
          <w:p w14:paraId="4A6DA6C2" w14:textId="77777777" w:rsidR="00E4064F" w:rsidRPr="001E23AD" w:rsidRDefault="00E4064F" w:rsidP="000D1B2E">
            <w:pPr>
              <w:pStyle w:val="BodyText1"/>
              <w:jc w:val="center"/>
              <w:rPr>
                <w:rFonts w:ascii="Times New Roman" w:hAnsi="Times New Roman"/>
              </w:rPr>
            </w:pPr>
            <w:r>
              <w:rPr>
                <w:rFonts w:ascii="Times New Roman" w:hAnsi="Times New Roman"/>
              </w:rPr>
              <w:t>Failed</w:t>
            </w:r>
          </w:p>
        </w:tc>
        <w:tc>
          <w:tcPr>
            <w:tcW w:w="3544" w:type="dxa"/>
          </w:tcPr>
          <w:p w14:paraId="6BA34015" w14:textId="77777777" w:rsidR="00E4064F" w:rsidRPr="001E23AD" w:rsidRDefault="00E4064F" w:rsidP="000D1B2E">
            <w:pPr>
              <w:pStyle w:val="BodyText1"/>
              <w:jc w:val="center"/>
              <w:rPr>
                <w:rFonts w:ascii="Times New Roman" w:hAnsi="Times New Roman"/>
              </w:rPr>
            </w:pPr>
            <w:r>
              <w:rPr>
                <w:rFonts w:ascii="Times New Roman" w:hAnsi="Times New Roman"/>
              </w:rPr>
              <w:t>Amplification in NTCs</w:t>
            </w:r>
          </w:p>
        </w:tc>
      </w:tr>
      <w:tr w:rsidR="00E4064F" w:rsidRPr="007F7A1E" w14:paraId="4EAF47E2" w14:textId="77777777" w:rsidTr="000D1B2E">
        <w:trPr>
          <w:jc w:val="center"/>
        </w:trPr>
        <w:tc>
          <w:tcPr>
            <w:tcW w:w="2127" w:type="dxa"/>
            <w:shd w:val="clear" w:color="auto" w:fill="auto"/>
            <w:vAlign w:val="center"/>
          </w:tcPr>
          <w:p w14:paraId="1DA7FD21" w14:textId="77777777" w:rsidR="00E4064F" w:rsidRDefault="00E4064F" w:rsidP="000D1B2E">
            <w:pPr>
              <w:pStyle w:val="BodyText1"/>
              <w:rPr>
                <w:rFonts w:ascii="Times New Roman" w:hAnsi="Times New Roman"/>
              </w:rPr>
            </w:pPr>
            <w:r>
              <w:rPr>
                <w:rFonts w:ascii="Times New Roman" w:hAnsi="Times New Roman"/>
              </w:rPr>
              <w:t>miR-877-3p</w:t>
            </w:r>
          </w:p>
        </w:tc>
        <w:tc>
          <w:tcPr>
            <w:tcW w:w="2551" w:type="dxa"/>
            <w:shd w:val="clear" w:color="auto" w:fill="auto"/>
            <w:vAlign w:val="center"/>
          </w:tcPr>
          <w:p w14:paraId="50A6A6BD" w14:textId="77777777" w:rsidR="00E4064F" w:rsidRPr="001E23AD" w:rsidRDefault="00E4064F" w:rsidP="000D1B2E">
            <w:pPr>
              <w:pStyle w:val="BodyText1"/>
              <w:jc w:val="center"/>
              <w:rPr>
                <w:rFonts w:ascii="Times New Roman" w:hAnsi="Times New Roman"/>
              </w:rPr>
            </w:pPr>
            <w:r>
              <w:rPr>
                <w:rFonts w:ascii="Times New Roman" w:hAnsi="Times New Roman"/>
              </w:rPr>
              <w:t>Failed</w:t>
            </w:r>
          </w:p>
        </w:tc>
        <w:tc>
          <w:tcPr>
            <w:tcW w:w="3544" w:type="dxa"/>
          </w:tcPr>
          <w:p w14:paraId="24579301" w14:textId="77777777" w:rsidR="00E4064F" w:rsidRPr="001E23AD" w:rsidRDefault="00E4064F" w:rsidP="000D1B2E">
            <w:pPr>
              <w:pStyle w:val="BodyText1"/>
              <w:jc w:val="center"/>
              <w:rPr>
                <w:rFonts w:ascii="Times New Roman" w:hAnsi="Times New Roman"/>
              </w:rPr>
            </w:pPr>
            <w:r>
              <w:rPr>
                <w:rFonts w:ascii="Times New Roman" w:hAnsi="Times New Roman"/>
              </w:rPr>
              <w:t>Amplification in NTCs</w:t>
            </w:r>
          </w:p>
        </w:tc>
      </w:tr>
      <w:tr w:rsidR="00E4064F" w:rsidRPr="007F7A1E" w14:paraId="7DEDD3E8" w14:textId="77777777" w:rsidTr="000D1B2E">
        <w:trPr>
          <w:cnfStyle w:val="010000000000" w:firstRow="0" w:lastRow="1" w:firstColumn="0" w:lastColumn="0" w:oddVBand="0" w:evenVBand="0" w:oddHBand="0" w:evenHBand="0" w:firstRowFirstColumn="0" w:firstRowLastColumn="0" w:lastRowFirstColumn="0" w:lastRowLastColumn="0"/>
          <w:jc w:val="center"/>
        </w:trPr>
        <w:tc>
          <w:tcPr>
            <w:tcW w:w="2127" w:type="dxa"/>
            <w:tcBorders>
              <w:top w:val="none" w:sz="0" w:space="0" w:color="auto"/>
              <w:bottom w:val="none" w:sz="0" w:space="0" w:color="auto"/>
            </w:tcBorders>
            <w:shd w:val="clear" w:color="auto" w:fill="auto"/>
            <w:vAlign w:val="center"/>
          </w:tcPr>
          <w:p w14:paraId="35657D9F" w14:textId="77777777" w:rsidR="00E4064F" w:rsidRPr="001E23AD" w:rsidRDefault="00E4064F" w:rsidP="000D1B2E">
            <w:pPr>
              <w:pStyle w:val="BodyText1"/>
              <w:rPr>
                <w:rFonts w:ascii="Times New Roman" w:hAnsi="Times New Roman"/>
                <w:b w:val="0"/>
              </w:rPr>
            </w:pPr>
            <w:r w:rsidRPr="001E23AD">
              <w:rPr>
                <w:rFonts w:ascii="Times New Roman" w:hAnsi="Times New Roman"/>
                <w:b w:val="0"/>
              </w:rPr>
              <w:t>miR-3613-3p,</w:t>
            </w:r>
          </w:p>
        </w:tc>
        <w:tc>
          <w:tcPr>
            <w:tcW w:w="2551" w:type="dxa"/>
            <w:tcBorders>
              <w:top w:val="none" w:sz="0" w:space="0" w:color="auto"/>
              <w:bottom w:val="none" w:sz="0" w:space="0" w:color="auto"/>
            </w:tcBorders>
            <w:shd w:val="clear" w:color="auto" w:fill="auto"/>
            <w:vAlign w:val="center"/>
          </w:tcPr>
          <w:p w14:paraId="11911268" w14:textId="77777777" w:rsidR="00E4064F" w:rsidRPr="00B34EB9" w:rsidRDefault="00E4064F" w:rsidP="000D1B2E">
            <w:pPr>
              <w:pStyle w:val="BodyText1"/>
              <w:jc w:val="center"/>
              <w:rPr>
                <w:rFonts w:ascii="Times New Roman" w:hAnsi="Times New Roman"/>
                <w:b w:val="0"/>
              </w:rPr>
            </w:pPr>
            <w:r w:rsidRPr="00B34EB9">
              <w:rPr>
                <w:rFonts w:ascii="Times New Roman" w:hAnsi="Times New Roman"/>
                <w:b w:val="0"/>
              </w:rPr>
              <w:t>Failed</w:t>
            </w:r>
          </w:p>
        </w:tc>
        <w:tc>
          <w:tcPr>
            <w:tcW w:w="3544" w:type="dxa"/>
            <w:tcBorders>
              <w:top w:val="none" w:sz="0" w:space="0" w:color="auto"/>
              <w:bottom w:val="none" w:sz="0" w:space="0" w:color="auto"/>
            </w:tcBorders>
          </w:tcPr>
          <w:p w14:paraId="057BEADD" w14:textId="77777777" w:rsidR="00E4064F" w:rsidRPr="00566D52" w:rsidRDefault="00E4064F" w:rsidP="000D1B2E">
            <w:pPr>
              <w:pStyle w:val="BodyText1"/>
              <w:jc w:val="center"/>
              <w:rPr>
                <w:rFonts w:ascii="Times New Roman" w:hAnsi="Times New Roman"/>
                <w:b w:val="0"/>
              </w:rPr>
            </w:pPr>
            <w:r w:rsidRPr="00566D52">
              <w:rPr>
                <w:rFonts w:ascii="Times New Roman" w:hAnsi="Times New Roman"/>
                <w:b w:val="0"/>
              </w:rPr>
              <w:t xml:space="preserve">Amplification in NTCs </w:t>
            </w:r>
            <w:r>
              <w:rPr>
                <w:rFonts w:ascii="Times New Roman" w:hAnsi="Times New Roman"/>
                <w:b w:val="0"/>
              </w:rPr>
              <w:t>and the within majority of samples failed to amplify</w:t>
            </w:r>
          </w:p>
        </w:tc>
      </w:tr>
    </w:tbl>
    <w:p w14:paraId="27E77141" w14:textId="270BB916" w:rsidR="00E4064F" w:rsidRDefault="00E4064F" w:rsidP="00E4064F">
      <w:pPr>
        <w:pStyle w:val="Caption"/>
      </w:pPr>
      <w:bookmarkStart w:id="280" w:name="_Ref522462433"/>
      <w:bookmarkStart w:id="281" w:name="_Toc60597192"/>
      <w:r>
        <w:t xml:space="preserve">Table </w:t>
      </w:r>
      <w:r w:rsidR="004D7B97">
        <w:fldChar w:fldCharType="begin"/>
      </w:r>
      <w:r w:rsidR="004D7B97">
        <w:instrText xml:space="preserve"> STYLEREF 1 \s </w:instrText>
      </w:r>
      <w:r w:rsidR="004D7B97">
        <w:fldChar w:fldCharType="separate"/>
      </w:r>
      <w:r w:rsidR="00885DE4">
        <w:rPr>
          <w:noProof/>
        </w:rPr>
        <w:t>6</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3</w:t>
      </w:r>
      <w:r w:rsidR="004D7B97">
        <w:fldChar w:fldCharType="end"/>
      </w:r>
      <w:bookmarkEnd w:id="280"/>
      <w:r>
        <w:t xml:space="preserve"> Summary of initial qPCR verification results following inspecting of amplification curves.</w:t>
      </w:r>
      <w:bookmarkEnd w:id="281"/>
    </w:p>
    <w:p w14:paraId="74F09BC2" w14:textId="77777777" w:rsidR="00E4064F" w:rsidRDefault="00E4064F" w:rsidP="00E4064F"/>
    <w:p w14:paraId="4D9456D0" w14:textId="77777777" w:rsidR="00E4064F" w:rsidRDefault="00E4064F" w:rsidP="00E4064F">
      <w:pPr>
        <w:pStyle w:val="Heading2"/>
        <w:numPr>
          <w:ilvl w:val="1"/>
          <w:numId w:val="7"/>
        </w:numPr>
        <w:spacing w:before="120" w:after="120"/>
      </w:pPr>
      <w:bookmarkStart w:id="282" w:name="_Ref524186936"/>
      <w:bookmarkStart w:id="283" w:name="_Toc60773948"/>
      <w:r>
        <w:t>Additional MiRNAs for Selected for Validation</w:t>
      </w:r>
      <w:bookmarkEnd w:id="282"/>
      <w:bookmarkEnd w:id="283"/>
    </w:p>
    <w:p w14:paraId="4ED354C9" w14:textId="56146446" w:rsidR="00E4064F" w:rsidRDefault="00E4064F" w:rsidP="00E4064F">
      <w:pPr>
        <w:pStyle w:val="Body"/>
      </w:pPr>
      <w:r>
        <w:t xml:space="preserve">As only two ROC based biomarker panels had been previously determined in the </w:t>
      </w:r>
      <w:proofErr w:type="spellStart"/>
      <w:r>
        <w:t>SSc</w:t>
      </w:r>
      <w:proofErr w:type="spellEnd"/>
      <w:r>
        <w:t xml:space="preserve"> from </w:t>
      </w:r>
      <w:proofErr w:type="spellStart"/>
      <w:r>
        <w:t>SSc</w:t>
      </w:r>
      <w:proofErr w:type="spellEnd"/>
      <w:r>
        <w:t>-PAH group additional biomarker targets were sought. The ROC based biomarker discovery methodology was repeated with the miRNAs that had experimentally failed removed from the input before processing.</w:t>
      </w:r>
      <w:r w:rsidRPr="008C1D88">
        <w:t xml:space="preserve"> </w:t>
      </w:r>
      <w:r>
        <w:t xml:space="preserve">Only 1 panel exceeded the QC cut-offs described in </w:t>
      </w:r>
      <w:r w:rsidR="00AD7862">
        <w:t xml:space="preserve"> </w:t>
      </w:r>
      <w:r w:rsidR="00AD7862">
        <w:fldChar w:fldCharType="begin"/>
      </w:r>
      <w:r w:rsidR="00AD7862">
        <w:instrText xml:space="preserve"> REF _Ref40728821 \r \h </w:instrText>
      </w:r>
      <w:r w:rsidR="00AD7862">
        <w:fldChar w:fldCharType="separate"/>
      </w:r>
      <w:r w:rsidR="00885DE4">
        <w:t>2.5.3.1</w:t>
      </w:r>
      <w:r w:rsidR="00AD7862">
        <w:fldChar w:fldCharType="end"/>
      </w:r>
      <w:r>
        <w:t xml:space="preserve"> the panels predictive metrics are summarised in </w:t>
      </w:r>
      <w:r>
        <w:lastRenderedPageBreak/>
        <w:fldChar w:fldCharType="begin"/>
      </w:r>
      <w:r>
        <w:instrText xml:space="preserve"> REF _Ref4182216 \h </w:instrText>
      </w:r>
      <w:r>
        <w:fldChar w:fldCharType="separate"/>
      </w:r>
      <w:r w:rsidR="00885DE4" w:rsidRPr="00BC5DE4">
        <w:rPr>
          <w:i/>
          <w:iCs/>
        </w:rPr>
        <w:t xml:space="preserve">Table </w:t>
      </w:r>
      <w:r w:rsidR="00885DE4">
        <w:rPr>
          <w:i/>
          <w:iCs/>
          <w:noProof/>
        </w:rPr>
        <w:t>6</w:t>
      </w:r>
      <w:r w:rsidR="00885DE4">
        <w:rPr>
          <w:i/>
          <w:iCs/>
        </w:rPr>
        <w:noBreakHyphen/>
      </w:r>
      <w:r w:rsidR="00885DE4">
        <w:rPr>
          <w:i/>
          <w:iCs/>
          <w:noProof/>
        </w:rPr>
        <w:t>4</w:t>
      </w:r>
      <w:r>
        <w:fldChar w:fldCharType="end"/>
      </w:r>
      <w:r>
        <w:t xml:space="preserve">. </w:t>
      </w:r>
      <w:r w:rsidR="006B7602">
        <w:t>The small standard deviation of the performance metrics shown is indicative of stability within the performance of the panel.</w:t>
      </w:r>
    </w:p>
    <w:p w14:paraId="68290506" w14:textId="77777777" w:rsidR="00EB541E" w:rsidRPr="00D65709" w:rsidRDefault="00EB541E" w:rsidP="00E4064F">
      <w:pPr>
        <w:pStyle w:val="Body"/>
      </w:pPr>
    </w:p>
    <w:tbl>
      <w:tblPr>
        <w:tblStyle w:val="DefaultTableStyle"/>
        <w:tblW w:w="8845" w:type="dxa"/>
        <w:tblInd w:w="108" w:type="dxa"/>
        <w:tblBorders>
          <w:insideV w:val="none" w:sz="0" w:space="0" w:color="auto"/>
        </w:tblBorders>
        <w:tblLayout w:type="fixed"/>
        <w:tblLook w:val="0660" w:firstRow="1" w:lastRow="1" w:firstColumn="0" w:lastColumn="0" w:noHBand="1" w:noVBand="1"/>
      </w:tblPr>
      <w:tblGrid>
        <w:gridCol w:w="3294"/>
        <w:gridCol w:w="851"/>
        <w:gridCol w:w="815"/>
        <w:gridCol w:w="1920"/>
        <w:gridCol w:w="1965"/>
      </w:tblGrid>
      <w:tr w:rsidR="00E4064F" w:rsidRPr="007F7A1E" w14:paraId="28897124" w14:textId="77777777" w:rsidTr="00BC02BF">
        <w:trPr>
          <w:cnfStyle w:val="100000000000" w:firstRow="1" w:lastRow="0" w:firstColumn="0" w:lastColumn="0" w:oddVBand="0" w:evenVBand="0" w:oddHBand="0" w:evenHBand="0" w:firstRowFirstColumn="0" w:firstRowLastColumn="0" w:lastRowFirstColumn="0" w:lastRowLastColumn="0"/>
          <w:trHeight w:val="746"/>
        </w:trPr>
        <w:tc>
          <w:tcPr>
            <w:tcW w:w="3294" w:type="dxa"/>
            <w:tcBorders>
              <w:top w:val="single" w:sz="4" w:space="0" w:color="auto"/>
              <w:bottom w:val="single" w:sz="4" w:space="0" w:color="auto"/>
            </w:tcBorders>
            <w:vAlign w:val="center"/>
          </w:tcPr>
          <w:p w14:paraId="1C687A17" w14:textId="77777777" w:rsidR="00E4064F" w:rsidRPr="007F7A1E" w:rsidRDefault="00E4064F" w:rsidP="000D1B2E">
            <w:pPr>
              <w:pStyle w:val="BodyText1"/>
              <w:jc w:val="center"/>
              <w:rPr>
                <w:rFonts w:ascii="Times New Roman" w:hAnsi="Times New Roman" w:cs="Times New Roman"/>
                <w:sz w:val="22"/>
              </w:rPr>
            </w:pPr>
            <w:r>
              <w:rPr>
                <w:rFonts w:ascii="Times New Roman" w:hAnsi="Times New Roman" w:cs="Times New Roman"/>
                <w:sz w:val="22"/>
              </w:rPr>
              <w:t>miRNAs in Panel</w:t>
            </w:r>
          </w:p>
        </w:tc>
        <w:tc>
          <w:tcPr>
            <w:tcW w:w="851" w:type="dxa"/>
            <w:tcBorders>
              <w:top w:val="single" w:sz="4" w:space="0" w:color="auto"/>
              <w:bottom w:val="single" w:sz="4" w:space="0" w:color="auto"/>
            </w:tcBorders>
            <w:vAlign w:val="center"/>
          </w:tcPr>
          <w:p w14:paraId="6F207A60" w14:textId="77777777" w:rsidR="00E4064F" w:rsidRDefault="00E4064F" w:rsidP="000D1B2E">
            <w:pPr>
              <w:pStyle w:val="BodyText1"/>
              <w:jc w:val="center"/>
              <w:rPr>
                <w:rFonts w:ascii="Times New Roman" w:hAnsi="Times New Roman" w:cs="Times New Roman"/>
                <w:sz w:val="22"/>
              </w:rPr>
            </w:pPr>
            <w:r>
              <w:rPr>
                <w:rFonts w:ascii="Times New Roman" w:hAnsi="Times New Roman" w:cs="Times New Roman"/>
                <w:sz w:val="22"/>
              </w:rPr>
              <w:t>Se</w:t>
            </w:r>
          </w:p>
        </w:tc>
        <w:tc>
          <w:tcPr>
            <w:tcW w:w="815" w:type="dxa"/>
            <w:tcBorders>
              <w:top w:val="single" w:sz="4" w:space="0" w:color="auto"/>
              <w:bottom w:val="single" w:sz="4" w:space="0" w:color="auto"/>
            </w:tcBorders>
            <w:vAlign w:val="center"/>
          </w:tcPr>
          <w:p w14:paraId="4C03B3A7" w14:textId="77777777" w:rsidR="00E4064F" w:rsidRDefault="00E4064F" w:rsidP="000D1B2E">
            <w:pPr>
              <w:pStyle w:val="BodyText1"/>
              <w:jc w:val="center"/>
              <w:rPr>
                <w:rFonts w:ascii="Times New Roman" w:hAnsi="Times New Roman" w:cs="Times New Roman"/>
                <w:sz w:val="22"/>
              </w:rPr>
            </w:pPr>
            <w:proofErr w:type="spellStart"/>
            <w:r>
              <w:rPr>
                <w:rFonts w:ascii="Times New Roman" w:hAnsi="Times New Roman" w:cs="Times New Roman"/>
                <w:sz w:val="22"/>
              </w:rPr>
              <w:t>Sp</w:t>
            </w:r>
            <w:proofErr w:type="spellEnd"/>
          </w:p>
        </w:tc>
        <w:tc>
          <w:tcPr>
            <w:tcW w:w="1920" w:type="dxa"/>
            <w:tcBorders>
              <w:top w:val="single" w:sz="4" w:space="0" w:color="auto"/>
              <w:bottom w:val="single" w:sz="4" w:space="0" w:color="auto"/>
            </w:tcBorders>
            <w:vAlign w:val="center"/>
          </w:tcPr>
          <w:p w14:paraId="450FF465" w14:textId="77777777" w:rsidR="00E4064F" w:rsidRDefault="00E4064F" w:rsidP="000D1B2E">
            <w:pPr>
              <w:pStyle w:val="BodyText1"/>
              <w:jc w:val="center"/>
              <w:rPr>
                <w:rFonts w:ascii="Times New Roman" w:hAnsi="Times New Roman" w:cs="Times New Roman"/>
                <w:sz w:val="22"/>
              </w:rPr>
            </w:pPr>
            <w:r>
              <w:rPr>
                <w:rFonts w:ascii="Times New Roman" w:hAnsi="Times New Roman" w:cs="Times New Roman"/>
                <w:sz w:val="22"/>
              </w:rPr>
              <w:t>Positive Predictive Value</w:t>
            </w:r>
          </w:p>
        </w:tc>
        <w:tc>
          <w:tcPr>
            <w:tcW w:w="1965" w:type="dxa"/>
            <w:tcBorders>
              <w:top w:val="single" w:sz="4" w:space="0" w:color="auto"/>
              <w:bottom w:val="single" w:sz="4" w:space="0" w:color="auto"/>
            </w:tcBorders>
            <w:vAlign w:val="center"/>
          </w:tcPr>
          <w:p w14:paraId="101FA1A8" w14:textId="77777777" w:rsidR="00E4064F" w:rsidRPr="007F7A1E" w:rsidRDefault="00E4064F" w:rsidP="000D1B2E">
            <w:pPr>
              <w:pStyle w:val="BodyText1"/>
              <w:jc w:val="center"/>
              <w:rPr>
                <w:rFonts w:ascii="Times New Roman" w:hAnsi="Times New Roman" w:cs="Times New Roman"/>
                <w:sz w:val="22"/>
              </w:rPr>
            </w:pPr>
            <w:r>
              <w:rPr>
                <w:rFonts w:ascii="Times New Roman" w:hAnsi="Times New Roman" w:cs="Times New Roman"/>
                <w:sz w:val="22"/>
              </w:rPr>
              <w:t>Negative Predictive Value</w:t>
            </w:r>
          </w:p>
        </w:tc>
      </w:tr>
      <w:tr w:rsidR="00E4064F" w:rsidRPr="008C1D88" w14:paraId="61005247" w14:textId="77777777" w:rsidTr="00BC02BF">
        <w:trPr>
          <w:cnfStyle w:val="010000000000" w:firstRow="0" w:lastRow="1" w:firstColumn="0" w:lastColumn="0" w:oddVBand="0" w:evenVBand="0" w:oddHBand="0" w:evenHBand="0" w:firstRowFirstColumn="0" w:firstRowLastColumn="0" w:lastRowFirstColumn="0" w:lastRowLastColumn="0"/>
          <w:trHeight w:val="613"/>
        </w:trPr>
        <w:tc>
          <w:tcPr>
            <w:tcW w:w="3294" w:type="dxa"/>
            <w:tcBorders>
              <w:top w:val="single" w:sz="4" w:space="0" w:color="auto"/>
            </w:tcBorders>
            <w:vAlign w:val="center"/>
          </w:tcPr>
          <w:p w14:paraId="3BC63404" w14:textId="77777777" w:rsidR="00E4064F" w:rsidRPr="008C1D88" w:rsidRDefault="00E4064F" w:rsidP="000D1B2E">
            <w:pPr>
              <w:pStyle w:val="BodyText1"/>
              <w:rPr>
                <w:rFonts w:ascii="Times New Roman" w:hAnsi="Times New Roman"/>
                <w:b w:val="0"/>
              </w:rPr>
            </w:pPr>
            <w:r w:rsidRPr="008C1D88">
              <w:rPr>
                <w:rFonts w:ascii="Times New Roman" w:hAnsi="Times New Roman"/>
                <w:b w:val="0"/>
              </w:rPr>
              <w:t>miR-486-5p, miR-584-5p, miR-638</w:t>
            </w:r>
          </w:p>
        </w:tc>
        <w:tc>
          <w:tcPr>
            <w:tcW w:w="851" w:type="dxa"/>
            <w:tcBorders>
              <w:top w:val="single" w:sz="4" w:space="0" w:color="auto"/>
            </w:tcBorders>
            <w:vAlign w:val="center"/>
          </w:tcPr>
          <w:p w14:paraId="083B9AC2" w14:textId="77777777" w:rsidR="00E4064F" w:rsidRDefault="00E4064F" w:rsidP="000D1B2E">
            <w:pPr>
              <w:pStyle w:val="BodyText1"/>
              <w:jc w:val="center"/>
              <w:rPr>
                <w:rFonts w:ascii="Times New Roman" w:hAnsi="Times New Roman"/>
                <w:bCs w:val="0"/>
              </w:rPr>
            </w:pPr>
            <w:r w:rsidRPr="008C1D88">
              <w:rPr>
                <w:rFonts w:ascii="Times New Roman" w:hAnsi="Times New Roman"/>
                <w:b w:val="0"/>
              </w:rPr>
              <w:t>0.</w:t>
            </w:r>
            <w:r>
              <w:rPr>
                <w:rFonts w:ascii="Times New Roman" w:hAnsi="Times New Roman"/>
                <w:b w:val="0"/>
              </w:rPr>
              <w:t>85</w:t>
            </w:r>
          </w:p>
          <w:p w14:paraId="3DC6514C" w14:textId="475E3B79" w:rsidR="00BC02BF" w:rsidRPr="008C1D88" w:rsidRDefault="00BC02BF" w:rsidP="000D1B2E">
            <w:pPr>
              <w:pStyle w:val="BodyText1"/>
              <w:jc w:val="center"/>
              <w:rPr>
                <w:rFonts w:ascii="Times New Roman" w:hAnsi="Times New Roman" w:cs="Times New Roman"/>
                <w:b w:val="0"/>
              </w:rPr>
            </w:pPr>
            <w:r>
              <w:rPr>
                <w:rFonts w:ascii="Times New Roman" w:hAnsi="Times New Roman"/>
                <w:b w:val="0"/>
              </w:rPr>
              <w:t>(0.027)</w:t>
            </w:r>
          </w:p>
        </w:tc>
        <w:tc>
          <w:tcPr>
            <w:tcW w:w="815" w:type="dxa"/>
            <w:tcBorders>
              <w:top w:val="single" w:sz="4" w:space="0" w:color="auto"/>
            </w:tcBorders>
            <w:vAlign w:val="center"/>
          </w:tcPr>
          <w:p w14:paraId="2F76178F" w14:textId="77777777" w:rsidR="00E4064F" w:rsidRDefault="00E4064F" w:rsidP="000D1B2E">
            <w:pPr>
              <w:pStyle w:val="BodyText1"/>
              <w:jc w:val="center"/>
              <w:rPr>
                <w:rFonts w:ascii="Times New Roman" w:hAnsi="Times New Roman"/>
                <w:bCs w:val="0"/>
              </w:rPr>
            </w:pPr>
            <w:r w:rsidRPr="008C1D88">
              <w:rPr>
                <w:rFonts w:ascii="Times New Roman" w:hAnsi="Times New Roman"/>
                <w:b w:val="0"/>
              </w:rPr>
              <w:t>0.8</w:t>
            </w:r>
            <w:r>
              <w:rPr>
                <w:rFonts w:ascii="Times New Roman" w:hAnsi="Times New Roman"/>
                <w:b w:val="0"/>
              </w:rPr>
              <w:t>3</w:t>
            </w:r>
          </w:p>
          <w:p w14:paraId="7C29B443" w14:textId="6BDFAC5A" w:rsidR="00BC02BF" w:rsidRPr="008C1D88" w:rsidRDefault="00BC02BF" w:rsidP="000D1B2E">
            <w:pPr>
              <w:pStyle w:val="BodyText1"/>
              <w:jc w:val="center"/>
              <w:rPr>
                <w:rFonts w:ascii="Times New Roman" w:hAnsi="Times New Roman" w:cs="Times New Roman"/>
                <w:b w:val="0"/>
              </w:rPr>
            </w:pPr>
            <w:r>
              <w:rPr>
                <w:rFonts w:ascii="Times New Roman" w:hAnsi="Times New Roman"/>
                <w:b w:val="0"/>
              </w:rPr>
              <w:t>(0.082)</w:t>
            </w:r>
          </w:p>
        </w:tc>
        <w:tc>
          <w:tcPr>
            <w:tcW w:w="1920" w:type="dxa"/>
            <w:tcBorders>
              <w:top w:val="single" w:sz="4" w:space="0" w:color="auto"/>
            </w:tcBorders>
            <w:vAlign w:val="center"/>
          </w:tcPr>
          <w:p w14:paraId="07274B77" w14:textId="77777777" w:rsidR="00E4064F" w:rsidRDefault="00E4064F" w:rsidP="000D1B2E">
            <w:pPr>
              <w:pStyle w:val="BodyText1"/>
              <w:jc w:val="center"/>
              <w:rPr>
                <w:rFonts w:ascii="Times New Roman" w:hAnsi="Times New Roman"/>
                <w:bCs w:val="0"/>
              </w:rPr>
            </w:pPr>
            <w:r w:rsidRPr="008C1D88">
              <w:rPr>
                <w:rFonts w:ascii="Times New Roman" w:hAnsi="Times New Roman"/>
                <w:b w:val="0"/>
              </w:rPr>
              <w:t>0.</w:t>
            </w:r>
            <w:r>
              <w:rPr>
                <w:rFonts w:ascii="Times New Roman" w:hAnsi="Times New Roman"/>
                <w:b w:val="0"/>
              </w:rPr>
              <w:t>90</w:t>
            </w:r>
          </w:p>
          <w:p w14:paraId="66F55E81" w14:textId="373A280F" w:rsidR="00BC02BF" w:rsidRPr="008C1D88" w:rsidRDefault="00BC02BF" w:rsidP="000D1B2E">
            <w:pPr>
              <w:pStyle w:val="BodyText1"/>
              <w:jc w:val="center"/>
              <w:rPr>
                <w:rFonts w:ascii="Times New Roman" w:hAnsi="Times New Roman" w:cs="Times New Roman"/>
                <w:b w:val="0"/>
              </w:rPr>
            </w:pPr>
            <w:r>
              <w:rPr>
                <w:rFonts w:ascii="Times New Roman" w:hAnsi="Times New Roman"/>
                <w:b w:val="0"/>
              </w:rPr>
              <w:t>(0.040)</w:t>
            </w:r>
          </w:p>
        </w:tc>
        <w:tc>
          <w:tcPr>
            <w:tcW w:w="1965" w:type="dxa"/>
            <w:tcBorders>
              <w:top w:val="single" w:sz="4" w:space="0" w:color="auto"/>
            </w:tcBorders>
            <w:vAlign w:val="center"/>
          </w:tcPr>
          <w:p w14:paraId="50CC0D71" w14:textId="77777777" w:rsidR="00E4064F" w:rsidRDefault="00E4064F" w:rsidP="000D1B2E">
            <w:pPr>
              <w:pStyle w:val="BodyText1"/>
              <w:jc w:val="center"/>
              <w:rPr>
                <w:rFonts w:ascii="Times New Roman" w:hAnsi="Times New Roman"/>
                <w:bCs w:val="0"/>
              </w:rPr>
            </w:pPr>
            <w:r>
              <w:rPr>
                <w:rFonts w:ascii="Times New Roman" w:hAnsi="Times New Roman"/>
                <w:b w:val="0"/>
              </w:rPr>
              <w:t>0.7</w:t>
            </w:r>
            <w:r w:rsidRPr="008C1D88">
              <w:rPr>
                <w:rFonts w:ascii="Times New Roman" w:hAnsi="Times New Roman"/>
                <w:b w:val="0"/>
              </w:rPr>
              <w:t>6</w:t>
            </w:r>
          </w:p>
          <w:p w14:paraId="6E3777EB" w14:textId="47E34C30" w:rsidR="00BC02BF" w:rsidRPr="008C1D88" w:rsidRDefault="00BC02BF" w:rsidP="000D1B2E">
            <w:pPr>
              <w:pStyle w:val="BodyText1"/>
              <w:jc w:val="center"/>
              <w:rPr>
                <w:rFonts w:ascii="Times New Roman" w:hAnsi="Times New Roman" w:cs="Times New Roman"/>
                <w:b w:val="0"/>
              </w:rPr>
            </w:pPr>
            <w:r>
              <w:rPr>
                <w:rFonts w:ascii="Times New Roman" w:hAnsi="Times New Roman"/>
                <w:b w:val="0"/>
              </w:rPr>
              <w:t>(0.023)</w:t>
            </w:r>
          </w:p>
        </w:tc>
      </w:tr>
    </w:tbl>
    <w:p w14:paraId="483008B8" w14:textId="25235A72" w:rsidR="00BC5DE4" w:rsidRPr="00BC5DE4" w:rsidRDefault="00E4064F" w:rsidP="00BC5DE4">
      <w:pPr>
        <w:pStyle w:val="Body"/>
        <w:rPr>
          <w:i/>
          <w:iCs/>
        </w:rPr>
      </w:pPr>
      <w:r w:rsidRPr="00BC5DE4">
        <w:rPr>
          <w:i/>
          <w:iCs/>
        </w:rPr>
        <w:t xml:space="preserve"> </w:t>
      </w:r>
      <w:bookmarkStart w:id="284" w:name="_Ref4182216"/>
      <w:bookmarkStart w:id="285" w:name="_Toc60597193"/>
      <w:r w:rsidRPr="00BC5DE4">
        <w:rPr>
          <w:i/>
          <w:iCs/>
        </w:rPr>
        <w:t xml:space="preserve">Table </w:t>
      </w:r>
      <w:r w:rsidR="004D7B97">
        <w:rPr>
          <w:i/>
          <w:iCs/>
        </w:rPr>
        <w:fldChar w:fldCharType="begin"/>
      </w:r>
      <w:r w:rsidR="004D7B97">
        <w:rPr>
          <w:i/>
          <w:iCs/>
        </w:rPr>
        <w:instrText xml:space="preserve"> STYLEREF 1 \s </w:instrText>
      </w:r>
      <w:r w:rsidR="004D7B97">
        <w:rPr>
          <w:i/>
          <w:iCs/>
        </w:rPr>
        <w:fldChar w:fldCharType="separate"/>
      </w:r>
      <w:r w:rsidR="00885DE4">
        <w:rPr>
          <w:i/>
          <w:iCs/>
          <w:noProof/>
        </w:rPr>
        <w:t>6</w:t>
      </w:r>
      <w:r w:rsidR="004D7B97">
        <w:rPr>
          <w:i/>
          <w:iCs/>
        </w:rPr>
        <w:fldChar w:fldCharType="end"/>
      </w:r>
      <w:r w:rsidR="004D7B97">
        <w:rPr>
          <w:i/>
          <w:iCs/>
        </w:rPr>
        <w:noBreakHyphen/>
      </w:r>
      <w:r w:rsidR="004D7B97">
        <w:rPr>
          <w:i/>
          <w:iCs/>
        </w:rPr>
        <w:fldChar w:fldCharType="begin"/>
      </w:r>
      <w:r w:rsidR="004D7B97">
        <w:rPr>
          <w:i/>
          <w:iCs/>
        </w:rPr>
        <w:instrText xml:space="preserve"> SEQ Table \* ARABIC \s 1 </w:instrText>
      </w:r>
      <w:r w:rsidR="004D7B97">
        <w:rPr>
          <w:i/>
          <w:iCs/>
        </w:rPr>
        <w:fldChar w:fldCharType="separate"/>
      </w:r>
      <w:r w:rsidR="00885DE4">
        <w:rPr>
          <w:i/>
          <w:iCs/>
          <w:noProof/>
        </w:rPr>
        <w:t>4</w:t>
      </w:r>
      <w:r w:rsidR="004D7B97">
        <w:rPr>
          <w:i/>
          <w:iCs/>
        </w:rPr>
        <w:fldChar w:fldCharType="end"/>
      </w:r>
      <w:bookmarkEnd w:id="284"/>
      <w:r w:rsidRPr="00BC5DE4">
        <w:rPr>
          <w:i/>
          <w:iCs/>
        </w:rPr>
        <w:t xml:space="preserve"> Additional panel of miRNAs for determining </w:t>
      </w:r>
      <w:proofErr w:type="spellStart"/>
      <w:r w:rsidRPr="00BC5DE4">
        <w:rPr>
          <w:i/>
          <w:iCs/>
        </w:rPr>
        <w:t>SSc</w:t>
      </w:r>
      <w:proofErr w:type="spellEnd"/>
      <w:r w:rsidRPr="00BC5DE4">
        <w:rPr>
          <w:i/>
          <w:iCs/>
        </w:rPr>
        <w:t xml:space="preserve">-PAH from </w:t>
      </w:r>
      <w:proofErr w:type="spellStart"/>
      <w:r w:rsidRPr="00BC5DE4">
        <w:rPr>
          <w:i/>
          <w:iCs/>
        </w:rPr>
        <w:t>SSc</w:t>
      </w:r>
      <w:proofErr w:type="spellEnd"/>
      <w:r w:rsidRPr="00BC5DE4">
        <w:rPr>
          <w:i/>
          <w:iCs/>
        </w:rPr>
        <w:t>.</w:t>
      </w:r>
      <w:r w:rsidR="00BC5DE4" w:rsidRPr="00BC5DE4">
        <w:rPr>
          <w:i/>
          <w:iCs/>
        </w:rPr>
        <w:t xml:space="preserve"> Performance metrics are shown as the mean and, in brackets, standard deviation </w:t>
      </w:r>
      <w:r w:rsidR="00BC5DE4">
        <w:rPr>
          <w:i/>
          <w:iCs/>
        </w:rPr>
        <w:t>from</w:t>
      </w:r>
      <w:r w:rsidR="00BC5DE4" w:rsidRPr="00BC5DE4">
        <w:rPr>
          <w:i/>
          <w:iCs/>
        </w:rPr>
        <w:t xml:space="preserve"> the cross-validation</w:t>
      </w:r>
      <w:r w:rsidR="00BC5DE4">
        <w:rPr>
          <w:i/>
          <w:iCs/>
        </w:rPr>
        <w:t>.</w:t>
      </w:r>
      <w:bookmarkEnd w:id="285"/>
      <w:r w:rsidR="00BC5DE4" w:rsidRPr="00BC5DE4">
        <w:rPr>
          <w:i/>
          <w:iCs/>
        </w:rPr>
        <w:t xml:space="preserve"> </w:t>
      </w:r>
    </w:p>
    <w:p w14:paraId="64615AD0" w14:textId="75CB63AA" w:rsidR="00E4064F" w:rsidRDefault="00E4064F" w:rsidP="00E4064F">
      <w:pPr>
        <w:pStyle w:val="Caption"/>
      </w:pPr>
    </w:p>
    <w:p w14:paraId="05E5C26B" w14:textId="77777777" w:rsidR="00E4064F" w:rsidRPr="009442FC" w:rsidRDefault="00E4064F" w:rsidP="00E4064F"/>
    <w:p w14:paraId="5A604914" w14:textId="77777777" w:rsidR="00E4064F" w:rsidRDefault="00E4064F" w:rsidP="00E4064F">
      <w:pPr>
        <w:pStyle w:val="Heading2"/>
        <w:numPr>
          <w:ilvl w:val="1"/>
          <w:numId w:val="7"/>
        </w:numPr>
        <w:spacing w:before="120" w:after="120"/>
      </w:pPr>
      <w:bookmarkStart w:id="286" w:name="_Toc60773949"/>
      <w:r>
        <w:t xml:space="preserve">Verification of additional </w:t>
      </w:r>
      <w:proofErr w:type="spellStart"/>
      <w:r>
        <w:t>SSc</w:t>
      </w:r>
      <w:proofErr w:type="spellEnd"/>
      <w:r>
        <w:t>-PAH ROC based biomarker miRNAs</w:t>
      </w:r>
      <w:bookmarkEnd w:id="286"/>
    </w:p>
    <w:p w14:paraId="3AE065AC" w14:textId="2BC4EB8C" w:rsidR="00E4064F" w:rsidRDefault="00E4064F" w:rsidP="00E4064F">
      <w:pPr>
        <w:pStyle w:val="Body"/>
      </w:pPr>
      <w:r>
        <w:t xml:space="preserve">As miRNA-584-5p had previously been validated real-time PCR was performed only on miRNA-486-5p and miRNA-638 in the same cohort as </w:t>
      </w:r>
      <w:r>
        <w:fldChar w:fldCharType="begin"/>
      </w:r>
      <w:r>
        <w:instrText xml:space="preserve"> REF _Ref535063034 \r \h </w:instrText>
      </w:r>
      <w:r>
        <w:fldChar w:fldCharType="separate"/>
      </w:r>
      <w:r w:rsidR="00885DE4">
        <w:t>6.3</w:t>
      </w:r>
      <w:r>
        <w:fldChar w:fldCharType="end"/>
      </w:r>
      <w:r>
        <w:t>. As previously described, R was used to interrogate the real-time PCR results for each miRNA.</w:t>
      </w:r>
    </w:p>
    <w:p w14:paraId="4DA9566B" w14:textId="77777777" w:rsidR="00E4064F" w:rsidRDefault="00E4064F" w:rsidP="00E4064F"/>
    <w:p w14:paraId="74652607" w14:textId="0D8CC827" w:rsidR="00E4064F" w:rsidRPr="00C612CC" w:rsidRDefault="00E4064F" w:rsidP="00C612CC">
      <w:pPr>
        <w:pStyle w:val="Body"/>
      </w:pPr>
      <w:r>
        <w:softHyphen/>
        <w:t xml:space="preserve">Both miRNAs validated according the criteria described in </w:t>
      </w:r>
      <w:r w:rsidR="00AD7862">
        <w:fldChar w:fldCharType="begin"/>
      </w:r>
      <w:r w:rsidR="00AD7862">
        <w:instrText xml:space="preserve"> REF _Ref40728821 \r \h </w:instrText>
      </w:r>
      <w:r w:rsidR="00AD7862">
        <w:fldChar w:fldCharType="separate"/>
      </w:r>
      <w:r w:rsidR="00885DE4">
        <w:t>2.5.3.1</w:t>
      </w:r>
      <w:r w:rsidR="00AD7862">
        <w:fldChar w:fldCharType="end"/>
      </w:r>
      <w:r w:rsidRPr="00AD7862">
        <w:t>.</w:t>
      </w:r>
    </w:p>
    <w:p w14:paraId="288CBC4E" w14:textId="77777777" w:rsidR="00C612CC" w:rsidRPr="000F2604" w:rsidRDefault="00C612CC" w:rsidP="00E4064F">
      <w:pPr>
        <w:pStyle w:val="Body"/>
      </w:pPr>
    </w:p>
    <w:p w14:paraId="6770CE9B" w14:textId="77777777" w:rsidR="00E4064F" w:rsidRDefault="00E4064F" w:rsidP="00E4064F">
      <w:pPr>
        <w:pStyle w:val="Heading2"/>
        <w:numPr>
          <w:ilvl w:val="1"/>
          <w:numId w:val="7"/>
        </w:numPr>
        <w:spacing w:before="120" w:after="120"/>
      </w:pPr>
      <w:bookmarkStart w:id="287" w:name="_Toc60773950"/>
      <w:r>
        <w:t xml:space="preserve">Validation of </w:t>
      </w:r>
      <w:proofErr w:type="spellStart"/>
      <w:r>
        <w:t>miRNAS</w:t>
      </w:r>
      <w:proofErr w:type="spellEnd"/>
      <w:r>
        <w:t xml:space="preserve"> in </w:t>
      </w:r>
      <w:proofErr w:type="spellStart"/>
      <w:r>
        <w:t>SSc</w:t>
      </w:r>
      <w:proofErr w:type="spellEnd"/>
      <w:r>
        <w:t xml:space="preserve"> and </w:t>
      </w:r>
      <w:proofErr w:type="spellStart"/>
      <w:r>
        <w:t>SSc</w:t>
      </w:r>
      <w:proofErr w:type="spellEnd"/>
      <w:r>
        <w:t>-PAH</w:t>
      </w:r>
      <w:bookmarkEnd w:id="287"/>
    </w:p>
    <w:p w14:paraId="6DB2F815" w14:textId="77777777" w:rsidR="00E4064F" w:rsidRDefault="00E4064F" w:rsidP="00E4064F">
      <w:pPr>
        <w:pStyle w:val="Body"/>
      </w:pPr>
      <w:r>
        <w:t xml:space="preserve">Once successful amplification had been determined in the miRNAs were validate in a larger </w:t>
      </w:r>
      <w:proofErr w:type="spellStart"/>
      <w:r>
        <w:t>SSc</w:t>
      </w:r>
      <w:proofErr w:type="spellEnd"/>
      <w:r>
        <w:t xml:space="preserve"> and </w:t>
      </w:r>
      <w:proofErr w:type="spellStart"/>
      <w:r>
        <w:t>SSc</w:t>
      </w:r>
      <w:proofErr w:type="spellEnd"/>
      <w:r>
        <w:t xml:space="preserve">-PAH cohort. This would be used to determine if the experimentally verified miRNAs could provide diagnostic utility between </w:t>
      </w:r>
      <w:proofErr w:type="spellStart"/>
      <w:r>
        <w:t>SSc</w:t>
      </w:r>
      <w:proofErr w:type="spellEnd"/>
      <w:r>
        <w:t xml:space="preserve">-PAH from </w:t>
      </w:r>
      <w:proofErr w:type="spellStart"/>
      <w:r>
        <w:t>SSc</w:t>
      </w:r>
      <w:proofErr w:type="spellEnd"/>
      <w:r>
        <w:t>.</w:t>
      </w:r>
    </w:p>
    <w:p w14:paraId="05E42D6D" w14:textId="77777777" w:rsidR="00E4064F" w:rsidRDefault="00E4064F" w:rsidP="00E4064F">
      <w:pPr>
        <w:pStyle w:val="Heading2"/>
        <w:numPr>
          <w:ilvl w:val="0"/>
          <w:numId w:val="0"/>
        </w:numPr>
        <w:spacing w:before="120" w:after="120"/>
      </w:pPr>
      <w:r>
        <w:lastRenderedPageBreak/>
        <w:t xml:space="preserve"> </w:t>
      </w:r>
    </w:p>
    <w:p w14:paraId="1DAF6260" w14:textId="77777777" w:rsidR="00E4064F" w:rsidRDefault="00E4064F" w:rsidP="00E4064F">
      <w:pPr>
        <w:pStyle w:val="Heading2"/>
        <w:numPr>
          <w:ilvl w:val="2"/>
          <w:numId w:val="7"/>
        </w:numPr>
        <w:spacing w:before="120" w:after="120"/>
      </w:pPr>
      <w:bookmarkStart w:id="288" w:name="_Toc60773951"/>
      <w:r>
        <w:t>Cohort</w:t>
      </w:r>
      <w:bookmarkEnd w:id="288"/>
    </w:p>
    <w:p w14:paraId="6C5DC40E" w14:textId="3AB28BC2" w:rsidR="00E4064F" w:rsidRDefault="00E4064F" w:rsidP="00E4064F">
      <w:pPr>
        <w:pStyle w:val="Body"/>
      </w:pPr>
      <w:r>
        <w:t xml:space="preserve">The larger </w:t>
      </w:r>
      <w:proofErr w:type="spellStart"/>
      <w:r>
        <w:t>SSc</w:t>
      </w:r>
      <w:proofErr w:type="spellEnd"/>
      <w:r>
        <w:t xml:space="preserve"> and </w:t>
      </w:r>
      <w:proofErr w:type="spellStart"/>
      <w:r>
        <w:t>SSc</w:t>
      </w:r>
      <w:proofErr w:type="spellEnd"/>
      <w:r>
        <w:t xml:space="preserve">-PAH cohort consisted of 43 plasma samples taken at the time of diagnosis. </w:t>
      </w:r>
      <w:r w:rsidR="00796052">
        <w:t xml:space="preserve">Patients are well matched with non-significance in age, gender, and ethnicity </w:t>
      </w:r>
      <w:r w:rsidR="00796052">
        <w:fldChar w:fldCharType="begin"/>
      </w:r>
      <w:r w:rsidR="00796052">
        <w:instrText xml:space="preserve"> REF _Ref4236527 \h </w:instrText>
      </w:r>
      <w:r w:rsidR="00796052">
        <w:fldChar w:fldCharType="separate"/>
      </w:r>
      <w:r w:rsidR="00885DE4">
        <w:t xml:space="preserve">Table </w:t>
      </w:r>
      <w:r w:rsidR="00885DE4">
        <w:rPr>
          <w:noProof/>
        </w:rPr>
        <w:t>6</w:t>
      </w:r>
      <w:r w:rsidR="00885DE4">
        <w:noBreakHyphen/>
      </w:r>
      <w:r w:rsidR="00885DE4">
        <w:rPr>
          <w:noProof/>
        </w:rPr>
        <w:t>5</w:t>
      </w:r>
      <w:r w:rsidR="00796052">
        <w:fldChar w:fldCharType="end"/>
      </w:r>
      <w:r w:rsidR="00796052">
        <w:t>. As expected, diagnostic measures of PAH are significantly different between groups. Absences of left heart disease is shown for both groups by non-significance and a PAWP ≤15 mmHg.</w:t>
      </w:r>
    </w:p>
    <w:p w14:paraId="60BE5EC4" w14:textId="77777777" w:rsidR="00A41148" w:rsidRPr="00AE07B3" w:rsidRDefault="00E4064F" w:rsidP="00E4064F">
      <w:r>
        <w:t xml:space="preserve"> </w:t>
      </w:r>
    </w:p>
    <w:tbl>
      <w:tblPr>
        <w:tblStyle w:val="GridTable3-Accent5"/>
        <w:tblW w:w="0" w:type="auto"/>
        <w:tblLook w:val="04A0" w:firstRow="1" w:lastRow="0" w:firstColumn="1" w:lastColumn="0" w:noHBand="0" w:noVBand="1"/>
      </w:tblPr>
      <w:tblGrid>
        <w:gridCol w:w="3119"/>
        <w:gridCol w:w="2126"/>
        <w:gridCol w:w="2268"/>
        <w:gridCol w:w="1497"/>
      </w:tblGrid>
      <w:tr w:rsidR="00A41148" w14:paraId="3D9A2A31" w14:textId="77777777" w:rsidTr="00F27D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Pr>
          <w:p w14:paraId="02466D82" w14:textId="77777777" w:rsidR="00A41148" w:rsidRPr="00406F8B" w:rsidRDefault="00A41148" w:rsidP="00F27D55">
            <w:pPr>
              <w:rPr>
                <w:rFonts w:ascii="TUOS Blake" w:hAnsi="TUOS Blake"/>
                <w:b w:val="0"/>
                <w:bCs w:val="0"/>
                <w:sz w:val="22"/>
                <w:szCs w:val="22"/>
              </w:rPr>
            </w:pPr>
          </w:p>
        </w:tc>
        <w:tc>
          <w:tcPr>
            <w:tcW w:w="2126" w:type="dxa"/>
          </w:tcPr>
          <w:p w14:paraId="62E3C1B5" w14:textId="77777777" w:rsidR="00A41148" w:rsidRPr="00406F8B" w:rsidRDefault="00A41148" w:rsidP="00F27D55">
            <w:pPr>
              <w:cnfStyle w:val="100000000000" w:firstRow="1" w:lastRow="0" w:firstColumn="0" w:lastColumn="0" w:oddVBand="0" w:evenVBand="0" w:oddHBand="0" w:evenHBand="0" w:firstRowFirstColumn="0" w:firstRowLastColumn="0" w:lastRowFirstColumn="0" w:lastRowLastColumn="0"/>
              <w:rPr>
                <w:rFonts w:ascii="TUOS Blake" w:hAnsi="TUOS Blake"/>
                <w:sz w:val="22"/>
                <w:szCs w:val="22"/>
              </w:rPr>
            </w:pPr>
            <w:proofErr w:type="spellStart"/>
            <w:r w:rsidRPr="00406F8B">
              <w:rPr>
                <w:rFonts w:ascii="TUOS Blake" w:hAnsi="TUOS Blake"/>
                <w:sz w:val="22"/>
                <w:szCs w:val="22"/>
              </w:rPr>
              <w:t>SSc</w:t>
            </w:r>
            <w:proofErr w:type="spellEnd"/>
          </w:p>
        </w:tc>
        <w:tc>
          <w:tcPr>
            <w:tcW w:w="2268" w:type="dxa"/>
          </w:tcPr>
          <w:p w14:paraId="568B2069" w14:textId="77777777" w:rsidR="00A41148" w:rsidRPr="00406F8B" w:rsidRDefault="00A41148" w:rsidP="00F27D55">
            <w:pPr>
              <w:cnfStyle w:val="100000000000" w:firstRow="1" w:lastRow="0" w:firstColumn="0" w:lastColumn="0" w:oddVBand="0" w:evenVBand="0" w:oddHBand="0" w:evenHBand="0" w:firstRowFirstColumn="0" w:firstRowLastColumn="0" w:lastRowFirstColumn="0" w:lastRowLastColumn="0"/>
              <w:rPr>
                <w:rFonts w:ascii="TUOS Blake" w:hAnsi="TUOS Blake"/>
                <w:sz w:val="22"/>
                <w:szCs w:val="22"/>
              </w:rPr>
            </w:pPr>
            <w:proofErr w:type="spellStart"/>
            <w:r w:rsidRPr="00406F8B">
              <w:rPr>
                <w:rFonts w:ascii="TUOS Blake" w:hAnsi="TUOS Blake"/>
                <w:sz w:val="22"/>
                <w:szCs w:val="22"/>
              </w:rPr>
              <w:t>SSc</w:t>
            </w:r>
            <w:proofErr w:type="spellEnd"/>
            <w:r w:rsidRPr="00406F8B">
              <w:rPr>
                <w:rFonts w:ascii="TUOS Blake" w:hAnsi="TUOS Blake"/>
                <w:sz w:val="22"/>
                <w:szCs w:val="22"/>
              </w:rPr>
              <w:t>-PAH</w:t>
            </w:r>
          </w:p>
        </w:tc>
        <w:tc>
          <w:tcPr>
            <w:tcW w:w="1497" w:type="dxa"/>
          </w:tcPr>
          <w:p w14:paraId="32673CF4" w14:textId="77777777" w:rsidR="00A41148" w:rsidRPr="00406F8B" w:rsidRDefault="00A41148" w:rsidP="00F27D55">
            <w:pPr>
              <w:cnfStyle w:val="100000000000" w:firstRow="1" w:lastRow="0" w:firstColumn="0" w:lastColumn="0" w:oddVBand="0" w:evenVBand="0" w:oddHBand="0" w:evenHBand="0" w:firstRowFirstColumn="0" w:firstRowLastColumn="0" w:lastRowFirstColumn="0" w:lastRowLastColumn="0"/>
              <w:rPr>
                <w:rFonts w:ascii="TUOS Blake" w:hAnsi="TUOS Blake"/>
                <w:sz w:val="22"/>
                <w:szCs w:val="22"/>
              </w:rPr>
            </w:pPr>
            <w:r w:rsidRPr="00406F8B">
              <w:rPr>
                <w:rFonts w:ascii="TUOS Blake" w:hAnsi="TUOS Blake"/>
                <w:sz w:val="22"/>
                <w:szCs w:val="22"/>
              </w:rPr>
              <w:t>p-value</w:t>
            </w:r>
          </w:p>
        </w:tc>
      </w:tr>
      <w:tr w:rsidR="00A41148" w14:paraId="0639DC39" w14:textId="77777777" w:rsidTr="00F27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E517390" w14:textId="77777777" w:rsidR="00A41148" w:rsidRPr="00406F8B" w:rsidRDefault="00A41148" w:rsidP="00F27D55">
            <w:pPr>
              <w:rPr>
                <w:rFonts w:ascii="TUOS Blake" w:hAnsi="TUOS Blake"/>
                <w:b/>
                <w:bCs/>
                <w:i w:val="0"/>
                <w:iCs w:val="0"/>
                <w:sz w:val="22"/>
                <w:szCs w:val="22"/>
              </w:rPr>
            </w:pPr>
            <w:r w:rsidRPr="00406F8B">
              <w:rPr>
                <w:rFonts w:ascii="TUOS Blake" w:hAnsi="TUOS Blake"/>
                <w:b/>
                <w:bCs/>
                <w:i w:val="0"/>
                <w:iCs w:val="0"/>
                <w:sz w:val="22"/>
                <w:szCs w:val="22"/>
              </w:rPr>
              <w:t>N</w:t>
            </w:r>
          </w:p>
        </w:tc>
        <w:tc>
          <w:tcPr>
            <w:tcW w:w="2126" w:type="dxa"/>
          </w:tcPr>
          <w:p w14:paraId="75CB4C60" w14:textId="77777777" w:rsidR="00A41148" w:rsidRPr="00406F8B" w:rsidRDefault="00A41148"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406F8B">
              <w:rPr>
                <w:rFonts w:ascii="TUOS Blake" w:hAnsi="TUOS Blake"/>
                <w:sz w:val="22"/>
                <w:szCs w:val="22"/>
              </w:rPr>
              <w:t>14</w:t>
            </w:r>
          </w:p>
        </w:tc>
        <w:tc>
          <w:tcPr>
            <w:tcW w:w="2268" w:type="dxa"/>
          </w:tcPr>
          <w:p w14:paraId="133E02C0" w14:textId="77777777" w:rsidR="00A41148" w:rsidRPr="00406F8B" w:rsidRDefault="00A41148"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406F8B">
              <w:rPr>
                <w:rFonts w:ascii="TUOS Blake" w:hAnsi="TUOS Blake"/>
                <w:sz w:val="22"/>
                <w:szCs w:val="22"/>
              </w:rPr>
              <w:t>29</w:t>
            </w:r>
          </w:p>
        </w:tc>
        <w:tc>
          <w:tcPr>
            <w:tcW w:w="1497" w:type="dxa"/>
          </w:tcPr>
          <w:p w14:paraId="4CFC4D9A" w14:textId="77777777" w:rsidR="00A41148" w:rsidRPr="00406F8B" w:rsidRDefault="00A41148"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406F8B">
              <w:rPr>
                <w:rFonts w:ascii="TUOS Blake" w:hAnsi="TUOS Blake"/>
                <w:sz w:val="22"/>
                <w:szCs w:val="22"/>
              </w:rPr>
              <w:t>-</w:t>
            </w:r>
          </w:p>
        </w:tc>
      </w:tr>
      <w:tr w:rsidR="00A41148" w14:paraId="2BBD5F48" w14:textId="77777777" w:rsidTr="00F27D55">
        <w:tc>
          <w:tcPr>
            <w:cnfStyle w:val="001000000000" w:firstRow="0" w:lastRow="0" w:firstColumn="1" w:lastColumn="0" w:oddVBand="0" w:evenVBand="0" w:oddHBand="0" w:evenHBand="0" w:firstRowFirstColumn="0" w:firstRowLastColumn="0" w:lastRowFirstColumn="0" w:lastRowLastColumn="0"/>
            <w:tcW w:w="3119" w:type="dxa"/>
          </w:tcPr>
          <w:p w14:paraId="74C230EC" w14:textId="77777777" w:rsidR="00A41148" w:rsidRPr="00406F8B" w:rsidRDefault="00A41148" w:rsidP="00F27D55">
            <w:pPr>
              <w:rPr>
                <w:rFonts w:ascii="TUOS Blake" w:hAnsi="TUOS Blake"/>
                <w:b/>
                <w:bCs/>
                <w:i w:val="0"/>
                <w:iCs w:val="0"/>
                <w:sz w:val="22"/>
                <w:szCs w:val="22"/>
              </w:rPr>
            </w:pPr>
            <w:r w:rsidRPr="00406F8B">
              <w:rPr>
                <w:rFonts w:ascii="TUOS Blake" w:hAnsi="TUOS Blake"/>
                <w:b/>
                <w:bCs/>
                <w:i w:val="0"/>
                <w:iCs w:val="0"/>
                <w:sz w:val="22"/>
                <w:szCs w:val="22"/>
              </w:rPr>
              <w:t xml:space="preserve">Age </w:t>
            </w:r>
          </w:p>
        </w:tc>
        <w:tc>
          <w:tcPr>
            <w:tcW w:w="2126" w:type="dxa"/>
          </w:tcPr>
          <w:p w14:paraId="58DBD31B" w14:textId="77777777" w:rsidR="00A41148" w:rsidRPr="00406F8B" w:rsidRDefault="00A41148"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406F8B">
              <w:rPr>
                <w:rFonts w:ascii="TUOS Blake" w:hAnsi="TUOS Blake"/>
                <w:color w:val="000000"/>
                <w:sz w:val="22"/>
                <w:szCs w:val="22"/>
              </w:rPr>
              <w:t>62.1 (56.5 - 72.6)</w:t>
            </w:r>
          </w:p>
        </w:tc>
        <w:tc>
          <w:tcPr>
            <w:tcW w:w="2268" w:type="dxa"/>
          </w:tcPr>
          <w:p w14:paraId="043E98F1" w14:textId="77777777" w:rsidR="00A41148" w:rsidRPr="00406F8B" w:rsidRDefault="00A41148"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406F8B">
              <w:rPr>
                <w:rFonts w:ascii="TUOS Blake" w:hAnsi="TUOS Blake"/>
                <w:color w:val="000000"/>
                <w:sz w:val="22"/>
                <w:szCs w:val="22"/>
              </w:rPr>
              <w:t>69.1 (63 - 71.1)</w:t>
            </w:r>
          </w:p>
        </w:tc>
        <w:tc>
          <w:tcPr>
            <w:tcW w:w="1497" w:type="dxa"/>
          </w:tcPr>
          <w:p w14:paraId="707DF8C4" w14:textId="77777777" w:rsidR="00A41148" w:rsidRPr="00406F8B" w:rsidRDefault="00A41148"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406F8B">
              <w:rPr>
                <w:rFonts w:ascii="TUOS Blake" w:hAnsi="TUOS Blake"/>
                <w:sz w:val="22"/>
                <w:szCs w:val="22"/>
              </w:rPr>
              <w:t>NS</w:t>
            </w:r>
          </w:p>
        </w:tc>
      </w:tr>
      <w:tr w:rsidR="00A41148" w14:paraId="06276FA8" w14:textId="77777777" w:rsidTr="00F27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AFD0C2C" w14:textId="77777777" w:rsidR="00A41148" w:rsidRPr="00406F8B" w:rsidRDefault="00A41148" w:rsidP="00F27D55">
            <w:pPr>
              <w:rPr>
                <w:rFonts w:ascii="TUOS Blake" w:hAnsi="TUOS Blake"/>
                <w:b/>
                <w:bCs/>
                <w:i w:val="0"/>
                <w:iCs w:val="0"/>
                <w:sz w:val="22"/>
                <w:szCs w:val="22"/>
              </w:rPr>
            </w:pPr>
            <w:r w:rsidRPr="00406F8B">
              <w:rPr>
                <w:rFonts w:ascii="TUOS Blake" w:hAnsi="TUOS Blake"/>
                <w:b/>
                <w:bCs/>
                <w:i w:val="0"/>
                <w:iCs w:val="0"/>
                <w:sz w:val="22"/>
                <w:szCs w:val="22"/>
              </w:rPr>
              <w:t>Gender (% Female)</w:t>
            </w:r>
          </w:p>
        </w:tc>
        <w:tc>
          <w:tcPr>
            <w:tcW w:w="2126" w:type="dxa"/>
          </w:tcPr>
          <w:p w14:paraId="78C8C49B" w14:textId="77777777" w:rsidR="00A41148" w:rsidRPr="00406F8B" w:rsidRDefault="00A41148"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406F8B">
              <w:rPr>
                <w:rFonts w:ascii="TUOS Blake" w:hAnsi="TUOS Blake"/>
                <w:sz w:val="22"/>
                <w:szCs w:val="22"/>
              </w:rPr>
              <w:t>93%</w:t>
            </w:r>
          </w:p>
        </w:tc>
        <w:tc>
          <w:tcPr>
            <w:tcW w:w="2268" w:type="dxa"/>
          </w:tcPr>
          <w:p w14:paraId="492B593B" w14:textId="77777777" w:rsidR="00A41148" w:rsidRPr="00406F8B" w:rsidRDefault="00A41148"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406F8B">
              <w:rPr>
                <w:rFonts w:ascii="TUOS Blake" w:hAnsi="TUOS Blake"/>
                <w:sz w:val="22"/>
                <w:szCs w:val="22"/>
              </w:rPr>
              <w:t>69%</w:t>
            </w:r>
          </w:p>
        </w:tc>
        <w:tc>
          <w:tcPr>
            <w:tcW w:w="1497" w:type="dxa"/>
          </w:tcPr>
          <w:p w14:paraId="1F0B0E11" w14:textId="77777777" w:rsidR="00A41148" w:rsidRPr="00406F8B" w:rsidRDefault="00A41148"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406F8B">
              <w:rPr>
                <w:rFonts w:ascii="TUOS Blake" w:hAnsi="TUOS Blake"/>
                <w:sz w:val="22"/>
                <w:szCs w:val="22"/>
              </w:rPr>
              <w:t>NS</w:t>
            </w:r>
          </w:p>
        </w:tc>
      </w:tr>
      <w:tr w:rsidR="00A41148" w14:paraId="33CB9525" w14:textId="77777777" w:rsidTr="00F27D55">
        <w:tc>
          <w:tcPr>
            <w:cnfStyle w:val="001000000000" w:firstRow="0" w:lastRow="0" w:firstColumn="1" w:lastColumn="0" w:oddVBand="0" w:evenVBand="0" w:oddHBand="0" w:evenHBand="0" w:firstRowFirstColumn="0" w:firstRowLastColumn="0" w:lastRowFirstColumn="0" w:lastRowLastColumn="0"/>
            <w:tcW w:w="3119" w:type="dxa"/>
          </w:tcPr>
          <w:p w14:paraId="31F32C77" w14:textId="77777777" w:rsidR="00A41148" w:rsidRPr="00406F8B" w:rsidRDefault="00A41148" w:rsidP="00F27D55">
            <w:pPr>
              <w:rPr>
                <w:rFonts w:ascii="TUOS Blake" w:hAnsi="TUOS Blake"/>
                <w:b/>
                <w:bCs/>
                <w:i w:val="0"/>
                <w:iCs w:val="0"/>
                <w:sz w:val="22"/>
                <w:szCs w:val="22"/>
              </w:rPr>
            </w:pPr>
            <w:r w:rsidRPr="00406F8B">
              <w:rPr>
                <w:rFonts w:ascii="TUOS Blake" w:hAnsi="TUOS Blake"/>
                <w:b/>
                <w:bCs/>
                <w:i w:val="0"/>
                <w:iCs w:val="0"/>
                <w:sz w:val="22"/>
                <w:szCs w:val="22"/>
              </w:rPr>
              <w:t>Deaths (%)</w:t>
            </w:r>
          </w:p>
        </w:tc>
        <w:tc>
          <w:tcPr>
            <w:tcW w:w="2126" w:type="dxa"/>
          </w:tcPr>
          <w:p w14:paraId="58FDA00E" w14:textId="77777777" w:rsidR="00A41148" w:rsidRPr="00406F8B" w:rsidRDefault="00A41148"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406F8B">
              <w:rPr>
                <w:rFonts w:ascii="TUOS Blake" w:hAnsi="TUOS Blake"/>
                <w:sz w:val="22"/>
                <w:szCs w:val="22"/>
              </w:rPr>
              <w:t>7%</w:t>
            </w:r>
          </w:p>
        </w:tc>
        <w:tc>
          <w:tcPr>
            <w:tcW w:w="2268" w:type="dxa"/>
          </w:tcPr>
          <w:p w14:paraId="14F2163A" w14:textId="77777777" w:rsidR="00A41148" w:rsidRPr="00406F8B" w:rsidRDefault="00A41148"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406F8B">
              <w:rPr>
                <w:rFonts w:ascii="TUOS Blake" w:hAnsi="TUOS Blake"/>
                <w:sz w:val="22"/>
                <w:szCs w:val="22"/>
              </w:rPr>
              <w:t>55%</w:t>
            </w:r>
          </w:p>
        </w:tc>
        <w:tc>
          <w:tcPr>
            <w:tcW w:w="1497" w:type="dxa"/>
          </w:tcPr>
          <w:p w14:paraId="264B5A15" w14:textId="77777777" w:rsidR="00A41148" w:rsidRPr="00406F8B" w:rsidRDefault="00A41148"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406F8B">
              <w:rPr>
                <w:rFonts w:ascii="TUOS Blake" w:hAnsi="TUOS Blake"/>
                <w:sz w:val="22"/>
                <w:szCs w:val="22"/>
              </w:rPr>
              <w:t>0.007</w:t>
            </w:r>
          </w:p>
        </w:tc>
      </w:tr>
      <w:tr w:rsidR="00A41148" w14:paraId="17D49678" w14:textId="77777777" w:rsidTr="00F27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4258B27" w14:textId="77777777" w:rsidR="00A41148" w:rsidRPr="00406F8B" w:rsidRDefault="00A41148" w:rsidP="00F27D55">
            <w:pPr>
              <w:rPr>
                <w:rFonts w:ascii="TUOS Blake" w:hAnsi="TUOS Blake"/>
                <w:b/>
                <w:bCs/>
                <w:i w:val="0"/>
                <w:iCs w:val="0"/>
                <w:sz w:val="22"/>
                <w:szCs w:val="22"/>
              </w:rPr>
            </w:pPr>
            <w:r w:rsidRPr="00406F8B">
              <w:rPr>
                <w:rFonts w:ascii="TUOS Blake" w:hAnsi="TUOS Blake"/>
                <w:b/>
                <w:bCs/>
                <w:i w:val="0"/>
                <w:iCs w:val="0"/>
                <w:sz w:val="22"/>
                <w:szCs w:val="22"/>
              </w:rPr>
              <w:t>Ethnicity (% Caucasian)</w:t>
            </w:r>
          </w:p>
        </w:tc>
        <w:tc>
          <w:tcPr>
            <w:tcW w:w="2126" w:type="dxa"/>
          </w:tcPr>
          <w:p w14:paraId="4F58216C" w14:textId="77777777" w:rsidR="00A41148" w:rsidRPr="00406F8B" w:rsidRDefault="00A41148"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406F8B">
              <w:rPr>
                <w:rFonts w:ascii="TUOS Blake" w:hAnsi="TUOS Blake"/>
                <w:sz w:val="22"/>
                <w:szCs w:val="22"/>
              </w:rPr>
              <w:t>93%</w:t>
            </w:r>
          </w:p>
        </w:tc>
        <w:tc>
          <w:tcPr>
            <w:tcW w:w="2268" w:type="dxa"/>
          </w:tcPr>
          <w:p w14:paraId="0307064D" w14:textId="77777777" w:rsidR="00A41148" w:rsidRPr="00406F8B" w:rsidRDefault="00A41148" w:rsidP="00F27D55">
            <w:pPr>
              <w:cnfStyle w:val="000000100000" w:firstRow="0" w:lastRow="0" w:firstColumn="0" w:lastColumn="0" w:oddVBand="0" w:evenVBand="0" w:oddHBand="1" w:evenHBand="0" w:firstRowFirstColumn="0" w:firstRowLastColumn="0" w:lastRowFirstColumn="0" w:lastRowLastColumn="0"/>
              <w:rPr>
                <w:rFonts w:ascii="TUOS Blake" w:hAnsi="TUOS Blake"/>
                <w:color w:val="000000"/>
                <w:sz w:val="22"/>
                <w:szCs w:val="22"/>
              </w:rPr>
            </w:pPr>
            <w:r w:rsidRPr="00406F8B">
              <w:rPr>
                <w:rFonts w:ascii="TUOS Blake" w:hAnsi="TUOS Blake"/>
                <w:color w:val="000000"/>
                <w:sz w:val="22"/>
                <w:szCs w:val="22"/>
              </w:rPr>
              <w:t>97%</w:t>
            </w:r>
          </w:p>
        </w:tc>
        <w:tc>
          <w:tcPr>
            <w:tcW w:w="1497" w:type="dxa"/>
          </w:tcPr>
          <w:p w14:paraId="3F897830" w14:textId="77777777" w:rsidR="00A41148" w:rsidRPr="00406F8B" w:rsidRDefault="00A41148"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406F8B">
              <w:rPr>
                <w:rFonts w:ascii="TUOS Blake" w:hAnsi="TUOS Blake"/>
                <w:sz w:val="22"/>
                <w:szCs w:val="22"/>
              </w:rPr>
              <w:t>NS</w:t>
            </w:r>
          </w:p>
        </w:tc>
      </w:tr>
      <w:tr w:rsidR="00A41148" w14:paraId="2CF4D704" w14:textId="77777777" w:rsidTr="00F27D55">
        <w:tc>
          <w:tcPr>
            <w:cnfStyle w:val="001000000000" w:firstRow="0" w:lastRow="0" w:firstColumn="1" w:lastColumn="0" w:oddVBand="0" w:evenVBand="0" w:oddHBand="0" w:evenHBand="0" w:firstRowFirstColumn="0" w:firstRowLastColumn="0" w:lastRowFirstColumn="0" w:lastRowLastColumn="0"/>
            <w:tcW w:w="3119" w:type="dxa"/>
          </w:tcPr>
          <w:p w14:paraId="519D3995" w14:textId="77777777" w:rsidR="00A41148" w:rsidRPr="00406F8B" w:rsidRDefault="00A41148" w:rsidP="00F27D55">
            <w:pPr>
              <w:rPr>
                <w:rFonts w:ascii="TUOS Blake" w:hAnsi="TUOS Blake"/>
                <w:b/>
                <w:bCs/>
                <w:i w:val="0"/>
                <w:iCs w:val="0"/>
                <w:sz w:val="22"/>
                <w:szCs w:val="22"/>
              </w:rPr>
            </w:pPr>
            <w:proofErr w:type="spellStart"/>
            <w:r w:rsidRPr="00406F8B">
              <w:rPr>
                <w:rFonts w:ascii="TUOS Blake" w:hAnsi="TUOS Blake"/>
                <w:b/>
                <w:bCs/>
                <w:i w:val="0"/>
                <w:iCs w:val="0"/>
                <w:sz w:val="22"/>
                <w:szCs w:val="22"/>
              </w:rPr>
              <w:t>mPAP</w:t>
            </w:r>
            <w:proofErr w:type="spellEnd"/>
            <w:r w:rsidRPr="00406F8B">
              <w:rPr>
                <w:rFonts w:ascii="TUOS Blake" w:hAnsi="TUOS Blake"/>
                <w:b/>
                <w:bCs/>
                <w:i w:val="0"/>
                <w:iCs w:val="0"/>
                <w:sz w:val="22"/>
                <w:szCs w:val="22"/>
              </w:rPr>
              <w:t xml:space="preserve"> (mmHg)</w:t>
            </w:r>
          </w:p>
        </w:tc>
        <w:tc>
          <w:tcPr>
            <w:tcW w:w="2126" w:type="dxa"/>
          </w:tcPr>
          <w:p w14:paraId="17B6E79E" w14:textId="77777777" w:rsidR="00A41148" w:rsidRPr="00406F8B" w:rsidRDefault="00A41148"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406F8B">
              <w:rPr>
                <w:rFonts w:ascii="TUOS Blake" w:hAnsi="TUOS Blake"/>
                <w:color w:val="000000"/>
                <w:sz w:val="22"/>
                <w:szCs w:val="22"/>
              </w:rPr>
              <w:t>21 (20 - 21)</w:t>
            </w:r>
          </w:p>
        </w:tc>
        <w:tc>
          <w:tcPr>
            <w:tcW w:w="2268" w:type="dxa"/>
          </w:tcPr>
          <w:p w14:paraId="5EE04DBF" w14:textId="77777777" w:rsidR="00A41148" w:rsidRPr="00406F8B" w:rsidRDefault="00A41148" w:rsidP="00F27D55">
            <w:pPr>
              <w:cnfStyle w:val="000000000000" w:firstRow="0" w:lastRow="0" w:firstColumn="0" w:lastColumn="0" w:oddVBand="0" w:evenVBand="0" w:oddHBand="0" w:evenHBand="0" w:firstRowFirstColumn="0" w:firstRowLastColumn="0" w:lastRowFirstColumn="0" w:lastRowLastColumn="0"/>
              <w:rPr>
                <w:rFonts w:ascii="TUOS Blake" w:hAnsi="TUOS Blake"/>
                <w:color w:val="000000"/>
                <w:sz w:val="22"/>
                <w:szCs w:val="22"/>
              </w:rPr>
            </w:pPr>
            <w:r w:rsidRPr="00406F8B">
              <w:rPr>
                <w:rFonts w:ascii="TUOS Blake" w:hAnsi="TUOS Blake"/>
                <w:color w:val="000000"/>
                <w:sz w:val="22"/>
                <w:szCs w:val="22"/>
              </w:rPr>
              <w:t>37 (30 - 48.5)</w:t>
            </w:r>
          </w:p>
        </w:tc>
        <w:tc>
          <w:tcPr>
            <w:tcW w:w="1497" w:type="dxa"/>
          </w:tcPr>
          <w:p w14:paraId="5E137ED0" w14:textId="77777777" w:rsidR="00A41148" w:rsidRPr="00406F8B" w:rsidRDefault="00A41148"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Pr>
                <w:rFonts w:ascii="TUOS Blake" w:hAnsi="TUOS Blake"/>
                <w:sz w:val="22"/>
                <w:szCs w:val="22"/>
              </w:rPr>
              <w:t>&lt;0.001</w:t>
            </w:r>
          </w:p>
        </w:tc>
      </w:tr>
      <w:tr w:rsidR="00A41148" w14:paraId="7E486A01" w14:textId="77777777" w:rsidTr="00F27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7E98C0B" w14:textId="77777777" w:rsidR="00A41148" w:rsidRPr="00406F8B" w:rsidRDefault="00A41148" w:rsidP="00F27D55">
            <w:pPr>
              <w:rPr>
                <w:rFonts w:ascii="TUOS Blake" w:hAnsi="TUOS Blake"/>
                <w:b/>
                <w:bCs/>
                <w:i w:val="0"/>
                <w:iCs w:val="0"/>
                <w:sz w:val="22"/>
                <w:szCs w:val="22"/>
              </w:rPr>
            </w:pPr>
            <w:r w:rsidRPr="00406F8B">
              <w:rPr>
                <w:rFonts w:ascii="TUOS Blake" w:hAnsi="TUOS Blake"/>
                <w:b/>
                <w:bCs/>
                <w:i w:val="0"/>
                <w:iCs w:val="0"/>
                <w:sz w:val="22"/>
                <w:szCs w:val="22"/>
              </w:rPr>
              <w:t>PVR (</w:t>
            </w:r>
            <w:proofErr w:type="spellStart"/>
            <w:r w:rsidRPr="00406F8B">
              <w:rPr>
                <w:rFonts w:ascii="TUOS Blake" w:hAnsi="TUOS Blake"/>
                <w:b/>
                <w:bCs/>
                <w:i w:val="0"/>
                <w:iCs w:val="0"/>
                <w:sz w:val="22"/>
                <w:szCs w:val="22"/>
              </w:rPr>
              <w:t>Dynes.s</w:t>
            </w:r>
            <w:proofErr w:type="spellEnd"/>
            <w:r w:rsidRPr="00406F8B">
              <w:rPr>
                <w:rFonts w:ascii="TUOS Blake" w:hAnsi="TUOS Blake"/>
                <w:b/>
                <w:bCs/>
                <w:i w:val="0"/>
                <w:iCs w:val="0"/>
                <w:sz w:val="22"/>
                <w:szCs w:val="22"/>
              </w:rPr>
              <w:t>/cm</w:t>
            </w:r>
            <w:r w:rsidRPr="00406F8B">
              <w:rPr>
                <w:rFonts w:ascii="TUOS Blake" w:hAnsi="TUOS Blake"/>
                <w:b/>
                <w:bCs/>
                <w:i w:val="0"/>
                <w:iCs w:val="0"/>
                <w:sz w:val="22"/>
                <w:szCs w:val="22"/>
                <w:vertAlign w:val="superscript"/>
              </w:rPr>
              <w:t>5</w:t>
            </w:r>
            <w:r w:rsidRPr="00406F8B">
              <w:rPr>
                <w:rFonts w:ascii="TUOS Blake" w:hAnsi="TUOS Blake"/>
                <w:b/>
                <w:bCs/>
                <w:i w:val="0"/>
                <w:iCs w:val="0"/>
                <w:sz w:val="22"/>
                <w:szCs w:val="22"/>
              </w:rPr>
              <w:t>)</w:t>
            </w:r>
          </w:p>
        </w:tc>
        <w:tc>
          <w:tcPr>
            <w:tcW w:w="2126" w:type="dxa"/>
          </w:tcPr>
          <w:p w14:paraId="65AE68CC" w14:textId="77777777" w:rsidR="00A41148" w:rsidRPr="00406F8B" w:rsidRDefault="00A41148"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406F8B">
              <w:rPr>
                <w:rFonts w:ascii="TUOS Blake" w:hAnsi="TUOS Blake"/>
                <w:color w:val="000000"/>
                <w:sz w:val="22"/>
                <w:szCs w:val="22"/>
              </w:rPr>
              <w:t>148 (123.9 - 164.1)</w:t>
            </w:r>
          </w:p>
        </w:tc>
        <w:tc>
          <w:tcPr>
            <w:tcW w:w="2268" w:type="dxa"/>
          </w:tcPr>
          <w:p w14:paraId="6EF73C0A" w14:textId="77777777" w:rsidR="00A41148" w:rsidRPr="00406F8B" w:rsidRDefault="00A41148" w:rsidP="00F27D55">
            <w:pPr>
              <w:cnfStyle w:val="000000100000" w:firstRow="0" w:lastRow="0" w:firstColumn="0" w:lastColumn="0" w:oddVBand="0" w:evenVBand="0" w:oddHBand="1" w:evenHBand="0" w:firstRowFirstColumn="0" w:firstRowLastColumn="0" w:lastRowFirstColumn="0" w:lastRowLastColumn="0"/>
              <w:rPr>
                <w:rFonts w:ascii="TUOS Blake" w:hAnsi="TUOS Blake"/>
                <w:color w:val="000000"/>
                <w:sz w:val="22"/>
                <w:szCs w:val="22"/>
              </w:rPr>
            </w:pPr>
            <w:r w:rsidRPr="00406F8B">
              <w:rPr>
                <w:rFonts w:ascii="TUOS Blake" w:hAnsi="TUOS Blake"/>
                <w:color w:val="000000"/>
                <w:sz w:val="22"/>
                <w:szCs w:val="22"/>
              </w:rPr>
              <w:t>381.4 (263.5 - 730.2)</w:t>
            </w:r>
          </w:p>
        </w:tc>
        <w:tc>
          <w:tcPr>
            <w:tcW w:w="1497" w:type="dxa"/>
          </w:tcPr>
          <w:p w14:paraId="1DC734FC" w14:textId="77777777" w:rsidR="00A41148" w:rsidRPr="00406F8B" w:rsidRDefault="00A41148"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Pr>
                <w:rFonts w:ascii="TUOS Blake" w:hAnsi="TUOS Blake"/>
                <w:sz w:val="22"/>
                <w:szCs w:val="22"/>
              </w:rPr>
              <w:t>&lt;0.001</w:t>
            </w:r>
          </w:p>
        </w:tc>
      </w:tr>
      <w:tr w:rsidR="00A41148" w14:paraId="63C18740" w14:textId="77777777" w:rsidTr="00F27D55">
        <w:tc>
          <w:tcPr>
            <w:cnfStyle w:val="001000000000" w:firstRow="0" w:lastRow="0" w:firstColumn="1" w:lastColumn="0" w:oddVBand="0" w:evenVBand="0" w:oddHBand="0" w:evenHBand="0" w:firstRowFirstColumn="0" w:firstRowLastColumn="0" w:lastRowFirstColumn="0" w:lastRowLastColumn="0"/>
            <w:tcW w:w="3119" w:type="dxa"/>
          </w:tcPr>
          <w:p w14:paraId="3B17ACFD" w14:textId="77777777" w:rsidR="00A41148" w:rsidRPr="00406F8B" w:rsidRDefault="00A41148" w:rsidP="00F27D55">
            <w:pPr>
              <w:rPr>
                <w:rFonts w:ascii="TUOS Blake" w:hAnsi="TUOS Blake"/>
                <w:b/>
                <w:bCs/>
                <w:i w:val="0"/>
                <w:iCs w:val="0"/>
                <w:sz w:val="22"/>
                <w:szCs w:val="22"/>
              </w:rPr>
            </w:pPr>
            <w:r w:rsidRPr="00406F8B">
              <w:rPr>
                <w:rFonts w:ascii="TUOS Blake" w:hAnsi="TUOS Blake"/>
                <w:b/>
                <w:bCs/>
                <w:i w:val="0"/>
                <w:iCs w:val="0"/>
                <w:sz w:val="22"/>
                <w:szCs w:val="22"/>
              </w:rPr>
              <w:t>Cardiac Output (L/min)</w:t>
            </w:r>
          </w:p>
        </w:tc>
        <w:tc>
          <w:tcPr>
            <w:tcW w:w="2126" w:type="dxa"/>
          </w:tcPr>
          <w:p w14:paraId="16542CDF" w14:textId="77777777" w:rsidR="00A41148" w:rsidRPr="00406F8B" w:rsidRDefault="00A41148"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sidRPr="00406F8B">
              <w:rPr>
                <w:rFonts w:ascii="TUOS Blake" w:hAnsi="TUOS Blake"/>
                <w:color w:val="000000"/>
                <w:sz w:val="22"/>
                <w:szCs w:val="22"/>
              </w:rPr>
              <w:t>6.8 (1.1)</w:t>
            </w:r>
          </w:p>
        </w:tc>
        <w:tc>
          <w:tcPr>
            <w:tcW w:w="2268" w:type="dxa"/>
          </w:tcPr>
          <w:p w14:paraId="364A1B03" w14:textId="77777777" w:rsidR="00A41148" w:rsidRPr="00406F8B" w:rsidRDefault="00A41148" w:rsidP="00F27D55">
            <w:pPr>
              <w:cnfStyle w:val="000000000000" w:firstRow="0" w:lastRow="0" w:firstColumn="0" w:lastColumn="0" w:oddVBand="0" w:evenVBand="0" w:oddHBand="0" w:evenHBand="0" w:firstRowFirstColumn="0" w:firstRowLastColumn="0" w:lastRowFirstColumn="0" w:lastRowLastColumn="0"/>
              <w:rPr>
                <w:rFonts w:ascii="TUOS Blake" w:hAnsi="TUOS Blake"/>
                <w:color w:val="000000"/>
                <w:sz w:val="22"/>
                <w:szCs w:val="22"/>
              </w:rPr>
            </w:pPr>
            <w:r w:rsidRPr="00406F8B">
              <w:rPr>
                <w:rFonts w:ascii="TUOS Blake" w:hAnsi="TUOS Blake"/>
                <w:color w:val="000000"/>
                <w:sz w:val="22"/>
                <w:szCs w:val="22"/>
              </w:rPr>
              <w:t>5.4 (1.7)</w:t>
            </w:r>
          </w:p>
        </w:tc>
        <w:tc>
          <w:tcPr>
            <w:tcW w:w="1497" w:type="dxa"/>
          </w:tcPr>
          <w:p w14:paraId="53FB1E2D" w14:textId="77777777" w:rsidR="00A41148" w:rsidRPr="00406F8B" w:rsidRDefault="00A41148" w:rsidP="00F27D55">
            <w:pPr>
              <w:cnfStyle w:val="000000000000" w:firstRow="0" w:lastRow="0" w:firstColumn="0" w:lastColumn="0" w:oddVBand="0" w:evenVBand="0" w:oddHBand="0" w:evenHBand="0" w:firstRowFirstColumn="0" w:firstRowLastColumn="0" w:lastRowFirstColumn="0" w:lastRowLastColumn="0"/>
              <w:rPr>
                <w:rFonts w:ascii="TUOS Blake" w:hAnsi="TUOS Blake"/>
                <w:sz w:val="22"/>
                <w:szCs w:val="22"/>
              </w:rPr>
            </w:pPr>
            <w:r>
              <w:rPr>
                <w:rFonts w:ascii="TUOS Blake" w:hAnsi="TUOS Blake"/>
                <w:sz w:val="22"/>
                <w:szCs w:val="22"/>
              </w:rPr>
              <w:t>0.003</w:t>
            </w:r>
          </w:p>
        </w:tc>
      </w:tr>
      <w:tr w:rsidR="00A41148" w14:paraId="7D1EA71E" w14:textId="77777777" w:rsidTr="00F27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26E9977" w14:textId="77777777" w:rsidR="00A41148" w:rsidRPr="00406F8B" w:rsidRDefault="00A41148" w:rsidP="00F27D55">
            <w:pPr>
              <w:rPr>
                <w:rFonts w:ascii="TUOS Blake" w:hAnsi="TUOS Blake"/>
                <w:b/>
                <w:bCs/>
                <w:i w:val="0"/>
                <w:iCs w:val="0"/>
                <w:sz w:val="22"/>
                <w:szCs w:val="22"/>
              </w:rPr>
            </w:pPr>
            <w:r w:rsidRPr="00406F8B">
              <w:rPr>
                <w:rFonts w:ascii="TUOS Blake" w:hAnsi="TUOS Blake"/>
                <w:b/>
                <w:bCs/>
                <w:i w:val="0"/>
                <w:iCs w:val="0"/>
                <w:sz w:val="22"/>
                <w:szCs w:val="22"/>
              </w:rPr>
              <w:t>PA Wedge Pressure (mmHg)</w:t>
            </w:r>
          </w:p>
        </w:tc>
        <w:tc>
          <w:tcPr>
            <w:tcW w:w="2126" w:type="dxa"/>
          </w:tcPr>
          <w:p w14:paraId="38021D55" w14:textId="77777777" w:rsidR="00A41148" w:rsidRPr="00406F8B" w:rsidRDefault="00A41148"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sidRPr="00406F8B">
              <w:rPr>
                <w:rFonts w:ascii="TUOS Blake" w:hAnsi="TUOS Blake"/>
                <w:color w:val="000000"/>
                <w:sz w:val="22"/>
                <w:szCs w:val="22"/>
              </w:rPr>
              <w:t>8 (7 - 11)</w:t>
            </w:r>
          </w:p>
        </w:tc>
        <w:tc>
          <w:tcPr>
            <w:tcW w:w="2268" w:type="dxa"/>
          </w:tcPr>
          <w:p w14:paraId="442C1B13" w14:textId="77777777" w:rsidR="00A41148" w:rsidRPr="00406F8B" w:rsidRDefault="00A41148" w:rsidP="00F27D55">
            <w:pPr>
              <w:cnfStyle w:val="000000100000" w:firstRow="0" w:lastRow="0" w:firstColumn="0" w:lastColumn="0" w:oddVBand="0" w:evenVBand="0" w:oddHBand="1" w:evenHBand="0" w:firstRowFirstColumn="0" w:firstRowLastColumn="0" w:lastRowFirstColumn="0" w:lastRowLastColumn="0"/>
              <w:rPr>
                <w:rFonts w:ascii="TUOS Blake" w:hAnsi="TUOS Blake"/>
                <w:color w:val="000000"/>
                <w:sz w:val="22"/>
                <w:szCs w:val="22"/>
              </w:rPr>
            </w:pPr>
            <w:r w:rsidRPr="00406F8B">
              <w:rPr>
                <w:rFonts w:ascii="TUOS Blake" w:hAnsi="TUOS Blake"/>
                <w:color w:val="000000"/>
                <w:sz w:val="22"/>
                <w:szCs w:val="22"/>
              </w:rPr>
              <w:t>11 (7.5 - 13.5)</w:t>
            </w:r>
          </w:p>
        </w:tc>
        <w:tc>
          <w:tcPr>
            <w:tcW w:w="1497" w:type="dxa"/>
          </w:tcPr>
          <w:p w14:paraId="6B176F88" w14:textId="77777777" w:rsidR="00A41148" w:rsidRPr="00406F8B" w:rsidRDefault="00A41148" w:rsidP="00F27D55">
            <w:pPr>
              <w:cnfStyle w:val="000000100000" w:firstRow="0" w:lastRow="0" w:firstColumn="0" w:lastColumn="0" w:oddVBand="0" w:evenVBand="0" w:oddHBand="1" w:evenHBand="0" w:firstRowFirstColumn="0" w:firstRowLastColumn="0" w:lastRowFirstColumn="0" w:lastRowLastColumn="0"/>
              <w:rPr>
                <w:rFonts w:ascii="TUOS Blake" w:hAnsi="TUOS Blake"/>
                <w:sz w:val="22"/>
                <w:szCs w:val="22"/>
              </w:rPr>
            </w:pPr>
            <w:r>
              <w:rPr>
                <w:rFonts w:ascii="TUOS Blake" w:hAnsi="TUOS Blake"/>
                <w:sz w:val="22"/>
                <w:szCs w:val="22"/>
              </w:rPr>
              <w:t>NS</w:t>
            </w:r>
          </w:p>
        </w:tc>
      </w:tr>
    </w:tbl>
    <w:p w14:paraId="6DD0C702" w14:textId="196C09BD" w:rsidR="00E4064F" w:rsidRPr="00AE07B3" w:rsidRDefault="00E4064F" w:rsidP="00E4064F"/>
    <w:p w14:paraId="7D6F8F4F" w14:textId="69A8F440" w:rsidR="00E4064F" w:rsidRDefault="00E4064F" w:rsidP="00BE34DB">
      <w:pPr>
        <w:pStyle w:val="Caption"/>
      </w:pPr>
      <w:bookmarkStart w:id="289" w:name="_Ref4236527"/>
      <w:bookmarkStart w:id="290" w:name="_Toc60597194"/>
      <w:r>
        <w:t xml:space="preserve">Table </w:t>
      </w:r>
      <w:r w:rsidR="004D7B97">
        <w:fldChar w:fldCharType="begin"/>
      </w:r>
      <w:r w:rsidR="004D7B97">
        <w:instrText xml:space="preserve"> STYLEREF 1 \s </w:instrText>
      </w:r>
      <w:r w:rsidR="004D7B97">
        <w:fldChar w:fldCharType="separate"/>
      </w:r>
      <w:r w:rsidR="00885DE4">
        <w:rPr>
          <w:noProof/>
        </w:rPr>
        <w:t>6</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5</w:t>
      </w:r>
      <w:r w:rsidR="004D7B97">
        <w:fldChar w:fldCharType="end"/>
      </w:r>
      <w:bookmarkEnd w:id="289"/>
      <w:r>
        <w:t xml:space="preserve"> Demographics table for </w:t>
      </w:r>
      <w:proofErr w:type="spellStart"/>
      <w:r>
        <w:t>SSc</w:t>
      </w:r>
      <w:proofErr w:type="spellEnd"/>
      <w:r>
        <w:t xml:space="preserve">-PAH from </w:t>
      </w:r>
      <w:proofErr w:type="spellStart"/>
      <w:r>
        <w:t>SSc</w:t>
      </w:r>
      <w:proofErr w:type="spellEnd"/>
      <w:r>
        <w:t xml:space="preserve"> qPCR diagnostic test.  </w:t>
      </w:r>
      <w:r w:rsidR="00BE34DB">
        <w:t>Normally distributed data shown as mean + standard deviation and comparisons made using Students t-test.  Non-normally distributed data shown as median + interquartile range and comparisons made using Mann Whitney U-test.</w:t>
      </w:r>
      <w:r>
        <w:t xml:space="preserve"> Categorical data was tested with Chi-Squared.</w:t>
      </w:r>
      <w:bookmarkEnd w:id="290"/>
    </w:p>
    <w:p w14:paraId="3BD9C601" w14:textId="77777777" w:rsidR="00E4064F" w:rsidRPr="00E902EE" w:rsidRDefault="00E4064F" w:rsidP="00E4064F"/>
    <w:p w14:paraId="2C8DFB64" w14:textId="77777777" w:rsidR="00E4064F" w:rsidRDefault="00E4064F" w:rsidP="00E4064F">
      <w:pPr>
        <w:pStyle w:val="Heading2"/>
        <w:numPr>
          <w:ilvl w:val="2"/>
          <w:numId w:val="7"/>
        </w:numPr>
        <w:spacing w:before="120" w:after="120"/>
      </w:pPr>
      <w:bookmarkStart w:id="291" w:name="_Toc60773952"/>
      <w:r>
        <w:t>Methods</w:t>
      </w:r>
      <w:bookmarkEnd w:id="291"/>
      <w:r>
        <w:t xml:space="preserve"> </w:t>
      </w:r>
    </w:p>
    <w:p w14:paraId="5DF1FBCD" w14:textId="44821B20" w:rsidR="00E4064F" w:rsidRDefault="00E4064F" w:rsidP="00E4064F">
      <w:pPr>
        <w:pStyle w:val="Body"/>
      </w:pPr>
      <w:r>
        <w:t xml:space="preserve">Reverse-transcription of RNA to cDNA was performed as described in </w:t>
      </w:r>
      <w:r>
        <w:fldChar w:fldCharType="begin"/>
      </w:r>
      <w:r>
        <w:instrText xml:space="preserve"> REF _Ref367556423 \n \h </w:instrText>
      </w:r>
      <w:r>
        <w:fldChar w:fldCharType="separate"/>
      </w:r>
      <w:r w:rsidR="00885DE4">
        <w:t>2.5.1</w:t>
      </w:r>
      <w:r>
        <w:fldChar w:fldCharType="end"/>
      </w:r>
      <w:r>
        <w:t xml:space="preserve"> followed by real-time PCR as described in </w:t>
      </w:r>
      <w:r>
        <w:fldChar w:fldCharType="begin"/>
      </w:r>
      <w:r>
        <w:instrText xml:space="preserve"> REF _Ref367556474 \n \h </w:instrText>
      </w:r>
      <w:r>
        <w:fldChar w:fldCharType="separate"/>
      </w:r>
      <w:r w:rsidR="00885DE4">
        <w:t>0</w:t>
      </w:r>
      <w:r>
        <w:fldChar w:fldCharType="end"/>
      </w:r>
      <w:r>
        <w:t xml:space="preserve">. Normalisation was performed to the mean of miRNA-320c and miRNA-142-3p described previously </w:t>
      </w:r>
      <w:r>
        <w:fldChar w:fldCharType="begin"/>
      </w:r>
      <w:r w:rsidR="004E19A5">
        <w:instrText xml:space="preserve"> ADDIN PAPERS2_CITATIONS &lt;citation&gt;&lt;priority&gt;0&lt;/priority&gt;&lt;uuid&gt;A272B657-1DBF-4477-872B-9161E3CB94EC&lt;/uuid&gt;&lt;publications&gt;&lt;publication&gt;&lt;subtype&gt;400&lt;/subtype&gt;&lt;title&gt;Customized Internal Reference Controls for Improved Assessment of Circulating MicroRNAs in Disease&lt;/title&gt;&lt;url&gt;http://dx.plos.org/10.1371/journal.pone.0127443&lt;/url&gt;&lt;volume&gt;10&lt;/volume&gt;&lt;publication_date&gt;99201505261200000000222000&lt;/publication_date&gt;&lt;uuid&gt;BBB24937-A3A6-40D9-913E-8DE22FA13700&lt;/uuid&gt;&lt;type&gt;400&lt;/type&gt;&lt;number&gt;5&lt;/number&gt;&lt;doi&gt;10.1371/journal.pone.0127443&lt;/doi&gt;&lt;startpage&gt;e0127443&lt;/startpage&gt;&lt;endpage&gt;22&lt;/endpage&gt;&lt;bundle&gt;&lt;publication&gt;&lt;title&gt;PloS one&lt;/title&gt;&lt;uuid&gt;82F7624E-B927-496C-B434-7FDEB6B50A82&lt;/uuid&gt;&lt;subtype&gt;-100&lt;/subtype&gt;&lt;publisher&gt;Public Library of Science&lt;/publisher&gt;&lt;type&gt;-100&lt;/type&gt;&lt;url&gt;http://www.plosone.org&lt;/url&gt;&lt;/publication&gt;&lt;/bundle&gt;&lt;authors&gt;&lt;author&gt;&lt;lastName&gt;Schlosser&lt;/lastName&gt;&lt;firstName&gt;Kenny&lt;/firstName&gt;&lt;/author&gt;&lt;author&gt;&lt;lastName&gt;McIntyre&lt;/lastName&gt;&lt;firstName&gt;Lauralyn&lt;/firstName&gt;&lt;middleNames&gt;A&lt;/middleNames&gt;&lt;/author&gt;&lt;author&gt;&lt;lastName&gt;White&lt;/lastName&gt;&lt;firstName&gt;R&lt;/firstName&gt;&lt;middleNames&gt;James&lt;/middleNames&gt;&lt;/author&gt;&lt;author&gt;&lt;lastName&gt;Stewart&lt;/lastName&gt;&lt;firstName&gt;Duncan&lt;/firstName&gt;&lt;middleNames&gt;J&lt;/middleNames&gt;&lt;/author&gt;&lt;/authors&gt;&lt;editors&gt;&lt;author&gt;&lt;lastName&gt;Jeyaseelan&lt;/lastName&gt;&lt;firstName&gt;Kandiah&lt;/firstName&gt;&lt;/author&gt;&lt;/editors&gt;&lt;/publication&gt;&lt;/publications&gt;&lt;cites&gt;&lt;/cites&gt;&lt;/citation&gt;</w:instrText>
      </w:r>
      <w:r>
        <w:fldChar w:fldCharType="separate"/>
      </w:r>
      <w:r w:rsidR="00095567">
        <w:rPr>
          <w:rFonts w:eastAsiaTheme="minorEastAsia"/>
          <w:lang w:val="en-US"/>
        </w:rPr>
        <w:t>(Schlosser et al., 2015)</w:t>
      </w:r>
      <w:r>
        <w:fldChar w:fldCharType="end"/>
      </w:r>
      <w:r>
        <w:t xml:space="preserve"> and the mean of the </w:t>
      </w:r>
      <w:proofErr w:type="spellStart"/>
      <w:r>
        <w:t>SSc</w:t>
      </w:r>
      <w:proofErr w:type="spellEnd"/>
      <w:r>
        <w:t xml:space="preserve"> group was used for the comparator for delta </w:t>
      </w:r>
      <w:proofErr w:type="spellStart"/>
      <w:r>
        <w:t>delta</w:t>
      </w:r>
      <w:proofErr w:type="spellEnd"/>
      <w:r>
        <w:t xml:space="preserve"> Ct. </w:t>
      </w:r>
    </w:p>
    <w:p w14:paraId="2755C476" w14:textId="77777777" w:rsidR="00E4064F" w:rsidRPr="009F32FD" w:rsidRDefault="00E4064F" w:rsidP="00E4064F">
      <w:pPr>
        <w:pStyle w:val="Body"/>
      </w:pPr>
    </w:p>
    <w:p w14:paraId="205EA64E" w14:textId="77777777" w:rsidR="00E4064F" w:rsidRDefault="00E4064F" w:rsidP="00E4064F">
      <w:pPr>
        <w:pStyle w:val="Heading2"/>
        <w:numPr>
          <w:ilvl w:val="2"/>
          <w:numId w:val="7"/>
        </w:numPr>
        <w:spacing w:before="120" w:after="120"/>
      </w:pPr>
      <w:bookmarkStart w:id="292" w:name="_Toc60773953"/>
      <w:r>
        <w:lastRenderedPageBreak/>
        <w:t>Results</w:t>
      </w:r>
      <w:bookmarkEnd w:id="292"/>
      <w:r>
        <w:t xml:space="preserve"> </w:t>
      </w:r>
    </w:p>
    <w:p w14:paraId="6A1EC418" w14:textId="77777777" w:rsidR="00E4064F" w:rsidRDefault="00E4064F" w:rsidP="00E4064F">
      <w:pPr>
        <w:pStyle w:val="Body"/>
      </w:pPr>
      <w:r>
        <w:t>The performance of the miRNAs in the qPCR screen were characterised by testing for concordance with the microarray expression, univariate comparisons and together in a panel.</w:t>
      </w:r>
    </w:p>
    <w:p w14:paraId="3955AAAE" w14:textId="77777777" w:rsidR="00E4064F" w:rsidRPr="00DE193E" w:rsidRDefault="00E4064F" w:rsidP="00E4064F"/>
    <w:p w14:paraId="2681A683" w14:textId="77777777" w:rsidR="00E4064F" w:rsidRDefault="00E4064F" w:rsidP="00E4064F">
      <w:pPr>
        <w:pStyle w:val="Heading2"/>
        <w:numPr>
          <w:ilvl w:val="3"/>
          <w:numId w:val="7"/>
        </w:numPr>
        <w:spacing w:before="120" w:after="120"/>
      </w:pPr>
      <w:bookmarkStart w:id="293" w:name="_Toc60773954"/>
      <w:r>
        <w:t>Concordance with microarray data</w:t>
      </w:r>
      <w:bookmarkEnd w:id="293"/>
    </w:p>
    <w:p w14:paraId="56DDA623" w14:textId="4368B823" w:rsidR="00E4064F" w:rsidRDefault="00E4064F" w:rsidP="00E4064F">
      <w:pPr>
        <w:pStyle w:val="Body"/>
      </w:pPr>
      <w:r>
        <w:t>Correlations were calculated for each microRNA between samples which were in the original microarray study. Expression values from the microarray and -</w:t>
      </w:r>
      <w:proofErr w:type="spellStart"/>
      <w:r>
        <w:t>deltaCt</w:t>
      </w:r>
      <w:proofErr w:type="spellEnd"/>
      <w:r>
        <w:t xml:space="preserve"> real-time PCR values were used in the Spearman correlation calculations, results are shown in </w:t>
      </w:r>
      <w:r>
        <w:fldChar w:fldCharType="begin"/>
      </w:r>
      <w:r>
        <w:instrText xml:space="preserve"> REF _Ref536348306 \h </w:instrText>
      </w:r>
      <w:r>
        <w:fldChar w:fldCharType="separate"/>
      </w:r>
      <w:r w:rsidR="00885DE4">
        <w:t xml:space="preserve">Table </w:t>
      </w:r>
      <w:r w:rsidR="00885DE4">
        <w:rPr>
          <w:noProof/>
        </w:rPr>
        <w:t>6</w:t>
      </w:r>
      <w:r w:rsidR="00885DE4">
        <w:noBreakHyphen/>
      </w:r>
      <w:r w:rsidR="00885DE4">
        <w:rPr>
          <w:noProof/>
        </w:rPr>
        <w:t>6</w:t>
      </w:r>
      <w:r>
        <w:fldChar w:fldCharType="end"/>
      </w:r>
      <w:r>
        <w:t xml:space="preserve"> and plotted in </w:t>
      </w:r>
      <w:r>
        <w:fldChar w:fldCharType="begin"/>
      </w:r>
      <w:r>
        <w:instrText xml:space="preserve"> REF _Ref536348322 \h </w:instrText>
      </w:r>
      <w:r>
        <w:fldChar w:fldCharType="separate"/>
      </w:r>
      <w:r w:rsidR="00885DE4">
        <w:t xml:space="preserve">Figure </w:t>
      </w:r>
      <w:r w:rsidR="00885DE4">
        <w:rPr>
          <w:noProof/>
        </w:rPr>
        <w:t>6</w:t>
      </w:r>
      <w:r w:rsidR="00885DE4">
        <w:noBreakHyphen/>
      </w:r>
      <w:r w:rsidR="00885DE4">
        <w:rPr>
          <w:noProof/>
        </w:rPr>
        <w:t>1</w:t>
      </w:r>
      <w:r>
        <w:fldChar w:fldCharType="end"/>
      </w:r>
      <w:r>
        <w:t xml:space="preserve">. The inverse of </w:t>
      </w:r>
      <w:proofErr w:type="spellStart"/>
      <w:r>
        <w:t>deltaCt</w:t>
      </w:r>
      <w:proofErr w:type="spellEnd"/>
      <w:r>
        <w:t xml:space="preserve"> was used as it has the same log</w:t>
      </w:r>
      <w:r w:rsidRPr="001A6266">
        <w:rPr>
          <w:vertAlign w:val="subscript"/>
        </w:rPr>
        <w:t>2</w:t>
      </w:r>
      <w:r>
        <w:t xml:space="preserve"> relationship of the microarray expression and is normalised for experimental variation. </w:t>
      </w:r>
    </w:p>
    <w:p w14:paraId="103B6F8C" w14:textId="77777777" w:rsidR="00E4064F" w:rsidRPr="00FF0BEF" w:rsidRDefault="00E4064F" w:rsidP="00E4064F">
      <w:r w:rsidRPr="00FF0BEF">
        <w:fldChar w:fldCharType="begin"/>
      </w:r>
      <w:r w:rsidRPr="00FF0BEF">
        <w:instrText xml:space="preserve"> INCLUDEPICTURE "/var/folders/l6/vys2vd0146s3s10pz21166nr0000gp/T/com.microsoft.Word/WebArchiveCopyPasteTempFiles/00002c.png" \* MERGEFORMATINET </w:instrText>
      </w:r>
      <w:r w:rsidRPr="00FF0BEF">
        <w:fldChar w:fldCharType="separate"/>
      </w:r>
      <w:r w:rsidRPr="00FF0BEF">
        <w:rPr>
          <w:noProof/>
        </w:rPr>
        <w:drawing>
          <wp:inline distT="0" distB="0" distL="0" distR="0" wp14:anchorId="5498C0DA" wp14:editId="032B3EF8">
            <wp:extent cx="5727700" cy="3535680"/>
            <wp:effectExtent l="0" t="0" r="0" b="0"/>
            <wp:docPr id="8" name="Picture 8" descr="/var/folders/l6/vys2vd0146s3s10pz21166nr0000gp/T/com.microsoft.Word/WebArchiveCopyPasteTempFiles/000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l6/vys2vd0146s3s10pz21166nr0000gp/T/com.microsoft.Word/WebArchiveCopyPasteTempFiles/00002c.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3535680"/>
                    </a:xfrm>
                    <a:prstGeom prst="rect">
                      <a:avLst/>
                    </a:prstGeom>
                    <a:noFill/>
                    <a:ln>
                      <a:noFill/>
                    </a:ln>
                  </pic:spPr>
                </pic:pic>
              </a:graphicData>
            </a:graphic>
          </wp:inline>
        </w:drawing>
      </w:r>
      <w:r w:rsidRPr="00FF0BEF">
        <w:fldChar w:fldCharType="end"/>
      </w:r>
    </w:p>
    <w:p w14:paraId="533317BD" w14:textId="77777777" w:rsidR="00E4064F" w:rsidRPr="00FF0BEF" w:rsidRDefault="00E4064F" w:rsidP="00E4064F"/>
    <w:p w14:paraId="6A228B3E" w14:textId="26355E87" w:rsidR="00E4064F" w:rsidRPr="00767971" w:rsidRDefault="00E4064F" w:rsidP="00E4064F">
      <w:pPr>
        <w:pStyle w:val="Caption"/>
        <w:rPr>
          <w:rFonts w:ascii="Times New Roman" w:eastAsia="Times New Roman" w:hAnsi="Times New Roman" w:cs="Times New Roman"/>
          <w:color w:val="auto"/>
          <w:bdr w:val="none" w:sz="0" w:space="0" w:color="auto"/>
        </w:rPr>
      </w:pPr>
      <w:bookmarkStart w:id="294" w:name="_Ref536348322"/>
      <w:bookmarkStart w:id="295" w:name="_Toc60597213"/>
      <w:r>
        <w:t xml:space="preserve">Figure </w:t>
      </w:r>
      <w:r w:rsidR="00864CF4">
        <w:fldChar w:fldCharType="begin"/>
      </w:r>
      <w:r w:rsidR="00864CF4">
        <w:instrText xml:space="preserve"> STYLEREF 1 \s </w:instrText>
      </w:r>
      <w:r w:rsidR="00864CF4">
        <w:fldChar w:fldCharType="separate"/>
      </w:r>
      <w:r w:rsidR="00885DE4">
        <w:rPr>
          <w:noProof/>
        </w:rPr>
        <w:t>6</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1</w:t>
      </w:r>
      <w:r w:rsidR="00864CF4">
        <w:fldChar w:fldCharType="end"/>
      </w:r>
      <w:bookmarkEnd w:id="294"/>
      <w:r>
        <w:t xml:space="preserve"> Real-time PCR concordance with microarray expression blue loess trendline with 95% confidence boundary shown in grey.</w:t>
      </w:r>
      <w:bookmarkEnd w:id="295"/>
    </w:p>
    <w:p w14:paraId="4A44C4B5" w14:textId="77777777" w:rsidR="00E4064F" w:rsidRPr="004442CD" w:rsidRDefault="00E4064F" w:rsidP="00E4064F"/>
    <w:p w14:paraId="4B3B1EE8" w14:textId="77777777" w:rsidR="00E4064F" w:rsidRDefault="00E4064F" w:rsidP="00E4064F"/>
    <w:tbl>
      <w:tblPr>
        <w:tblStyle w:val="DefaultTableStyle"/>
        <w:tblW w:w="7600" w:type="dxa"/>
        <w:jc w:val="center"/>
        <w:tblBorders>
          <w:insideV w:val="none" w:sz="0" w:space="0" w:color="auto"/>
        </w:tblBorders>
        <w:tblLayout w:type="fixed"/>
        <w:tblLook w:val="0660" w:firstRow="1" w:lastRow="1" w:firstColumn="0" w:lastColumn="0" w:noHBand="1" w:noVBand="1"/>
      </w:tblPr>
      <w:tblGrid>
        <w:gridCol w:w="2268"/>
        <w:gridCol w:w="2126"/>
        <w:gridCol w:w="1241"/>
        <w:gridCol w:w="1965"/>
      </w:tblGrid>
      <w:tr w:rsidR="00E4064F" w:rsidRPr="007F7A1E" w14:paraId="1FA59110" w14:textId="77777777" w:rsidTr="000D1B2E">
        <w:trPr>
          <w:cnfStyle w:val="100000000000" w:firstRow="1" w:lastRow="0" w:firstColumn="0" w:lastColumn="0" w:oddVBand="0" w:evenVBand="0" w:oddHBand="0" w:evenHBand="0" w:firstRowFirstColumn="0" w:firstRowLastColumn="0" w:lastRowFirstColumn="0" w:lastRowLastColumn="0"/>
          <w:trHeight w:val="746"/>
          <w:jc w:val="center"/>
        </w:trPr>
        <w:tc>
          <w:tcPr>
            <w:tcW w:w="2268" w:type="dxa"/>
            <w:tcBorders>
              <w:top w:val="single" w:sz="4" w:space="0" w:color="auto"/>
              <w:bottom w:val="single" w:sz="4" w:space="0" w:color="auto"/>
            </w:tcBorders>
            <w:vAlign w:val="center"/>
          </w:tcPr>
          <w:p w14:paraId="361D8B3D" w14:textId="77777777" w:rsidR="00E4064F" w:rsidRPr="007F7A1E" w:rsidRDefault="00E4064F" w:rsidP="000D1B2E">
            <w:pPr>
              <w:pStyle w:val="BodyText1"/>
              <w:jc w:val="center"/>
              <w:rPr>
                <w:rFonts w:ascii="Times New Roman" w:hAnsi="Times New Roman" w:cs="Times New Roman"/>
                <w:sz w:val="22"/>
              </w:rPr>
            </w:pPr>
            <w:r>
              <w:rPr>
                <w:rFonts w:ascii="Times New Roman" w:hAnsi="Times New Roman" w:cs="Times New Roman"/>
                <w:sz w:val="22"/>
              </w:rPr>
              <w:lastRenderedPageBreak/>
              <w:t>miRNA</w:t>
            </w:r>
          </w:p>
        </w:tc>
        <w:tc>
          <w:tcPr>
            <w:tcW w:w="2126" w:type="dxa"/>
            <w:tcBorders>
              <w:top w:val="single" w:sz="4" w:space="0" w:color="auto"/>
              <w:bottom w:val="single" w:sz="4" w:space="0" w:color="auto"/>
            </w:tcBorders>
          </w:tcPr>
          <w:p w14:paraId="26737EA6" w14:textId="77777777" w:rsidR="00E4064F" w:rsidRDefault="00E4064F" w:rsidP="000D1B2E">
            <w:pPr>
              <w:pStyle w:val="BodyText1"/>
              <w:jc w:val="center"/>
              <w:rPr>
                <w:rFonts w:ascii="Times New Roman" w:hAnsi="Times New Roman" w:cs="Times New Roman"/>
                <w:sz w:val="22"/>
              </w:rPr>
            </w:pPr>
            <w:r>
              <w:rPr>
                <w:rFonts w:ascii="Times New Roman" w:hAnsi="Times New Roman" w:cs="Times New Roman"/>
                <w:sz w:val="22"/>
              </w:rPr>
              <w:t>Correlation Coefficient</w:t>
            </w:r>
          </w:p>
        </w:tc>
        <w:tc>
          <w:tcPr>
            <w:tcW w:w="1241" w:type="dxa"/>
            <w:tcBorders>
              <w:top w:val="single" w:sz="4" w:space="0" w:color="auto"/>
              <w:bottom w:val="single" w:sz="4" w:space="0" w:color="auto"/>
            </w:tcBorders>
            <w:vAlign w:val="center"/>
          </w:tcPr>
          <w:p w14:paraId="37CE77D4" w14:textId="77777777" w:rsidR="00E4064F" w:rsidRDefault="00E4064F" w:rsidP="000D1B2E">
            <w:pPr>
              <w:pStyle w:val="BodyText1"/>
              <w:jc w:val="center"/>
              <w:rPr>
                <w:rFonts w:ascii="Times New Roman" w:hAnsi="Times New Roman" w:cs="Times New Roman"/>
                <w:sz w:val="22"/>
              </w:rPr>
            </w:pPr>
            <w:r>
              <w:rPr>
                <w:rFonts w:ascii="Times New Roman" w:hAnsi="Times New Roman" w:cs="Times New Roman"/>
                <w:sz w:val="22"/>
              </w:rPr>
              <w:t>p-value</w:t>
            </w:r>
          </w:p>
        </w:tc>
        <w:tc>
          <w:tcPr>
            <w:tcW w:w="1965" w:type="dxa"/>
            <w:tcBorders>
              <w:top w:val="single" w:sz="4" w:space="0" w:color="auto"/>
              <w:bottom w:val="single" w:sz="4" w:space="0" w:color="auto"/>
            </w:tcBorders>
            <w:vAlign w:val="center"/>
          </w:tcPr>
          <w:p w14:paraId="06D7CB79" w14:textId="77777777" w:rsidR="00E4064F" w:rsidRPr="007F7A1E" w:rsidRDefault="00E4064F" w:rsidP="000D1B2E">
            <w:pPr>
              <w:pStyle w:val="BodyText1"/>
              <w:jc w:val="center"/>
              <w:rPr>
                <w:rFonts w:ascii="Times New Roman" w:hAnsi="Times New Roman" w:cs="Times New Roman"/>
                <w:sz w:val="22"/>
              </w:rPr>
            </w:pPr>
            <w:r>
              <w:rPr>
                <w:rFonts w:ascii="Times New Roman" w:hAnsi="Times New Roman" w:cs="Times New Roman"/>
                <w:sz w:val="22"/>
              </w:rPr>
              <w:t>Adjusted p-value</w:t>
            </w:r>
          </w:p>
        </w:tc>
      </w:tr>
      <w:tr w:rsidR="00E4064F" w:rsidRPr="008C1D88" w14:paraId="1B2300DA" w14:textId="77777777" w:rsidTr="000D1B2E">
        <w:trPr>
          <w:trHeight w:val="613"/>
          <w:jc w:val="center"/>
        </w:trPr>
        <w:tc>
          <w:tcPr>
            <w:tcW w:w="2268" w:type="dxa"/>
            <w:tcBorders>
              <w:top w:val="single" w:sz="4" w:space="0" w:color="auto"/>
            </w:tcBorders>
            <w:vAlign w:val="center"/>
          </w:tcPr>
          <w:p w14:paraId="2DBADDD1" w14:textId="77777777" w:rsidR="00E4064F" w:rsidRPr="00C0542B" w:rsidRDefault="00E4064F" w:rsidP="000D1B2E">
            <w:pPr>
              <w:pStyle w:val="BodyText1"/>
              <w:rPr>
                <w:rFonts w:ascii="Times New Roman" w:hAnsi="Times New Roman"/>
                <w:b/>
                <w:color w:val="000000" w:themeColor="text1"/>
              </w:rPr>
            </w:pPr>
            <w:r w:rsidRPr="00C0542B">
              <w:rPr>
                <w:rFonts w:ascii="Times New Roman" w:hAnsi="Times New Roman" w:cs="Times New Roman"/>
                <w:color w:val="000000" w:themeColor="text1"/>
              </w:rPr>
              <w:t>miR-486-5p</w:t>
            </w:r>
          </w:p>
        </w:tc>
        <w:tc>
          <w:tcPr>
            <w:tcW w:w="2126" w:type="dxa"/>
            <w:tcBorders>
              <w:top w:val="single" w:sz="4" w:space="0" w:color="auto"/>
            </w:tcBorders>
            <w:vAlign w:val="center"/>
          </w:tcPr>
          <w:p w14:paraId="74DC6DF2" w14:textId="77777777" w:rsidR="00E4064F" w:rsidRPr="00C0542B" w:rsidRDefault="00E4064F" w:rsidP="000D1B2E">
            <w:pPr>
              <w:pStyle w:val="BodyText1"/>
              <w:jc w:val="center"/>
              <w:rPr>
                <w:rFonts w:ascii="Times New Roman" w:hAnsi="Times New Roman"/>
                <w:color w:val="000000" w:themeColor="text1"/>
              </w:rPr>
            </w:pPr>
            <w:r w:rsidRPr="00C0542B">
              <w:rPr>
                <w:rFonts w:ascii="Times New Roman" w:hAnsi="Times New Roman" w:cs="Times New Roman"/>
                <w:color w:val="000000" w:themeColor="text1"/>
              </w:rPr>
              <w:t>-0.55</w:t>
            </w:r>
          </w:p>
        </w:tc>
        <w:tc>
          <w:tcPr>
            <w:tcW w:w="1241" w:type="dxa"/>
            <w:tcBorders>
              <w:top w:val="single" w:sz="4" w:space="0" w:color="auto"/>
            </w:tcBorders>
            <w:vAlign w:val="center"/>
          </w:tcPr>
          <w:p w14:paraId="4772C0A5" w14:textId="77777777" w:rsidR="00E4064F" w:rsidRPr="00C0542B" w:rsidRDefault="00E4064F" w:rsidP="000D1B2E">
            <w:pPr>
              <w:pStyle w:val="BodyText1"/>
              <w:jc w:val="center"/>
              <w:rPr>
                <w:rFonts w:ascii="Times New Roman" w:hAnsi="Times New Roman" w:cs="Times New Roman"/>
                <w:b/>
                <w:color w:val="000000" w:themeColor="text1"/>
              </w:rPr>
            </w:pPr>
            <w:r w:rsidRPr="00C0542B">
              <w:rPr>
                <w:rFonts w:ascii="Times New Roman" w:hAnsi="Times New Roman" w:cs="Times New Roman"/>
                <w:color w:val="000000" w:themeColor="text1"/>
              </w:rPr>
              <w:t>0.002</w:t>
            </w:r>
            <w:r>
              <w:rPr>
                <w:rFonts w:ascii="Times New Roman" w:hAnsi="Times New Roman" w:cs="Times New Roman"/>
                <w:color w:val="000000" w:themeColor="text1"/>
              </w:rPr>
              <w:t>8</w:t>
            </w:r>
          </w:p>
        </w:tc>
        <w:tc>
          <w:tcPr>
            <w:tcW w:w="1965" w:type="dxa"/>
            <w:tcBorders>
              <w:top w:val="single" w:sz="4" w:space="0" w:color="auto"/>
            </w:tcBorders>
            <w:vAlign w:val="center"/>
          </w:tcPr>
          <w:p w14:paraId="18554ACB" w14:textId="77777777" w:rsidR="00E4064F" w:rsidRPr="00C0542B" w:rsidRDefault="00E4064F" w:rsidP="000D1B2E">
            <w:pPr>
              <w:pStyle w:val="BodyText1"/>
              <w:jc w:val="center"/>
              <w:rPr>
                <w:rFonts w:ascii="Times New Roman" w:hAnsi="Times New Roman" w:cs="Times New Roman"/>
                <w:b/>
                <w:color w:val="000000" w:themeColor="text1"/>
              </w:rPr>
            </w:pPr>
            <w:r w:rsidRPr="00C0542B">
              <w:rPr>
                <w:rFonts w:ascii="Times New Roman" w:hAnsi="Times New Roman" w:cs="Times New Roman"/>
                <w:color w:val="000000" w:themeColor="text1"/>
              </w:rPr>
              <w:t>0.008</w:t>
            </w:r>
            <w:r>
              <w:rPr>
                <w:rFonts w:ascii="Times New Roman" w:hAnsi="Times New Roman" w:cs="Times New Roman"/>
                <w:color w:val="000000" w:themeColor="text1"/>
              </w:rPr>
              <w:t>3</w:t>
            </w:r>
          </w:p>
        </w:tc>
      </w:tr>
      <w:tr w:rsidR="00E4064F" w:rsidRPr="008C1D88" w14:paraId="1568A43F" w14:textId="77777777" w:rsidTr="000D1B2E">
        <w:trPr>
          <w:trHeight w:val="613"/>
          <w:jc w:val="center"/>
        </w:trPr>
        <w:tc>
          <w:tcPr>
            <w:tcW w:w="2268" w:type="dxa"/>
            <w:vAlign w:val="center"/>
          </w:tcPr>
          <w:p w14:paraId="28E45A07" w14:textId="77777777" w:rsidR="00E4064F" w:rsidRPr="00C0542B" w:rsidRDefault="00E4064F" w:rsidP="000D1B2E">
            <w:pPr>
              <w:pStyle w:val="BodyText1"/>
              <w:rPr>
                <w:rFonts w:ascii="Times New Roman" w:hAnsi="Times New Roman"/>
                <w:color w:val="000000" w:themeColor="text1"/>
              </w:rPr>
            </w:pPr>
            <w:r w:rsidRPr="00C0542B">
              <w:rPr>
                <w:rFonts w:ascii="Times New Roman" w:hAnsi="Times New Roman" w:cs="Times New Roman"/>
                <w:color w:val="000000" w:themeColor="text1"/>
              </w:rPr>
              <w:t>miR-584-5p</w:t>
            </w:r>
          </w:p>
        </w:tc>
        <w:tc>
          <w:tcPr>
            <w:tcW w:w="2126" w:type="dxa"/>
            <w:vAlign w:val="center"/>
          </w:tcPr>
          <w:p w14:paraId="5B5E862C" w14:textId="77777777" w:rsidR="00E4064F" w:rsidRPr="00C0542B" w:rsidRDefault="00E4064F" w:rsidP="000D1B2E">
            <w:pPr>
              <w:pStyle w:val="BodyText1"/>
              <w:jc w:val="center"/>
              <w:rPr>
                <w:rFonts w:ascii="Times New Roman" w:hAnsi="Times New Roman"/>
                <w:color w:val="000000" w:themeColor="text1"/>
              </w:rPr>
            </w:pPr>
            <w:r w:rsidRPr="00C0542B">
              <w:rPr>
                <w:rFonts w:ascii="Times New Roman" w:hAnsi="Times New Roman" w:cs="Times New Roman"/>
                <w:color w:val="000000" w:themeColor="text1"/>
              </w:rPr>
              <w:t>-0.28</w:t>
            </w:r>
          </w:p>
        </w:tc>
        <w:tc>
          <w:tcPr>
            <w:tcW w:w="1241" w:type="dxa"/>
            <w:vAlign w:val="center"/>
          </w:tcPr>
          <w:p w14:paraId="544E38B3" w14:textId="77777777" w:rsidR="00E4064F" w:rsidRPr="00C0542B" w:rsidRDefault="00E4064F" w:rsidP="000D1B2E">
            <w:pPr>
              <w:pStyle w:val="BodyText1"/>
              <w:jc w:val="center"/>
              <w:rPr>
                <w:rFonts w:ascii="Times New Roman" w:hAnsi="Times New Roman"/>
                <w:color w:val="000000" w:themeColor="text1"/>
              </w:rPr>
            </w:pPr>
            <w:r w:rsidRPr="00C0542B">
              <w:rPr>
                <w:rFonts w:ascii="Times New Roman" w:hAnsi="Times New Roman" w:cs="Times New Roman"/>
                <w:color w:val="000000" w:themeColor="text1"/>
              </w:rPr>
              <w:t>0.1443</w:t>
            </w:r>
          </w:p>
        </w:tc>
        <w:tc>
          <w:tcPr>
            <w:tcW w:w="1965" w:type="dxa"/>
            <w:vAlign w:val="center"/>
          </w:tcPr>
          <w:p w14:paraId="57E20863" w14:textId="77777777" w:rsidR="00E4064F" w:rsidRPr="00C0542B" w:rsidRDefault="00E4064F" w:rsidP="000D1B2E">
            <w:pPr>
              <w:pStyle w:val="BodyText1"/>
              <w:jc w:val="center"/>
              <w:rPr>
                <w:rFonts w:ascii="Times New Roman" w:hAnsi="Times New Roman"/>
                <w:color w:val="000000" w:themeColor="text1"/>
              </w:rPr>
            </w:pPr>
            <w:r w:rsidRPr="00C0542B">
              <w:rPr>
                <w:rFonts w:ascii="Times New Roman" w:hAnsi="Times New Roman" w:cs="Times New Roman"/>
                <w:color w:val="000000" w:themeColor="text1"/>
              </w:rPr>
              <w:t>0.4329</w:t>
            </w:r>
          </w:p>
        </w:tc>
      </w:tr>
      <w:tr w:rsidR="00E4064F" w:rsidRPr="006908B4" w14:paraId="6CFF292F" w14:textId="77777777" w:rsidTr="000D1B2E">
        <w:trPr>
          <w:cnfStyle w:val="010000000000" w:firstRow="0" w:lastRow="1" w:firstColumn="0" w:lastColumn="0" w:oddVBand="0" w:evenVBand="0" w:oddHBand="0" w:evenHBand="0" w:firstRowFirstColumn="0" w:firstRowLastColumn="0" w:lastRowFirstColumn="0" w:lastRowLastColumn="0"/>
          <w:trHeight w:val="613"/>
          <w:jc w:val="center"/>
        </w:trPr>
        <w:tc>
          <w:tcPr>
            <w:tcW w:w="2268" w:type="dxa"/>
            <w:tcBorders>
              <w:top w:val="none" w:sz="0" w:space="0" w:color="auto"/>
            </w:tcBorders>
            <w:vAlign w:val="center"/>
          </w:tcPr>
          <w:p w14:paraId="6A71B60A" w14:textId="77777777" w:rsidR="00E4064F" w:rsidRPr="00C0542B" w:rsidRDefault="00E4064F" w:rsidP="000D1B2E">
            <w:pPr>
              <w:pStyle w:val="BodyText1"/>
              <w:rPr>
                <w:rFonts w:ascii="Times New Roman" w:hAnsi="Times New Roman"/>
                <w:b w:val="0"/>
                <w:color w:val="000000" w:themeColor="text1"/>
              </w:rPr>
            </w:pPr>
            <w:r w:rsidRPr="00C0542B">
              <w:rPr>
                <w:rFonts w:ascii="Times New Roman" w:hAnsi="Times New Roman" w:cs="Times New Roman"/>
                <w:b w:val="0"/>
                <w:color w:val="000000" w:themeColor="text1"/>
              </w:rPr>
              <w:t>miR-638</w:t>
            </w:r>
          </w:p>
        </w:tc>
        <w:tc>
          <w:tcPr>
            <w:tcW w:w="2126" w:type="dxa"/>
            <w:tcBorders>
              <w:top w:val="none" w:sz="0" w:space="0" w:color="auto"/>
            </w:tcBorders>
            <w:vAlign w:val="center"/>
          </w:tcPr>
          <w:p w14:paraId="27617D78" w14:textId="77777777" w:rsidR="00E4064F" w:rsidRPr="00C0542B" w:rsidRDefault="00E4064F" w:rsidP="000D1B2E">
            <w:pPr>
              <w:pStyle w:val="BodyText1"/>
              <w:jc w:val="center"/>
              <w:rPr>
                <w:rFonts w:ascii="Times New Roman" w:hAnsi="Times New Roman"/>
                <w:b w:val="0"/>
                <w:color w:val="000000" w:themeColor="text1"/>
              </w:rPr>
            </w:pPr>
            <w:r w:rsidRPr="00C0542B">
              <w:rPr>
                <w:rFonts w:ascii="Times New Roman" w:hAnsi="Times New Roman" w:cs="Times New Roman"/>
                <w:b w:val="0"/>
                <w:color w:val="000000" w:themeColor="text1"/>
              </w:rPr>
              <w:t>0.0</w:t>
            </w:r>
            <w:r>
              <w:rPr>
                <w:rFonts w:ascii="Times New Roman" w:hAnsi="Times New Roman" w:cs="Times New Roman"/>
                <w:b w:val="0"/>
                <w:color w:val="000000" w:themeColor="text1"/>
              </w:rPr>
              <w:t>5</w:t>
            </w:r>
          </w:p>
        </w:tc>
        <w:tc>
          <w:tcPr>
            <w:tcW w:w="1241" w:type="dxa"/>
            <w:tcBorders>
              <w:top w:val="none" w:sz="0" w:space="0" w:color="auto"/>
            </w:tcBorders>
            <w:vAlign w:val="center"/>
          </w:tcPr>
          <w:p w14:paraId="62172448" w14:textId="77777777" w:rsidR="00E4064F" w:rsidRPr="00C0542B" w:rsidRDefault="00E4064F" w:rsidP="000D1B2E">
            <w:pPr>
              <w:pStyle w:val="BodyText1"/>
              <w:jc w:val="center"/>
              <w:rPr>
                <w:rFonts w:ascii="Times New Roman" w:hAnsi="Times New Roman"/>
                <w:b w:val="0"/>
                <w:color w:val="000000" w:themeColor="text1"/>
              </w:rPr>
            </w:pPr>
            <w:r w:rsidRPr="00C0542B">
              <w:rPr>
                <w:rFonts w:ascii="Times New Roman" w:hAnsi="Times New Roman" w:cs="Times New Roman"/>
                <w:b w:val="0"/>
                <w:color w:val="000000" w:themeColor="text1"/>
              </w:rPr>
              <w:t>0.8161</w:t>
            </w:r>
          </w:p>
        </w:tc>
        <w:tc>
          <w:tcPr>
            <w:tcW w:w="1965" w:type="dxa"/>
            <w:tcBorders>
              <w:top w:val="none" w:sz="0" w:space="0" w:color="auto"/>
            </w:tcBorders>
            <w:vAlign w:val="center"/>
          </w:tcPr>
          <w:p w14:paraId="2CD7C722" w14:textId="77777777" w:rsidR="00E4064F" w:rsidRPr="00C0542B" w:rsidRDefault="00E4064F" w:rsidP="000D1B2E">
            <w:pPr>
              <w:pStyle w:val="BodyText1"/>
              <w:jc w:val="center"/>
              <w:rPr>
                <w:rFonts w:ascii="Times New Roman" w:hAnsi="Times New Roman"/>
                <w:b w:val="0"/>
                <w:color w:val="000000" w:themeColor="text1"/>
              </w:rPr>
            </w:pPr>
            <w:r w:rsidRPr="00C0542B">
              <w:rPr>
                <w:rFonts w:ascii="Times New Roman" w:hAnsi="Times New Roman" w:cs="Times New Roman"/>
                <w:b w:val="0"/>
                <w:color w:val="000000" w:themeColor="text1"/>
              </w:rPr>
              <w:t>1.0000</w:t>
            </w:r>
          </w:p>
        </w:tc>
      </w:tr>
    </w:tbl>
    <w:p w14:paraId="13DBD501" w14:textId="098244D7" w:rsidR="00E4064F" w:rsidRDefault="00E4064F" w:rsidP="00E4064F">
      <w:pPr>
        <w:pStyle w:val="Caption"/>
      </w:pPr>
      <w:bookmarkStart w:id="296" w:name="_Ref536348306"/>
      <w:bookmarkStart w:id="297" w:name="_Toc60597195"/>
      <w:r>
        <w:t xml:space="preserve">Table </w:t>
      </w:r>
      <w:r w:rsidR="004D7B97">
        <w:fldChar w:fldCharType="begin"/>
      </w:r>
      <w:r w:rsidR="004D7B97">
        <w:instrText xml:space="preserve"> STYLEREF 1 \s </w:instrText>
      </w:r>
      <w:r w:rsidR="004D7B97">
        <w:fldChar w:fldCharType="separate"/>
      </w:r>
      <w:r w:rsidR="00885DE4">
        <w:rPr>
          <w:noProof/>
        </w:rPr>
        <w:t>6</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6</w:t>
      </w:r>
      <w:r w:rsidR="004D7B97">
        <w:fldChar w:fldCharType="end"/>
      </w:r>
      <w:bookmarkEnd w:id="296"/>
      <w:r>
        <w:t xml:space="preserve"> Results of Spearman’s Rho correlation of real-time PCR expression with microarray expression.</w:t>
      </w:r>
      <w:bookmarkEnd w:id="297"/>
    </w:p>
    <w:p w14:paraId="7387549D" w14:textId="77777777" w:rsidR="00E4064F" w:rsidRDefault="00E4064F" w:rsidP="00E4064F"/>
    <w:p w14:paraId="29C5EF4A" w14:textId="77777777" w:rsidR="00E4064F" w:rsidRPr="0028160A" w:rsidRDefault="00E4064F" w:rsidP="00E4064F">
      <w:pPr>
        <w:pStyle w:val="Heading2"/>
        <w:numPr>
          <w:ilvl w:val="3"/>
          <w:numId w:val="7"/>
        </w:numPr>
        <w:spacing w:before="120" w:after="120"/>
      </w:pPr>
      <w:bookmarkStart w:id="298" w:name="_Toc60773955"/>
      <w:r>
        <w:t>Univariate Comparisons</w:t>
      </w:r>
      <w:bookmarkEnd w:id="298"/>
    </w:p>
    <w:p w14:paraId="2979C539" w14:textId="331F83A2" w:rsidR="00E4064F" w:rsidRPr="0075443E" w:rsidRDefault="00E4064F" w:rsidP="00E4064F">
      <w:pPr>
        <w:pStyle w:val="Body"/>
      </w:pPr>
      <w:r>
        <w:t xml:space="preserve">Relative quantification was calculated and pairwise comparisons expression differences were tested by Mann-Whitney U test with </w:t>
      </w:r>
      <w:proofErr w:type="spellStart"/>
      <w:r>
        <w:t>Bonferoni</w:t>
      </w:r>
      <w:proofErr w:type="spellEnd"/>
      <w:r>
        <w:t xml:space="preserve">.  Expression is shown in  </w:t>
      </w:r>
      <w:r>
        <w:fldChar w:fldCharType="begin"/>
      </w:r>
      <w:r>
        <w:instrText xml:space="preserve"> REF _Ref536266353 \h </w:instrText>
      </w:r>
      <w:r>
        <w:fldChar w:fldCharType="separate"/>
      </w:r>
      <w:r w:rsidR="00885DE4">
        <w:t xml:space="preserve">Figure </w:t>
      </w:r>
      <w:r w:rsidR="00885DE4">
        <w:rPr>
          <w:noProof/>
        </w:rPr>
        <w:t>6</w:t>
      </w:r>
      <w:r w:rsidR="00885DE4">
        <w:noBreakHyphen/>
      </w:r>
      <w:r w:rsidR="00885DE4">
        <w:rPr>
          <w:noProof/>
        </w:rPr>
        <w:t>2</w:t>
      </w:r>
      <w:r>
        <w:fldChar w:fldCharType="end"/>
      </w:r>
      <w:r>
        <w:t xml:space="preserve"> and comparisons are summarised in </w:t>
      </w:r>
      <w:r>
        <w:fldChar w:fldCharType="begin"/>
      </w:r>
      <w:r>
        <w:instrText xml:space="preserve"> REF _Ref536266331 \h </w:instrText>
      </w:r>
      <w:r>
        <w:fldChar w:fldCharType="separate"/>
      </w:r>
      <w:r w:rsidR="00885DE4">
        <w:t xml:space="preserve">Table </w:t>
      </w:r>
      <w:r w:rsidR="00885DE4">
        <w:rPr>
          <w:noProof/>
        </w:rPr>
        <w:t>6</w:t>
      </w:r>
      <w:r w:rsidR="00885DE4">
        <w:noBreakHyphen/>
      </w:r>
      <w:r w:rsidR="00885DE4">
        <w:rPr>
          <w:noProof/>
        </w:rPr>
        <w:t>7</w:t>
      </w:r>
      <w:r>
        <w:fldChar w:fldCharType="end"/>
      </w:r>
      <w:r>
        <w:t>.</w:t>
      </w:r>
    </w:p>
    <w:p w14:paraId="3F8FDF4B" w14:textId="77777777" w:rsidR="00E4064F" w:rsidRPr="006908B4" w:rsidRDefault="00E4064F" w:rsidP="00E4064F">
      <w:r w:rsidRPr="006908B4">
        <w:fldChar w:fldCharType="begin"/>
      </w:r>
      <w:r w:rsidRPr="006908B4">
        <w:instrText xml:space="preserve"> INCLUDEPICTURE "/var/folders/l6/vys2vd0146s3s10pz21166nr0000gp/T/com.microsoft.Word/WebArchiveCopyPasteTempFiles/000010.png" \* MERGEFORMATINET </w:instrText>
      </w:r>
      <w:r w:rsidRPr="006908B4">
        <w:fldChar w:fldCharType="separate"/>
      </w:r>
      <w:r w:rsidRPr="006908B4">
        <w:rPr>
          <w:noProof/>
        </w:rPr>
        <w:drawing>
          <wp:inline distT="0" distB="0" distL="0" distR="0" wp14:anchorId="2D1B666B" wp14:editId="0F34E4CD">
            <wp:extent cx="5727700" cy="3540125"/>
            <wp:effectExtent l="0" t="0" r="0" b="3175"/>
            <wp:docPr id="13" name="Picture 13" descr="/var/folders/l6/vys2vd0146s3s10pz21166nr0000gp/T/com.microsoft.Word/WebArchiveCopyPasteTempFiles/00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l6/vys2vd0146s3s10pz21166nr0000gp/T/com.microsoft.Word/WebArchiveCopyPasteTempFiles/00001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7700" cy="3540125"/>
                    </a:xfrm>
                    <a:prstGeom prst="rect">
                      <a:avLst/>
                    </a:prstGeom>
                    <a:noFill/>
                    <a:ln>
                      <a:noFill/>
                    </a:ln>
                  </pic:spPr>
                </pic:pic>
              </a:graphicData>
            </a:graphic>
          </wp:inline>
        </w:drawing>
      </w:r>
      <w:r w:rsidRPr="006908B4">
        <w:fldChar w:fldCharType="end"/>
      </w:r>
    </w:p>
    <w:p w14:paraId="0D7613F2" w14:textId="20765991" w:rsidR="00E4064F" w:rsidRPr="000F2604" w:rsidRDefault="00E4064F" w:rsidP="00E4064F">
      <w:pPr>
        <w:pStyle w:val="Caption"/>
      </w:pPr>
      <w:bookmarkStart w:id="299" w:name="_Ref536266353"/>
      <w:bookmarkStart w:id="300" w:name="_Toc60597214"/>
      <w:r>
        <w:t xml:space="preserve">Figure </w:t>
      </w:r>
      <w:r w:rsidR="00864CF4">
        <w:fldChar w:fldCharType="begin"/>
      </w:r>
      <w:r w:rsidR="00864CF4">
        <w:instrText xml:space="preserve"> STYLEREF 1 \s </w:instrText>
      </w:r>
      <w:r w:rsidR="00864CF4">
        <w:fldChar w:fldCharType="separate"/>
      </w:r>
      <w:r w:rsidR="00885DE4">
        <w:rPr>
          <w:noProof/>
        </w:rPr>
        <w:t>6</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2</w:t>
      </w:r>
      <w:r w:rsidR="00864CF4">
        <w:fldChar w:fldCharType="end"/>
      </w:r>
      <w:bookmarkEnd w:id="299"/>
      <w:r>
        <w:t xml:space="preserve"> miRNA expression analysis by real-time PCR. After correction for multiple testing there are no significant differences. Mann-Whitney U test with Bonferroni correction.</w:t>
      </w:r>
      <w:bookmarkEnd w:id="300"/>
    </w:p>
    <w:p w14:paraId="05E7DA46" w14:textId="77777777" w:rsidR="00E4064F" w:rsidRDefault="00E4064F" w:rsidP="00E4064F"/>
    <w:tbl>
      <w:tblPr>
        <w:tblStyle w:val="DefaultTableStyle"/>
        <w:tblW w:w="6359" w:type="dxa"/>
        <w:jc w:val="center"/>
        <w:tblBorders>
          <w:insideV w:val="none" w:sz="0" w:space="0" w:color="auto"/>
        </w:tblBorders>
        <w:tblLayout w:type="fixed"/>
        <w:tblLook w:val="0660" w:firstRow="1" w:lastRow="1" w:firstColumn="0" w:lastColumn="0" w:noHBand="1" w:noVBand="1"/>
      </w:tblPr>
      <w:tblGrid>
        <w:gridCol w:w="3153"/>
        <w:gridCol w:w="1241"/>
        <w:gridCol w:w="1965"/>
      </w:tblGrid>
      <w:tr w:rsidR="00E4064F" w:rsidRPr="007F7A1E" w14:paraId="2F0CD50C" w14:textId="77777777" w:rsidTr="000D1B2E">
        <w:trPr>
          <w:cnfStyle w:val="100000000000" w:firstRow="1" w:lastRow="0" w:firstColumn="0" w:lastColumn="0" w:oddVBand="0" w:evenVBand="0" w:oddHBand="0" w:evenHBand="0" w:firstRowFirstColumn="0" w:firstRowLastColumn="0" w:lastRowFirstColumn="0" w:lastRowLastColumn="0"/>
          <w:trHeight w:val="746"/>
          <w:jc w:val="center"/>
        </w:trPr>
        <w:tc>
          <w:tcPr>
            <w:tcW w:w="3153" w:type="dxa"/>
            <w:tcBorders>
              <w:top w:val="single" w:sz="4" w:space="0" w:color="auto"/>
              <w:bottom w:val="single" w:sz="4" w:space="0" w:color="auto"/>
            </w:tcBorders>
            <w:vAlign w:val="center"/>
          </w:tcPr>
          <w:p w14:paraId="2AAD5B1D" w14:textId="77777777" w:rsidR="00E4064F" w:rsidRPr="007F7A1E" w:rsidRDefault="00E4064F" w:rsidP="000D1B2E">
            <w:pPr>
              <w:pStyle w:val="BodyText1"/>
              <w:jc w:val="center"/>
              <w:rPr>
                <w:rFonts w:ascii="Times New Roman" w:hAnsi="Times New Roman" w:cs="Times New Roman"/>
                <w:sz w:val="22"/>
              </w:rPr>
            </w:pPr>
            <w:r>
              <w:rPr>
                <w:rFonts w:ascii="Times New Roman" w:hAnsi="Times New Roman" w:cs="Times New Roman"/>
                <w:sz w:val="22"/>
              </w:rPr>
              <w:lastRenderedPageBreak/>
              <w:t>miRNA</w:t>
            </w:r>
          </w:p>
        </w:tc>
        <w:tc>
          <w:tcPr>
            <w:tcW w:w="1241" w:type="dxa"/>
            <w:tcBorders>
              <w:top w:val="single" w:sz="4" w:space="0" w:color="auto"/>
              <w:bottom w:val="single" w:sz="4" w:space="0" w:color="auto"/>
            </w:tcBorders>
            <w:vAlign w:val="center"/>
          </w:tcPr>
          <w:p w14:paraId="578D3D67" w14:textId="77777777" w:rsidR="00E4064F" w:rsidRDefault="00E4064F" w:rsidP="000D1B2E">
            <w:pPr>
              <w:pStyle w:val="BodyText1"/>
              <w:jc w:val="center"/>
              <w:rPr>
                <w:rFonts w:ascii="Times New Roman" w:hAnsi="Times New Roman" w:cs="Times New Roman"/>
                <w:sz w:val="22"/>
              </w:rPr>
            </w:pPr>
            <w:r>
              <w:rPr>
                <w:rFonts w:ascii="Times New Roman" w:hAnsi="Times New Roman" w:cs="Times New Roman"/>
                <w:sz w:val="22"/>
              </w:rPr>
              <w:t>p-value</w:t>
            </w:r>
          </w:p>
        </w:tc>
        <w:tc>
          <w:tcPr>
            <w:tcW w:w="1965" w:type="dxa"/>
            <w:tcBorders>
              <w:top w:val="single" w:sz="4" w:space="0" w:color="auto"/>
              <w:bottom w:val="single" w:sz="4" w:space="0" w:color="auto"/>
            </w:tcBorders>
            <w:vAlign w:val="center"/>
          </w:tcPr>
          <w:p w14:paraId="60797866" w14:textId="77777777" w:rsidR="00E4064F" w:rsidRPr="007F7A1E" w:rsidRDefault="00E4064F" w:rsidP="000D1B2E">
            <w:pPr>
              <w:pStyle w:val="BodyText1"/>
              <w:jc w:val="center"/>
              <w:rPr>
                <w:rFonts w:ascii="Times New Roman" w:hAnsi="Times New Roman" w:cs="Times New Roman"/>
                <w:sz w:val="22"/>
              </w:rPr>
            </w:pPr>
            <w:r>
              <w:rPr>
                <w:rFonts w:ascii="Times New Roman" w:hAnsi="Times New Roman" w:cs="Times New Roman"/>
                <w:sz w:val="22"/>
              </w:rPr>
              <w:t>Adjusted p-value</w:t>
            </w:r>
          </w:p>
        </w:tc>
      </w:tr>
      <w:tr w:rsidR="00E4064F" w:rsidRPr="008C1D88" w14:paraId="7950A282" w14:textId="77777777" w:rsidTr="000D1B2E">
        <w:trPr>
          <w:trHeight w:val="613"/>
          <w:jc w:val="center"/>
        </w:trPr>
        <w:tc>
          <w:tcPr>
            <w:tcW w:w="3153" w:type="dxa"/>
            <w:tcBorders>
              <w:top w:val="single" w:sz="4" w:space="0" w:color="auto"/>
              <w:bottom w:val="single" w:sz="4" w:space="0" w:color="auto"/>
            </w:tcBorders>
            <w:vAlign w:val="center"/>
          </w:tcPr>
          <w:p w14:paraId="1A55E7BB" w14:textId="77777777" w:rsidR="00E4064F" w:rsidRPr="008C1D88" w:rsidRDefault="00E4064F" w:rsidP="000D1B2E">
            <w:pPr>
              <w:pStyle w:val="BodyText1"/>
              <w:rPr>
                <w:rFonts w:ascii="Times New Roman" w:hAnsi="Times New Roman"/>
                <w:b/>
              </w:rPr>
            </w:pPr>
            <w:r w:rsidRPr="008C1D88">
              <w:rPr>
                <w:rFonts w:ascii="Times New Roman" w:hAnsi="Times New Roman"/>
              </w:rPr>
              <w:t>miR-486-5p</w:t>
            </w:r>
          </w:p>
        </w:tc>
        <w:tc>
          <w:tcPr>
            <w:tcW w:w="1241" w:type="dxa"/>
            <w:tcBorders>
              <w:top w:val="single" w:sz="4" w:space="0" w:color="auto"/>
              <w:bottom w:val="single" w:sz="4" w:space="0" w:color="auto"/>
            </w:tcBorders>
            <w:vAlign w:val="center"/>
          </w:tcPr>
          <w:p w14:paraId="6CA7B783" w14:textId="77777777" w:rsidR="00E4064F" w:rsidRPr="008C1D88" w:rsidRDefault="00E4064F" w:rsidP="000D1B2E">
            <w:pPr>
              <w:pStyle w:val="BodyText1"/>
              <w:jc w:val="center"/>
              <w:rPr>
                <w:rFonts w:ascii="Times New Roman" w:hAnsi="Times New Roman" w:cs="Times New Roman"/>
                <w:b/>
              </w:rPr>
            </w:pPr>
            <w:r w:rsidRPr="008C1D88">
              <w:rPr>
                <w:rFonts w:ascii="Times New Roman" w:hAnsi="Times New Roman"/>
              </w:rPr>
              <w:t>0.</w:t>
            </w:r>
            <w:r>
              <w:rPr>
                <w:rFonts w:ascii="Times New Roman" w:hAnsi="Times New Roman"/>
              </w:rPr>
              <w:t>020</w:t>
            </w:r>
          </w:p>
        </w:tc>
        <w:tc>
          <w:tcPr>
            <w:tcW w:w="1965" w:type="dxa"/>
            <w:tcBorders>
              <w:top w:val="single" w:sz="4" w:space="0" w:color="auto"/>
              <w:bottom w:val="single" w:sz="4" w:space="0" w:color="auto"/>
            </w:tcBorders>
            <w:vAlign w:val="center"/>
          </w:tcPr>
          <w:p w14:paraId="793820D6" w14:textId="77777777" w:rsidR="00E4064F" w:rsidRPr="008C1D88" w:rsidRDefault="00E4064F" w:rsidP="000D1B2E">
            <w:pPr>
              <w:pStyle w:val="BodyText1"/>
              <w:jc w:val="center"/>
              <w:rPr>
                <w:rFonts w:ascii="Times New Roman" w:hAnsi="Times New Roman" w:cs="Times New Roman"/>
                <w:b/>
              </w:rPr>
            </w:pPr>
            <w:r>
              <w:rPr>
                <w:rFonts w:ascii="Times New Roman" w:hAnsi="Times New Roman"/>
              </w:rPr>
              <w:t>0.059</w:t>
            </w:r>
          </w:p>
        </w:tc>
      </w:tr>
      <w:tr w:rsidR="00E4064F" w:rsidRPr="008C1D88" w14:paraId="26335F5A" w14:textId="77777777" w:rsidTr="000D1B2E">
        <w:trPr>
          <w:trHeight w:val="613"/>
          <w:jc w:val="center"/>
        </w:trPr>
        <w:tc>
          <w:tcPr>
            <w:tcW w:w="3153" w:type="dxa"/>
            <w:tcBorders>
              <w:top w:val="single" w:sz="4" w:space="0" w:color="auto"/>
              <w:bottom w:val="single" w:sz="4" w:space="0" w:color="auto"/>
            </w:tcBorders>
            <w:vAlign w:val="center"/>
          </w:tcPr>
          <w:p w14:paraId="25773D4E" w14:textId="77777777" w:rsidR="00E4064F" w:rsidRPr="008C1D88" w:rsidRDefault="00E4064F" w:rsidP="000D1B2E">
            <w:pPr>
              <w:pStyle w:val="BodyText1"/>
              <w:rPr>
                <w:rFonts w:ascii="Times New Roman" w:hAnsi="Times New Roman"/>
              </w:rPr>
            </w:pPr>
            <w:r w:rsidRPr="008C1D88">
              <w:rPr>
                <w:rFonts w:ascii="Times New Roman" w:hAnsi="Times New Roman"/>
              </w:rPr>
              <w:t>miR-584-5p</w:t>
            </w:r>
          </w:p>
        </w:tc>
        <w:tc>
          <w:tcPr>
            <w:tcW w:w="1241" w:type="dxa"/>
            <w:tcBorders>
              <w:top w:val="single" w:sz="4" w:space="0" w:color="auto"/>
              <w:bottom w:val="single" w:sz="4" w:space="0" w:color="auto"/>
            </w:tcBorders>
            <w:vAlign w:val="center"/>
          </w:tcPr>
          <w:p w14:paraId="6A779859" w14:textId="77777777" w:rsidR="00E4064F" w:rsidRPr="008C1D88" w:rsidRDefault="00E4064F" w:rsidP="000D1B2E">
            <w:pPr>
              <w:pStyle w:val="BodyText1"/>
              <w:jc w:val="center"/>
              <w:rPr>
                <w:rFonts w:ascii="Times New Roman" w:hAnsi="Times New Roman"/>
              </w:rPr>
            </w:pPr>
            <w:r>
              <w:rPr>
                <w:rFonts w:ascii="Times New Roman" w:hAnsi="Times New Roman"/>
              </w:rPr>
              <w:t>0.090</w:t>
            </w:r>
          </w:p>
        </w:tc>
        <w:tc>
          <w:tcPr>
            <w:tcW w:w="1965" w:type="dxa"/>
            <w:tcBorders>
              <w:top w:val="single" w:sz="4" w:space="0" w:color="auto"/>
              <w:bottom w:val="single" w:sz="4" w:space="0" w:color="auto"/>
            </w:tcBorders>
            <w:vAlign w:val="center"/>
          </w:tcPr>
          <w:p w14:paraId="091C8552" w14:textId="77777777" w:rsidR="00E4064F" w:rsidRDefault="00E4064F" w:rsidP="000D1B2E">
            <w:pPr>
              <w:pStyle w:val="BodyText1"/>
              <w:jc w:val="center"/>
              <w:rPr>
                <w:rFonts w:ascii="Times New Roman" w:hAnsi="Times New Roman"/>
              </w:rPr>
            </w:pPr>
            <w:r>
              <w:rPr>
                <w:rFonts w:ascii="Times New Roman" w:hAnsi="Times New Roman"/>
              </w:rPr>
              <w:t>0.271</w:t>
            </w:r>
          </w:p>
        </w:tc>
      </w:tr>
      <w:tr w:rsidR="00E4064F" w:rsidRPr="006908B4" w14:paraId="26746059" w14:textId="77777777" w:rsidTr="000D1B2E">
        <w:trPr>
          <w:cnfStyle w:val="010000000000" w:firstRow="0" w:lastRow="1" w:firstColumn="0" w:lastColumn="0" w:oddVBand="0" w:evenVBand="0" w:oddHBand="0" w:evenHBand="0" w:firstRowFirstColumn="0" w:firstRowLastColumn="0" w:lastRowFirstColumn="0" w:lastRowLastColumn="0"/>
          <w:trHeight w:val="613"/>
          <w:jc w:val="center"/>
        </w:trPr>
        <w:tc>
          <w:tcPr>
            <w:tcW w:w="3153" w:type="dxa"/>
            <w:tcBorders>
              <w:top w:val="single" w:sz="4" w:space="0" w:color="auto"/>
            </w:tcBorders>
            <w:vAlign w:val="center"/>
          </w:tcPr>
          <w:p w14:paraId="1BDDBAE4" w14:textId="77777777" w:rsidR="00E4064F" w:rsidRPr="008C1D88" w:rsidRDefault="00E4064F" w:rsidP="000D1B2E">
            <w:pPr>
              <w:pStyle w:val="BodyText1"/>
              <w:rPr>
                <w:rFonts w:ascii="Times New Roman" w:hAnsi="Times New Roman"/>
              </w:rPr>
            </w:pPr>
            <w:r w:rsidRPr="008C1D88">
              <w:rPr>
                <w:rFonts w:ascii="Times New Roman" w:hAnsi="Times New Roman"/>
                <w:b w:val="0"/>
              </w:rPr>
              <w:t>miR-638</w:t>
            </w:r>
          </w:p>
        </w:tc>
        <w:tc>
          <w:tcPr>
            <w:tcW w:w="1241" w:type="dxa"/>
            <w:tcBorders>
              <w:top w:val="single" w:sz="4" w:space="0" w:color="auto"/>
            </w:tcBorders>
            <w:vAlign w:val="center"/>
          </w:tcPr>
          <w:p w14:paraId="24578356" w14:textId="77777777" w:rsidR="00E4064F" w:rsidRPr="006908B4" w:rsidRDefault="00E4064F" w:rsidP="000D1B2E">
            <w:pPr>
              <w:pStyle w:val="BodyText1"/>
              <w:jc w:val="center"/>
              <w:rPr>
                <w:rFonts w:ascii="Times New Roman" w:hAnsi="Times New Roman"/>
                <w:b w:val="0"/>
              </w:rPr>
            </w:pPr>
            <w:r w:rsidRPr="006908B4">
              <w:rPr>
                <w:rFonts w:ascii="Times New Roman" w:hAnsi="Times New Roman"/>
                <w:b w:val="0"/>
              </w:rPr>
              <w:t>0.472</w:t>
            </w:r>
          </w:p>
        </w:tc>
        <w:tc>
          <w:tcPr>
            <w:tcW w:w="1965" w:type="dxa"/>
            <w:tcBorders>
              <w:top w:val="single" w:sz="4" w:space="0" w:color="auto"/>
            </w:tcBorders>
            <w:vAlign w:val="center"/>
          </w:tcPr>
          <w:p w14:paraId="4C565129" w14:textId="77777777" w:rsidR="00E4064F" w:rsidRPr="006908B4" w:rsidRDefault="00E4064F" w:rsidP="000D1B2E">
            <w:pPr>
              <w:pStyle w:val="BodyText1"/>
              <w:jc w:val="center"/>
              <w:rPr>
                <w:rFonts w:ascii="Times New Roman" w:hAnsi="Times New Roman"/>
                <w:b w:val="0"/>
              </w:rPr>
            </w:pPr>
            <w:r w:rsidRPr="006908B4">
              <w:rPr>
                <w:rFonts w:ascii="Times New Roman" w:hAnsi="Times New Roman"/>
                <w:b w:val="0"/>
              </w:rPr>
              <w:t>1.00</w:t>
            </w:r>
            <w:r>
              <w:rPr>
                <w:rFonts w:ascii="Times New Roman" w:hAnsi="Times New Roman"/>
                <w:b w:val="0"/>
              </w:rPr>
              <w:t>0</w:t>
            </w:r>
          </w:p>
        </w:tc>
      </w:tr>
    </w:tbl>
    <w:p w14:paraId="59A0F0A0" w14:textId="72CD5A36" w:rsidR="00E4064F" w:rsidRDefault="00E4064F" w:rsidP="00E4064F">
      <w:pPr>
        <w:pStyle w:val="Caption"/>
      </w:pPr>
      <w:bookmarkStart w:id="301" w:name="_Ref536266331"/>
      <w:bookmarkStart w:id="302" w:name="_Toc60597196"/>
      <w:r>
        <w:t xml:space="preserve">Table </w:t>
      </w:r>
      <w:r w:rsidR="004D7B97">
        <w:fldChar w:fldCharType="begin"/>
      </w:r>
      <w:r w:rsidR="004D7B97">
        <w:instrText xml:space="preserve"> STYLEREF 1 \s </w:instrText>
      </w:r>
      <w:r w:rsidR="004D7B97">
        <w:fldChar w:fldCharType="separate"/>
      </w:r>
      <w:r w:rsidR="00885DE4">
        <w:rPr>
          <w:noProof/>
        </w:rPr>
        <w:t>6</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7</w:t>
      </w:r>
      <w:r w:rsidR="004D7B97">
        <w:fldChar w:fldCharType="end"/>
      </w:r>
      <w:bookmarkEnd w:id="301"/>
      <w:r>
        <w:t xml:space="preserve"> Summary results from Mann-Whitney U test comparisons of </w:t>
      </w:r>
      <w:proofErr w:type="spellStart"/>
      <w:r>
        <w:t>SSc</w:t>
      </w:r>
      <w:proofErr w:type="spellEnd"/>
      <w:r>
        <w:t xml:space="preserve"> miRNA panel adjustment for multiple comparisons by Bonferroni.</w:t>
      </w:r>
      <w:bookmarkEnd w:id="302"/>
    </w:p>
    <w:p w14:paraId="74DF7E2E" w14:textId="77777777" w:rsidR="00C612CC" w:rsidRPr="00C612CC" w:rsidRDefault="00C612CC" w:rsidP="00C612CC"/>
    <w:p w14:paraId="0E3C101B" w14:textId="77777777" w:rsidR="00E4064F" w:rsidRDefault="00E4064F" w:rsidP="00E4064F">
      <w:pPr>
        <w:pStyle w:val="Heading2"/>
        <w:numPr>
          <w:ilvl w:val="3"/>
          <w:numId w:val="7"/>
        </w:numPr>
        <w:spacing w:before="120" w:after="120"/>
      </w:pPr>
      <w:bookmarkStart w:id="303" w:name="_Toc60773956"/>
      <w:r>
        <w:t>Performance in a panel</w:t>
      </w:r>
      <w:bookmarkEnd w:id="303"/>
    </w:p>
    <w:p w14:paraId="31429774" w14:textId="4A6085D0" w:rsidR="00E4064F" w:rsidRDefault="00E4064F" w:rsidP="00E4064F">
      <w:pPr>
        <w:pStyle w:val="Body"/>
      </w:pPr>
      <w:r>
        <w:t>The original cut-offs used for each miRNA, either in a decision tree or ROC based panel could not be reused with the real-time PCR expression as the two data sets were not normalised in the same way. Therefore, new cut-offs were determined from the real-time PCR data as previously</w:t>
      </w:r>
      <w:r w:rsidR="00CE6A0A">
        <w:t xml:space="preserve"> described</w:t>
      </w:r>
      <w:r>
        <w:t xml:space="preserve">. </w:t>
      </w:r>
    </w:p>
    <w:p w14:paraId="6F520845" w14:textId="3A625D95" w:rsidR="00777BE1" w:rsidRDefault="00E4064F" w:rsidP="00E4064F">
      <w:pPr>
        <w:pStyle w:val="Body"/>
      </w:pPr>
      <w:r>
        <w:t xml:space="preserve">An </w:t>
      </w:r>
      <w:proofErr w:type="spellStart"/>
      <w:r>
        <w:t>Rpart</w:t>
      </w:r>
      <w:proofErr w:type="spellEnd"/>
      <w:r>
        <w:t xml:space="preserve"> decision tree with 3-fold cross-validation was built using </w:t>
      </w:r>
      <w:proofErr w:type="spellStart"/>
      <w:r>
        <w:t>deltaCt</w:t>
      </w:r>
      <w:proofErr w:type="spellEnd"/>
      <w:r>
        <w:t xml:space="preserve"> as the input value. The resulting decision tree is shown in  </w:t>
      </w:r>
      <w:r>
        <w:fldChar w:fldCharType="begin"/>
      </w:r>
      <w:r>
        <w:instrText xml:space="preserve"> REF _Ref9263706 \h </w:instrText>
      </w:r>
      <w:r>
        <w:fldChar w:fldCharType="separate"/>
      </w:r>
      <w:r w:rsidR="00885DE4">
        <w:t xml:space="preserve">Figure </w:t>
      </w:r>
      <w:r w:rsidR="00885DE4">
        <w:rPr>
          <w:noProof/>
        </w:rPr>
        <w:t>6</w:t>
      </w:r>
      <w:r w:rsidR="00885DE4">
        <w:noBreakHyphen/>
      </w:r>
      <w:r w:rsidR="00885DE4">
        <w:rPr>
          <w:noProof/>
        </w:rPr>
        <w:t>3</w:t>
      </w:r>
      <w:r>
        <w:fldChar w:fldCharType="end"/>
      </w:r>
      <w:r>
        <w:t xml:space="preserve"> and model metrics summarised in </w:t>
      </w:r>
      <w:r>
        <w:fldChar w:fldCharType="begin"/>
      </w:r>
      <w:r>
        <w:instrText xml:space="preserve"> REF _Ref536348898 \h </w:instrText>
      </w:r>
      <w:r>
        <w:fldChar w:fldCharType="separate"/>
      </w:r>
      <w:r w:rsidR="00885DE4">
        <w:t xml:space="preserve">Table </w:t>
      </w:r>
      <w:r w:rsidR="00885DE4">
        <w:rPr>
          <w:noProof/>
        </w:rPr>
        <w:t>6</w:t>
      </w:r>
      <w:r w:rsidR="00885DE4">
        <w:noBreakHyphen/>
      </w:r>
      <w:r w:rsidR="00885DE4">
        <w:rPr>
          <w:noProof/>
        </w:rPr>
        <w:t>8</w:t>
      </w:r>
      <w:r>
        <w:fldChar w:fldCharType="end"/>
      </w:r>
      <w:r>
        <w:t>.</w:t>
      </w:r>
      <w:r w:rsidR="006B7602">
        <w:t xml:space="preserve"> Note, unlike the ROC based panels the standard deviation of performance metrics across the cross-validations is not available from the Caret cross-validate implementation of the </w:t>
      </w:r>
      <w:proofErr w:type="spellStart"/>
      <w:r w:rsidR="006B7602">
        <w:t>Rpart</w:t>
      </w:r>
      <w:proofErr w:type="spellEnd"/>
      <w:r w:rsidR="006B7602">
        <w:t xml:space="preserve"> algorithm.</w:t>
      </w:r>
    </w:p>
    <w:p w14:paraId="0FAF27EA" w14:textId="77777777" w:rsidR="00777BE1" w:rsidRDefault="00777BE1">
      <w:pPr>
        <w:rPr>
          <w:rFonts w:ascii="TUOS Blake" w:eastAsia="TUOS Blake" w:hAnsi="TUOS Blake" w:cs="TUOS Blake"/>
          <w:color w:val="000000"/>
          <w:bdr w:val="nil"/>
        </w:rPr>
      </w:pPr>
      <w:r>
        <w:br w:type="page"/>
      </w:r>
    </w:p>
    <w:p w14:paraId="39143621" w14:textId="77777777" w:rsidR="00E4064F" w:rsidRPr="00857BD9" w:rsidRDefault="00E4064F" w:rsidP="00E4064F">
      <w:r>
        <w:rPr>
          <w:noProof/>
        </w:rPr>
        <w:lastRenderedPageBreak/>
        <w:drawing>
          <wp:inline distT="0" distB="0" distL="0" distR="0" wp14:anchorId="7B3A535A" wp14:editId="079C9D75">
            <wp:extent cx="5485272" cy="1642144"/>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pcr_rpart_panel.pdf"/>
                    <pic:cNvPicPr/>
                  </pic:nvPicPr>
                  <pic:blipFill rotWithShape="1">
                    <a:blip r:embed="rId33">
                      <a:extLst>
                        <a:ext uri="{28A0092B-C50C-407E-A947-70E740481C1C}">
                          <a14:useLocalDpi xmlns:a14="http://schemas.microsoft.com/office/drawing/2010/main" val="0"/>
                        </a:ext>
                      </a:extLst>
                    </a:blip>
                    <a:srcRect t="26775" b="28318"/>
                    <a:stretch/>
                  </pic:blipFill>
                  <pic:spPr bwMode="auto">
                    <a:xfrm>
                      <a:off x="0" y="0"/>
                      <a:ext cx="5486400" cy="1642482"/>
                    </a:xfrm>
                    <a:prstGeom prst="rect">
                      <a:avLst/>
                    </a:prstGeom>
                    <a:ln>
                      <a:noFill/>
                    </a:ln>
                    <a:extLst>
                      <a:ext uri="{53640926-AAD7-44D8-BBD7-CCE9431645EC}">
                        <a14:shadowObscured xmlns:a14="http://schemas.microsoft.com/office/drawing/2010/main"/>
                      </a:ext>
                    </a:extLst>
                  </pic:spPr>
                </pic:pic>
              </a:graphicData>
            </a:graphic>
          </wp:inline>
        </w:drawing>
      </w:r>
    </w:p>
    <w:p w14:paraId="576D5B97" w14:textId="77777777" w:rsidR="00E4064F" w:rsidRDefault="00E4064F" w:rsidP="00E4064F"/>
    <w:p w14:paraId="195F9443" w14:textId="77777777" w:rsidR="00E4064F" w:rsidRDefault="00E4064F" w:rsidP="00E4064F"/>
    <w:p w14:paraId="02C7911B" w14:textId="77777777" w:rsidR="00E4064F" w:rsidRDefault="00E4064F" w:rsidP="00E4064F"/>
    <w:p w14:paraId="3D166637" w14:textId="77777777" w:rsidR="00E4064F" w:rsidRDefault="00E4064F" w:rsidP="00E4064F">
      <w:pPr>
        <w:pStyle w:val="Caption"/>
      </w:pPr>
    </w:p>
    <w:p w14:paraId="1F5C28AC" w14:textId="700A0EF5" w:rsidR="00E4064F" w:rsidRDefault="00E4064F" w:rsidP="00E4064F">
      <w:pPr>
        <w:pStyle w:val="Caption"/>
        <w:rPr>
          <w:rFonts w:ascii="Times New Roman" w:eastAsia="Times New Roman" w:hAnsi="Times New Roman" w:cs="Times New Roman"/>
          <w:color w:val="auto"/>
          <w:bdr w:val="none" w:sz="0" w:space="0" w:color="auto"/>
        </w:rPr>
      </w:pPr>
      <w:bookmarkStart w:id="304" w:name="_Ref9263706"/>
      <w:bookmarkStart w:id="305" w:name="_Toc60597215"/>
      <w:r>
        <w:t xml:space="preserve">Figure </w:t>
      </w:r>
      <w:r w:rsidR="00864CF4">
        <w:fldChar w:fldCharType="begin"/>
      </w:r>
      <w:r w:rsidR="00864CF4">
        <w:instrText xml:space="preserve"> STYLEREF 1 \s </w:instrText>
      </w:r>
      <w:r w:rsidR="00864CF4">
        <w:fldChar w:fldCharType="separate"/>
      </w:r>
      <w:r w:rsidR="00885DE4">
        <w:rPr>
          <w:noProof/>
        </w:rPr>
        <w:t>6</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3</w:t>
      </w:r>
      <w:r w:rsidR="00864CF4">
        <w:fldChar w:fldCharType="end"/>
      </w:r>
      <w:bookmarkEnd w:id="304"/>
      <w:r>
        <w:t xml:space="preserve"> </w:t>
      </w:r>
      <w:proofErr w:type="spellStart"/>
      <w:r w:rsidRPr="00E85636">
        <w:t>Rpart</w:t>
      </w:r>
      <w:proofErr w:type="spellEnd"/>
      <w:r w:rsidRPr="00E85636">
        <w:t xml:space="preserve"> decision tree for separating </w:t>
      </w:r>
      <w:proofErr w:type="spellStart"/>
      <w:r w:rsidRPr="00E85636">
        <w:t>SSc</w:t>
      </w:r>
      <w:proofErr w:type="spellEnd"/>
      <w:r w:rsidRPr="00E85636">
        <w:t xml:space="preserve"> with PAH from </w:t>
      </w:r>
      <w:proofErr w:type="spellStart"/>
      <w:r w:rsidRPr="00E85636">
        <w:t>SSc</w:t>
      </w:r>
      <w:proofErr w:type="spellEnd"/>
      <w:r w:rsidRPr="00E85636">
        <w:t>. Each terminal node represents the assigned classification with the fraction of correctly classified samples given below.</w:t>
      </w:r>
      <w:bookmarkEnd w:id="305"/>
      <w:r>
        <w:rPr>
          <w:rFonts w:ascii="Times New Roman" w:eastAsia="Times New Roman" w:hAnsi="Times New Roman" w:cs="Times New Roman"/>
          <w:color w:val="auto"/>
          <w:bdr w:val="none" w:sz="0" w:space="0" w:color="auto"/>
        </w:rPr>
        <w:t xml:space="preserve"> </w:t>
      </w:r>
    </w:p>
    <w:p w14:paraId="2D910D0D" w14:textId="77777777" w:rsidR="00E4064F" w:rsidRDefault="00E4064F" w:rsidP="00E4064F"/>
    <w:tbl>
      <w:tblPr>
        <w:tblStyle w:val="DefaultTableStyle"/>
        <w:tblW w:w="8925" w:type="dxa"/>
        <w:tblInd w:w="108" w:type="dxa"/>
        <w:tblBorders>
          <w:insideV w:val="none" w:sz="0" w:space="0" w:color="auto"/>
        </w:tblBorders>
        <w:tblLook w:val="0660" w:firstRow="1" w:lastRow="1" w:firstColumn="0" w:lastColumn="0" w:noHBand="1" w:noVBand="1"/>
      </w:tblPr>
      <w:tblGrid>
        <w:gridCol w:w="2127"/>
        <w:gridCol w:w="693"/>
        <w:gridCol w:w="1194"/>
        <w:gridCol w:w="1194"/>
        <w:gridCol w:w="1838"/>
        <w:gridCol w:w="1879"/>
      </w:tblGrid>
      <w:tr w:rsidR="00E4064F" w:rsidRPr="007F7A1E" w14:paraId="1C803935" w14:textId="77777777" w:rsidTr="000D1B2E">
        <w:trPr>
          <w:cnfStyle w:val="100000000000" w:firstRow="1" w:lastRow="0" w:firstColumn="0" w:lastColumn="0" w:oddVBand="0" w:evenVBand="0" w:oddHBand="0" w:evenHBand="0" w:firstRowFirstColumn="0" w:firstRowLastColumn="0" w:lastRowFirstColumn="0" w:lastRowLastColumn="0"/>
        </w:trPr>
        <w:tc>
          <w:tcPr>
            <w:tcW w:w="2127" w:type="dxa"/>
            <w:tcBorders>
              <w:top w:val="single" w:sz="4" w:space="0" w:color="auto"/>
              <w:bottom w:val="single" w:sz="4" w:space="0" w:color="auto"/>
            </w:tcBorders>
            <w:vAlign w:val="center"/>
          </w:tcPr>
          <w:p w14:paraId="30AE78E6" w14:textId="77777777" w:rsidR="00E4064F" w:rsidRPr="007F7A1E"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Method</w:t>
            </w:r>
          </w:p>
        </w:tc>
        <w:tc>
          <w:tcPr>
            <w:tcW w:w="0" w:type="auto"/>
            <w:tcBorders>
              <w:top w:val="single" w:sz="4" w:space="0" w:color="auto"/>
              <w:bottom w:val="single" w:sz="4" w:space="0" w:color="auto"/>
            </w:tcBorders>
            <w:vAlign w:val="center"/>
          </w:tcPr>
          <w:p w14:paraId="3060ECD7" w14:textId="77777777" w:rsidR="00E4064F" w:rsidRPr="007F7A1E"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AUC</w:t>
            </w:r>
          </w:p>
        </w:tc>
        <w:tc>
          <w:tcPr>
            <w:tcW w:w="0" w:type="auto"/>
            <w:tcBorders>
              <w:top w:val="single" w:sz="4" w:space="0" w:color="auto"/>
              <w:bottom w:val="single" w:sz="4" w:space="0" w:color="auto"/>
            </w:tcBorders>
            <w:vAlign w:val="center"/>
          </w:tcPr>
          <w:p w14:paraId="116AD36B"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Sensitivity</w:t>
            </w:r>
          </w:p>
        </w:tc>
        <w:tc>
          <w:tcPr>
            <w:tcW w:w="0" w:type="auto"/>
            <w:tcBorders>
              <w:top w:val="single" w:sz="4" w:space="0" w:color="auto"/>
              <w:bottom w:val="single" w:sz="4" w:space="0" w:color="auto"/>
            </w:tcBorders>
            <w:vAlign w:val="center"/>
          </w:tcPr>
          <w:p w14:paraId="4A3D6525"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Specificity</w:t>
            </w:r>
          </w:p>
        </w:tc>
        <w:tc>
          <w:tcPr>
            <w:tcW w:w="0" w:type="auto"/>
            <w:tcBorders>
              <w:top w:val="single" w:sz="4" w:space="0" w:color="auto"/>
              <w:bottom w:val="single" w:sz="4" w:space="0" w:color="auto"/>
            </w:tcBorders>
            <w:vAlign w:val="center"/>
          </w:tcPr>
          <w:p w14:paraId="305E1BE7"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Positive Predictive Value</w:t>
            </w:r>
          </w:p>
        </w:tc>
        <w:tc>
          <w:tcPr>
            <w:tcW w:w="0" w:type="auto"/>
            <w:tcBorders>
              <w:top w:val="single" w:sz="4" w:space="0" w:color="auto"/>
              <w:bottom w:val="single" w:sz="4" w:space="0" w:color="auto"/>
            </w:tcBorders>
            <w:vAlign w:val="center"/>
          </w:tcPr>
          <w:p w14:paraId="25613021" w14:textId="77777777" w:rsidR="00E4064F" w:rsidRPr="007F7A1E"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Negative Predictive Value</w:t>
            </w:r>
          </w:p>
        </w:tc>
      </w:tr>
      <w:tr w:rsidR="00E4064F" w:rsidRPr="007F7A1E" w14:paraId="6B088C39" w14:textId="77777777" w:rsidTr="000D1B2E">
        <w:trPr>
          <w:cnfStyle w:val="010000000000" w:firstRow="0" w:lastRow="1" w:firstColumn="0" w:lastColumn="0" w:oddVBand="0" w:evenVBand="0" w:oddHBand="0" w:evenHBand="0" w:firstRowFirstColumn="0" w:firstRowLastColumn="0" w:lastRowFirstColumn="0" w:lastRowLastColumn="0"/>
        </w:trPr>
        <w:tc>
          <w:tcPr>
            <w:tcW w:w="2127" w:type="dxa"/>
            <w:tcBorders>
              <w:top w:val="single" w:sz="4" w:space="0" w:color="auto"/>
            </w:tcBorders>
          </w:tcPr>
          <w:p w14:paraId="7E1F6A36" w14:textId="77777777" w:rsidR="00E4064F" w:rsidRPr="007F7A1E" w:rsidRDefault="00E4064F" w:rsidP="000D1B2E">
            <w:pPr>
              <w:pStyle w:val="BodyText1"/>
              <w:spacing w:line="276" w:lineRule="auto"/>
              <w:jc w:val="both"/>
              <w:rPr>
                <w:rFonts w:ascii="Times New Roman" w:hAnsi="Times New Roman" w:cs="Times New Roman"/>
                <w:sz w:val="22"/>
              </w:rPr>
            </w:pPr>
            <w:proofErr w:type="spellStart"/>
            <w:r>
              <w:rPr>
                <w:rFonts w:ascii="Times New Roman" w:hAnsi="Times New Roman" w:cs="Times New Roman"/>
                <w:sz w:val="22"/>
              </w:rPr>
              <w:t>Rpart</w:t>
            </w:r>
            <w:proofErr w:type="spellEnd"/>
            <w:r>
              <w:rPr>
                <w:rFonts w:ascii="Times New Roman" w:hAnsi="Times New Roman" w:cs="Times New Roman"/>
                <w:sz w:val="22"/>
              </w:rPr>
              <w:t xml:space="preserve"> Decision Tree</w:t>
            </w:r>
          </w:p>
        </w:tc>
        <w:tc>
          <w:tcPr>
            <w:tcW w:w="0" w:type="auto"/>
            <w:tcBorders>
              <w:top w:val="single" w:sz="4" w:space="0" w:color="auto"/>
            </w:tcBorders>
          </w:tcPr>
          <w:p w14:paraId="163A9028" w14:textId="77777777" w:rsidR="00E4064F" w:rsidRPr="007F7A1E"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0.71</w:t>
            </w:r>
          </w:p>
        </w:tc>
        <w:tc>
          <w:tcPr>
            <w:tcW w:w="0" w:type="auto"/>
            <w:tcBorders>
              <w:top w:val="single" w:sz="4" w:space="0" w:color="auto"/>
            </w:tcBorders>
          </w:tcPr>
          <w:p w14:paraId="5FB90FCB"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0.82</w:t>
            </w:r>
          </w:p>
        </w:tc>
        <w:tc>
          <w:tcPr>
            <w:tcW w:w="0" w:type="auto"/>
            <w:tcBorders>
              <w:top w:val="single" w:sz="4" w:space="0" w:color="auto"/>
            </w:tcBorders>
          </w:tcPr>
          <w:p w14:paraId="599FC09A"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0.60</w:t>
            </w:r>
          </w:p>
        </w:tc>
        <w:tc>
          <w:tcPr>
            <w:tcW w:w="0" w:type="auto"/>
            <w:tcBorders>
              <w:top w:val="single" w:sz="4" w:space="0" w:color="auto"/>
            </w:tcBorders>
          </w:tcPr>
          <w:p w14:paraId="60ACB653" w14:textId="77777777" w:rsidR="00E4064F"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0.79</w:t>
            </w:r>
          </w:p>
        </w:tc>
        <w:tc>
          <w:tcPr>
            <w:tcW w:w="0" w:type="auto"/>
            <w:tcBorders>
              <w:top w:val="single" w:sz="4" w:space="0" w:color="auto"/>
            </w:tcBorders>
          </w:tcPr>
          <w:p w14:paraId="5CDB7AF2" w14:textId="77777777" w:rsidR="00E4064F" w:rsidRPr="007F7A1E" w:rsidRDefault="00E4064F" w:rsidP="000D1B2E">
            <w:pPr>
              <w:pStyle w:val="BodyText1"/>
              <w:spacing w:line="276" w:lineRule="auto"/>
              <w:jc w:val="center"/>
              <w:rPr>
                <w:rFonts w:ascii="Times New Roman" w:hAnsi="Times New Roman" w:cs="Times New Roman"/>
                <w:sz w:val="22"/>
              </w:rPr>
            </w:pPr>
            <w:r>
              <w:rPr>
                <w:rFonts w:ascii="Times New Roman" w:hAnsi="Times New Roman" w:cs="Times New Roman"/>
                <w:sz w:val="22"/>
              </w:rPr>
              <w:t>0.64</w:t>
            </w:r>
          </w:p>
        </w:tc>
      </w:tr>
    </w:tbl>
    <w:p w14:paraId="41F85FA4" w14:textId="07E76E34" w:rsidR="00E4064F" w:rsidRDefault="00E4064F" w:rsidP="00E4064F">
      <w:pPr>
        <w:pStyle w:val="Caption"/>
        <w:rPr>
          <w:highlight w:val="yellow"/>
        </w:rPr>
      </w:pPr>
      <w:bookmarkStart w:id="306" w:name="_Ref536348898"/>
      <w:bookmarkStart w:id="307" w:name="_Toc60597197"/>
      <w:r>
        <w:t xml:space="preserve">Table </w:t>
      </w:r>
      <w:r w:rsidR="004D7B97">
        <w:fldChar w:fldCharType="begin"/>
      </w:r>
      <w:r w:rsidR="004D7B97">
        <w:instrText xml:space="preserve"> STYLEREF 1 \s </w:instrText>
      </w:r>
      <w:r w:rsidR="004D7B97">
        <w:fldChar w:fldCharType="separate"/>
      </w:r>
      <w:r w:rsidR="00885DE4">
        <w:rPr>
          <w:noProof/>
        </w:rPr>
        <w:t>6</w:t>
      </w:r>
      <w:r w:rsidR="004D7B97">
        <w:fldChar w:fldCharType="end"/>
      </w:r>
      <w:r w:rsidR="004D7B97">
        <w:noBreakHyphen/>
      </w:r>
      <w:r w:rsidR="004D7B97">
        <w:fldChar w:fldCharType="begin"/>
      </w:r>
      <w:r w:rsidR="004D7B97">
        <w:instrText xml:space="preserve"> SEQ Table \* ARABIC \s 1 </w:instrText>
      </w:r>
      <w:r w:rsidR="004D7B97">
        <w:fldChar w:fldCharType="separate"/>
      </w:r>
      <w:r w:rsidR="00885DE4">
        <w:rPr>
          <w:noProof/>
        </w:rPr>
        <w:t>8</w:t>
      </w:r>
      <w:r w:rsidR="004D7B97">
        <w:fldChar w:fldCharType="end"/>
      </w:r>
      <w:bookmarkEnd w:id="306"/>
      <w:r>
        <w:t xml:space="preserve"> </w:t>
      </w:r>
      <w:proofErr w:type="spellStart"/>
      <w:r w:rsidRPr="00E8447E">
        <w:t>Rpart</w:t>
      </w:r>
      <w:proofErr w:type="spellEnd"/>
      <w:r w:rsidRPr="00E8447E">
        <w:t xml:space="preserve"> decision tree performance metrics summarising the diagnostic power for the classification of PAH within </w:t>
      </w:r>
      <w:proofErr w:type="spellStart"/>
      <w:r w:rsidRPr="00E8447E">
        <w:t>SSc</w:t>
      </w:r>
      <w:proofErr w:type="spellEnd"/>
      <w:r w:rsidRPr="00E8447E">
        <w:t>.</w:t>
      </w:r>
      <w:bookmarkEnd w:id="307"/>
    </w:p>
    <w:p w14:paraId="7079F702" w14:textId="77777777" w:rsidR="00E4064F" w:rsidRDefault="00E4064F" w:rsidP="00E4064F">
      <w:pPr>
        <w:pStyle w:val="Body"/>
      </w:pPr>
    </w:p>
    <w:p w14:paraId="1205FF2A" w14:textId="55C16C0D" w:rsidR="00777BE1" w:rsidRDefault="00E4064F" w:rsidP="00E4064F">
      <w:pPr>
        <w:pStyle w:val="Body"/>
      </w:pPr>
      <w:r>
        <w:t xml:space="preserve">The ROC based panel was built using the </w:t>
      </w:r>
      <w:proofErr w:type="spellStart"/>
      <w:r>
        <w:t>deltaCt</w:t>
      </w:r>
      <w:proofErr w:type="spellEnd"/>
      <w:r>
        <w:t xml:space="preserve"> values</w:t>
      </w:r>
      <w:r w:rsidRPr="0068114C">
        <w:t xml:space="preserve"> </w:t>
      </w:r>
      <w:r>
        <w:t xml:space="preserve">with 3-fold cross-validation. All 4 possible panel combinations from the input miRNAs model metrics are summarised in </w:t>
      </w:r>
      <w:r>
        <w:fldChar w:fldCharType="begin"/>
      </w:r>
      <w:r>
        <w:instrText xml:space="preserve"> REF _Ref9264277 \h </w:instrText>
      </w:r>
      <w:r>
        <w:fldChar w:fldCharType="separate"/>
      </w:r>
      <w:r w:rsidR="00885DE4" w:rsidRPr="00BC5DE4">
        <w:rPr>
          <w:i/>
          <w:iCs/>
        </w:rPr>
        <w:t xml:space="preserve">Table </w:t>
      </w:r>
      <w:r w:rsidR="00885DE4">
        <w:rPr>
          <w:i/>
          <w:iCs/>
          <w:noProof/>
        </w:rPr>
        <w:t>6</w:t>
      </w:r>
      <w:r w:rsidR="00885DE4">
        <w:rPr>
          <w:i/>
          <w:iCs/>
        </w:rPr>
        <w:noBreakHyphen/>
      </w:r>
      <w:r w:rsidR="00885DE4">
        <w:rPr>
          <w:i/>
          <w:iCs/>
          <w:noProof/>
        </w:rPr>
        <w:t>9</w:t>
      </w:r>
      <w:r>
        <w:fldChar w:fldCharType="end"/>
      </w:r>
      <w:r>
        <w:t>.</w:t>
      </w:r>
      <w:r w:rsidR="006B7602">
        <w:t xml:space="preserve"> In general</w:t>
      </w:r>
      <w:r w:rsidR="00FA5BF6">
        <w:t>,</w:t>
      </w:r>
      <w:r w:rsidR="006B7602">
        <w:t xml:space="preserve"> </w:t>
      </w:r>
      <w:r w:rsidR="000D272C">
        <w:t>the</w:t>
      </w:r>
      <w:r w:rsidR="006B7602">
        <w:t xml:space="preserve"> standard deviation in the performance metrics</w:t>
      </w:r>
      <w:r w:rsidR="000D272C">
        <w:t xml:space="preserve"> is small</w:t>
      </w:r>
      <w:r w:rsidR="006B7602">
        <w:t>, however, this variance is an order of magnitude greater than the performance metrics seen in the microarray results</w:t>
      </w:r>
      <w:r w:rsidR="00A21E44">
        <w:t>. This is suggestive of these panel being more unstable.</w:t>
      </w:r>
    </w:p>
    <w:p w14:paraId="223A80F8" w14:textId="77777777" w:rsidR="00777BE1" w:rsidRDefault="00777BE1">
      <w:pPr>
        <w:rPr>
          <w:rFonts w:ascii="TUOS Blake" w:eastAsia="TUOS Blake" w:hAnsi="TUOS Blake" w:cs="TUOS Blake"/>
          <w:color w:val="000000"/>
          <w:bdr w:val="nil"/>
        </w:rPr>
      </w:pPr>
      <w:r>
        <w:br w:type="page"/>
      </w:r>
    </w:p>
    <w:tbl>
      <w:tblPr>
        <w:tblStyle w:val="DefaultTableStyle"/>
        <w:tblW w:w="8845" w:type="dxa"/>
        <w:tblInd w:w="108" w:type="dxa"/>
        <w:tblBorders>
          <w:insideV w:val="none" w:sz="0" w:space="0" w:color="auto"/>
        </w:tblBorders>
        <w:tblLayout w:type="fixed"/>
        <w:tblLook w:val="0660" w:firstRow="1" w:lastRow="1" w:firstColumn="0" w:lastColumn="0" w:noHBand="1" w:noVBand="1"/>
      </w:tblPr>
      <w:tblGrid>
        <w:gridCol w:w="3153"/>
        <w:gridCol w:w="992"/>
        <w:gridCol w:w="815"/>
        <w:gridCol w:w="1920"/>
        <w:gridCol w:w="1965"/>
      </w:tblGrid>
      <w:tr w:rsidR="00E4064F" w:rsidRPr="007F7A1E" w14:paraId="6DE0BE3C" w14:textId="77777777" w:rsidTr="001D1844">
        <w:trPr>
          <w:cnfStyle w:val="100000000000" w:firstRow="1" w:lastRow="0" w:firstColumn="0" w:lastColumn="0" w:oddVBand="0" w:evenVBand="0" w:oddHBand="0" w:evenHBand="0" w:firstRowFirstColumn="0" w:firstRowLastColumn="0" w:lastRowFirstColumn="0" w:lastRowLastColumn="0"/>
          <w:trHeight w:val="746"/>
        </w:trPr>
        <w:tc>
          <w:tcPr>
            <w:tcW w:w="3153" w:type="dxa"/>
            <w:tcBorders>
              <w:top w:val="single" w:sz="4" w:space="0" w:color="auto"/>
              <w:bottom w:val="single" w:sz="4" w:space="0" w:color="auto"/>
            </w:tcBorders>
            <w:vAlign w:val="center"/>
          </w:tcPr>
          <w:p w14:paraId="1AD4D747" w14:textId="77777777" w:rsidR="00E4064F" w:rsidRPr="007F7A1E" w:rsidRDefault="00E4064F" w:rsidP="000D1B2E">
            <w:pPr>
              <w:pStyle w:val="BodyText1"/>
              <w:jc w:val="center"/>
              <w:rPr>
                <w:rFonts w:ascii="Times New Roman" w:hAnsi="Times New Roman" w:cs="Times New Roman"/>
                <w:sz w:val="22"/>
              </w:rPr>
            </w:pPr>
            <w:r>
              <w:rPr>
                <w:rFonts w:ascii="Times New Roman" w:hAnsi="Times New Roman" w:cs="Times New Roman"/>
                <w:sz w:val="22"/>
              </w:rPr>
              <w:lastRenderedPageBreak/>
              <w:t>miRNAs in Panel</w:t>
            </w:r>
          </w:p>
        </w:tc>
        <w:tc>
          <w:tcPr>
            <w:tcW w:w="992" w:type="dxa"/>
            <w:tcBorders>
              <w:top w:val="single" w:sz="4" w:space="0" w:color="auto"/>
              <w:bottom w:val="single" w:sz="4" w:space="0" w:color="auto"/>
            </w:tcBorders>
            <w:vAlign w:val="center"/>
          </w:tcPr>
          <w:p w14:paraId="72537F4E" w14:textId="77777777" w:rsidR="00E4064F" w:rsidRDefault="00E4064F" w:rsidP="000D1B2E">
            <w:pPr>
              <w:pStyle w:val="BodyText1"/>
              <w:jc w:val="center"/>
              <w:rPr>
                <w:rFonts w:ascii="Times New Roman" w:hAnsi="Times New Roman" w:cs="Times New Roman"/>
                <w:sz w:val="22"/>
              </w:rPr>
            </w:pPr>
            <w:r>
              <w:rPr>
                <w:rFonts w:ascii="Times New Roman" w:hAnsi="Times New Roman" w:cs="Times New Roman"/>
                <w:sz w:val="22"/>
              </w:rPr>
              <w:t>Se</w:t>
            </w:r>
          </w:p>
        </w:tc>
        <w:tc>
          <w:tcPr>
            <w:tcW w:w="815" w:type="dxa"/>
            <w:tcBorders>
              <w:top w:val="single" w:sz="4" w:space="0" w:color="auto"/>
              <w:bottom w:val="single" w:sz="4" w:space="0" w:color="auto"/>
            </w:tcBorders>
            <w:vAlign w:val="center"/>
          </w:tcPr>
          <w:p w14:paraId="0847BC3D" w14:textId="77777777" w:rsidR="00E4064F" w:rsidRDefault="00E4064F" w:rsidP="000D1B2E">
            <w:pPr>
              <w:pStyle w:val="BodyText1"/>
              <w:jc w:val="center"/>
              <w:rPr>
                <w:rFonts w:ascii="Times New Roman" w:hAnsi="Times New Roman" w:cs="Times New Roman"/>
                <w:sz w:val="22"/>
              </w:rPr>
            </w:pPr>
            <w:proofErr w:type="spellStart"/>
            <w:r>
              <w:rPr>
                <w:rFonts w:ascii="Times New Roman" w:hAnsi="Times New Roman" w:cs="Times New Roman"/>
                <w:sz w:val="22"/>
              </w:rPr>
              <w:t>Sp</w:t>
            </w:r>
            <w:proofErr w:type="spellEnd"/>
          </w:p>
        </w:tc>
        <w:tc>
          <w:tcPr>
            <w:tcW w:w="1920" w:type="dxa"/>
            <w:tcBorders>
              <w:top w:val="single" w:sz="4" w:space="0" w:color="auto"/>
              <w:bottom w:val="single" w:sz="4" w:space="0" w:color="auto"/>
            </w:tcBorders>
            <w:vAlign w:val="center"/>
          </w:tcPr>
          <w:p w14:paraId="430D2F06" w14:textId="77777777" w:rsidR="00E4064F" w:rsidRDefault="00E4064F" w:rsidP="000D1B2E">
            <w:pPr>
              <w:pStyle w:val="BodyText1"/>
              <w:jc w:val="center"/>
              <w:rPr>
                <w:rFonts w:ascii="Times New Roman" w:hAnsi="Times New Roman" w:cs="Times New Roman"/>
                <w:sz w:val="22"/>
              </w:rPr>
            </w:pPr>
            <w:r>
              <w:rPr>
                <w:rFonts w:ascii="Times New Roman" w:hAnsi="Times New Roman" w:cs="Times New Roman"/>
                <w:sz w:val="22"/>
              </w:rPr>
              <w:t>Positive Predictive Value</w:t>
            </w:r>
          </w:p>
        </w:tc>
        <w:tc>
          <w:tcPr>
            <w:tcW w:w="1965" w:type="dxa"/>
            <w:tcBorders>
              <w:top w:val="single" w:sz="4" w:space="0" w:color="auto"/>
              <w:bottom w:val="single" w:sz="4" w:space="0" w:color="auto"/>
            </w:tcBorders>
            <w:vAlign w:val="center"/>
          </w:tcPr>
          <w:p w14:paraId="6BD1E23A" w14:textId="77777777" w:rsidR="00E4064F" w:rsidRPr="007F7A1E" w:rsidRDefault="00E4064F" w:rsidP="000D1B2E">
            <w:pPr>
              <w:pStyle w:val="BodyText1"/>
              <w:jc w:val="center"/>
              <w:rPr>
                <w:rFonts w:ascii="Times New Roman" w:hAnsi="Times New Roman" w:cs="Times New Roman"/>
                <w:sz w:val="22"/>
              </w:rPr>
            </w:pPr>
            <w:r>
              <w:rPr>
                <w:rFonts w:ascii="Times New Roman" w:hAnsi="Times New Roman" w:cs="Times New Roman"/>
                <w:sz w:val="22"/>
              </w:rPr>
              <w:t>Negative Predictive Value</w:t>
            </w:r>
          </w:p>
        </w:tc>
      </w:tr>
      <w:tr w:rsidR="00E4064F" w:rsidRPr="007F7A1E" w14:paraId="163A417C" w14:textId="77777777" w:rsidTr="001D1844">
        <w:trPr>
          <w:trHeight w:val="613"/>
        </w:trPr>
        <w:tc>
          <w:tcPr>
            <w:tcW w:w="3153" w:type="dxa"/>
            <w:tcBorders>
              <w:top w:val="single" w:sz="4" w:space="0" w:color="auto"/>
            </w:tcBorders>
            <w:vAlign w:val="center"/>
          </w:tcPr>
          <w:p w14:paraId="61EEE4AD" w14:textId="77777777" w:rsidR="00E4064F" w:rsidRPr="00D15175" w:rsidRDefault="00E4064F" w:rsidP="000D1B2E">
            <w:pPr>
              <w:pStyle w:val="BodyText1"/>
              <w:rPr>
                <w:rFonts w:ascii="Times New Roman" w:hAnsi="Times New Roman"/>
              </w:rPr>
            </w:pPr>
            <w:r>
              <w:rPr>
                <w:rFonts w:ascii="Times New Roman" w:hAnsi="Times New Roman"/>
              </w:rPr>
              <w:t xml:space="preserve">miR-486-5p, miR-584-5p, </w:t>
            </w:r>
            <w:r w:rsidRPr="00D15175">
              <w:rPr>
                <w:rFonts w:ascii="Times New Roman" w:hAnsi="Times New Roman"/>
              </w:rPr>
              <w:t>miR-63</w:t>
            </w:r>
            <w:r>
              <w:rPr>
                <w:rFonts w:ascii="Times New Roman" w:hAnsi="Times New Roman"/>
              </w:rPr>
              <w:t>8</w:t>
            </w:r>
          </w:p>
        </w:tc>
        <w:tc>
          <w:tcPr>
            <w:tcW w:w="992" w:type="dxa"/>
            <w:tcBorders>
              <w:top w:val="single" w:sz="4" w:space="0" w:color="auto"/>
            </w:tcBorders>
            <w:vAlign w:val="center"/>
          </w:tcPr>
          <w:p w14:paraId="27FB94BD" w14:textId="77777777" w:rsidR="00E4064F" w:rsidRDefault="00E4064F" w:rsidP="000D1B2E">
            <w:pPr>
              <w:pStyle w:val="BodyText1"/>
              <w:jc w:val="center"/>
              <w:rPr>
                <w:rFonts w:ascii="Times New Roman" w:hAnsi="Times New Roman"/>
              </w:rPr>
            </w:pPr>
            <w:r w:rsidRPr="00D15175">
              <w:rPr>
                <w:rFonts w:ascii="Times New Roman" w:hAnsi="Times New Roman"/>
              </w:rPr>
              <w:t>0.</w:t>
            </w:r>
            <w:r>
              <w:rPr>
                <w:rFonts w:ascii="Times New Roman" w:hAnsi="Times New Roman"/>
              </w:rPr>
              <w:t>91</w:t>
            </w:r>
          </w:p>
          <w:p w14:paraId="24C7BBCF" w14:textId="1071E3FE" w:rsidR="001452CF" w:rsidRPr="00D15175" w:rsidRDefault="001452CF" w:rsidP="000D1B2E">
            <w:pPr>
              <w:pStyle w:val="BodyText1"/>
              <w:jc w:val="center"/>
              <w:rPr>
                <w:rFonts w:ascii="Times New Roman" w:hAnsi="Times New Roman" w:cs="Times New Roman"/>
              </w:rPr>
            </w:pPr>
            <w:r>
              <w:rPr>
                <w:rFonts w:ascii="Times New Roman" w:hAnsi="Times New Roman"/>
              </w:rPr>
              <w:t>(0.048</w:t>
            </w:r>
            <w:r w:rsidR="001D1844">
              <w:rPr>
                <w:rFonts w:ascii="Times New Roman" w:hAnsi="Times New Roman"/>
              </w:rPr>
              <w:t>)</w:t>
            </w:r>
          </w:p>
        </w:tc>
        <w:tc>
          <w:tcPr>
            <w:tcW w:w="815" w:type="dxa"/>
            <w:tcBorders>
              <w:top w:val="single" w:sz="4" w:space="0" w:color="auto"/>
            </w:tcBorders>
            <w:vAlign w:val="center"/>
          </w:tcPr>
          <w:p w14:paraId="62FE6D5B" w14:textId="77777777" w:rsidR="00E4064F" w:rsidRDefault="00E4064F" w:rsidP="000D1B2E">
            <w:pPr>
              <w:pStyle w:val="BodyText1"/>
              <w:jc w:val="center"/>
              <w:rPr>
                <w:rFonts w:ascii="Times New Roman" w:hAnsi="Times New Roman"/>
              </w:rPr>
            </w:pPr>
            <w:r w:rsidRPr="00D15175">
              <w:rPr>
                <w:rFonts w:ascii="Times New Roman" w:hAnsi="Times New Roman"/>
              </w:rPr>
              <w:t>0.</w:t>
            </w:r>
            <w:r>
              <w:rPr>
                <w:rFonts w:ascii="Times New Roman" w:hAnsi="Times New Roman"/>
              </w:rPr>
              <w:t>62</w:t>
            </w:r>
          </w:p>
          <w:p w14:paraId="1D7CAA73" w14:textId="75194174" w:rsidR="001D1844" w:rsidRPr="00D15175" w:rsidRDefault="001D1844" w:rsidP="000D1B2E">
            <w:pPr>
              <w:pStyle w:val="BodyText1"/>
              <w:jc w:val="center"/>
              <w:rPr>
                <w:rFonts w:ascii="Times New Roman" w:hAnsi="Times New Roman" w:cs="Times New Roman"/>
              </w:rPr>
            </w:pPr>
            <w:r>
              <w:rPr>
                <w:rFonts w:ascii="Times New Roman" w:hAnsi="Times New Roman"/>
              </w:rPr>
              <w:t>(0.105)</w:t>
            </w:r>
          </w:p>
        </w:tc>
        <w:tc>
          <w:tcPr>
            <w:tcW w:w="1920" w:type="dxa"/>
            <w:tcBorders>
              <w:top w:val="single" w:sz="4" w:space="0" w:color="auto"/>
            </w:tcBorders>
            <w:vAlign w:val="center"/>
          </w:tcPr>
          <w:p w14:paraId="1FC0AEFC" w14:textId="77777777" w:rsidR="00E4064F" w:rsidRDefault="00E4064F" w:rsidP="000D1B2E">
            <w:pPr>
              <w:pStyle w:val="BodyText1"/>
              <w:jc w:val="center"/>
              <w:rPr>
                <w:rFonts w:ascii="Times New Roman" w:hAnsi="Times New Roman"/>
              </w:rPr>
            </w:pPr>
            <w:r w:rsidRPr="00D15175">
              <w:rPr>
                <w:rFonts w:ascii="Times New Roman" w:hAnsi="Times New Roman"/>
              </w:rPr>
              <w:t>0.</w:t>
            </w:r>
            <w:r>
              <w:rPr>
                <w:rFonts w:ascii="Times New Roman" w:hAnsi="Times New Roman"/>
              </w:rPr>
              <w:t>75</w:t>
            </w:r>
          </w:p>
          <w:p w14:paraId="52A3C4BC" w14:textId="1D330507" w:rsidR="001D1844" w:rsidRPr="00D15175" w:rsidRDefault="001D1844" w:rsidP="000D1B2E">
            <w:pPr>
              <w:pStyle w:val="BodyText1"/>
              <w:jc w:val="center"/>
              <w:rPr>
                <w:rFonts w:ascii="Times New Roman" w:hAnsi="Times New Roman" w:cs="Times New Roman"/>
              </w:rPr>
            </w:pPr>
            <w:r>
              <w:rPr>
                <w:rFonts w:ascii="Times New Roman" w:hAnsi="Times New Roman"/>
              </w:rPr>
              <w:t>(0.056)</w:t>
            </w:r>
          </w:p>
        </w:tc>
        <w:tc>
          <w:tcPr>
            <w:tcW w:w="1965" w:type="dxa"/>
            <w:tcBorders>
              <w:top w:val="single" w:sz="4" w:space="0" w:color="auto"/>
            </w:tcBorders>
            <w:vAlign w:val="center"/>
          </w:tcPr>
          <w:p w14:paraId="0A295AD3" w14:textId="77777777" w:rsidR="00E4064F" w:rsidRDefault="00E4064F" w:rsidP="000D1B2E">
            <w:pPr>
              <w:pStyle w:val="BodyText1"/>
              <w:jc w:val="center"/>
              <w:rPr>
                <w:rFonts w:ascii="Times New Roman" w:hAnsi="Times New Roman"/>
              </w:rPr>
            </w:pPr>
            <w:r w:rsidRPr="00D15175">
              <w:rPr>
                <w:rFonts w:ascii="Times New Roman" w:hAnsi="Times New Roman"/>
              </w:rPr>
              <w:t>0.</w:t>
            </w:r>
            <w:r>
              <w:rPr>
                <w:rFonts w:ascii="Times New Roman" w:hAnsi="Times New Roman"/>
              </w:rPr>
              <w:t>46</w:t>
            </w:r>
          </w:p>
          <w:p w14:paraId="6FBF3AA8" w14:textId="1466D3E8" w:rsidR="001D1844" w:rsidRPr="00D15175" w:rsidRDefault="001D1844" w:rsidP="000D1B2E">
            <w:pPr>
              <w:pStyle w:val="BodyText1"/>
              <w:jc w:val="center"/>
              <w:rPr>
                <w:rFonts w:ascii="Times New Roman" w:hAnsi="Times New Roman" w:cs="Times New Roman"/>
              </w:rPr>
            </w:pPr>
            <w:r>
              <w:rPr>
                <w:rFonts w:ascii="Times New Roman" w:hAnsi="Times New Roman"/>
              </w:rPr>
              <w:t>(0.060)</w:t>
            </w:r>
          </w:p>
        </w:tc>
      </w:tr>
      <w:tr w:rsidR="00E4064F" w:rsidRPr="007F7A1E" w14:paraId="09E4BCA6" w14:textId="77777777" w:rsidTr="001D1844">
        <w:trPr>
          <w:trHeight w:val="613"/>
        </w:trPr>
        <w:tc>
          <w:tcPr>
            <w:tcW w:w="3153" w:type="dxa"/>
            <w:vAlign w:val="center"/>
          </w:tcPr>
          <w:p w14:paraId="53EEEEAA" w14:textId="77777777" w:rsidR="00E4064F" w:rsidRDefault="00E4064F" w:rsidP="000D1B2E">
            <w:pPr>
              <w:pStyle w:val="BodyText1"/>
              <w:rPr>
                <w:rFonts w:ascii="Times New Roman" w:hAnsi="Times New Roman"/>
              </w:rPr>
            </w:pPr>
            <w:r>
              <w:rPr>
                <w:rFonts w:ascii="Times New Roman" w:hAnsi="Times New Roman"/>
              </w:rPr>
              <w:t>miR-486-5p, miR-584-5p</w:t>
            </w:r>
          </w:p>
        </w:tc>
        <w:tc>
          <w:tcPr>
            <w:tcW w:w="992" w:type="dxa"/>
            <w:vAlign w:val="center"/>
          </w:tcPr>
          <w:p w14:paraId="0D46FBB8" w14:textId="77777777" w:rsidR="00E4064F" w:rsidRDefault="00E4064F" w:rsidP="000D1B2E">
            <w:pPr>
              <w:pStyle w:val="BodyText1"/>
              <w:jc w:val="center"/>
              <w:rPr>
                <w:rFonts w:ascii="Times New Roman" w:hAnsi="Times New Roman"/>
              </w:rPr>
            </w:pPr>
            <w:r>
              <w:rPr>
                <w:rFonts w:ascii="Times New Roman" w:hAnsi="Times New Roman"/>
              </w:rPr>
              <w:t>0.43</w:t>
            </w:r>
          </w:p>
          <w:p w14:paraId="1046C794" w14:textId="46506230" w:rsidR="001D1844" w:rsidRPr="00D15175" w:rsidRDefault="001D1844" w:rsidP="000D1B2E">
            <w:pPr>
              <w:pStyle w:val="BodyText1"/>
              <w:jc w:val="center"/>
              <w:rPr>
                <w:rFonts w:ascii="Times New Roman" w:hAnsi="Times New Roman"/>
              </w:rPr>
            </w:pPr>
            <w:r>
              <w:rPr>
                <w:rFonts w:ascii="Times New Roman" w:hAnsi="Times New Roman"/>
              </w:rPr>
              <w:t>(0.133)</w:t>
            </w:r>
          </w:p>
        </w:tc>
        <w:tc>
          <w:tcPr>
            <w:tcW w:w="815" w:type="dxa"/>
            <w:vAlign w:val="center"/>
          </w:tcPr>
          <w:p w14:paraId="16086284" w14:textId="77777777" w:rsidR="00E4064F" w:rsidRDefault="00E4064F" w:rsidP="000D1B2E">
            <w:pPr>
              <w:pStyle w:val="BodyText1"/>
              <w:jc w:val="center"/>
              <w:rPr>
                <w:rFonts w:ascii="Times New Roman" w:hAnsi="Times New Roman"/>
              </w:rPr>
            </w:pPr>
            <w:r>
              <w:rPr>
                <w:rFonts w:ascii="Times New Roman" w:hAnsi="Times New Roman"/>
              </w:rPr>
              <w:t>0.87</w:t>
            </w:r>
          </w:p>
          <w:p w14:paraId="066327C0" w14:textId="76EDFB5A" w:rsidR="001D1844" w:rsidRPr="00D15175" w:rsidRDefault="001D1844" w:rsidP="000D1B2E">
            <w:pPr>
              <w:pStyle w:val="BodyText1"/>
              <w:jc w:val="center"/>
              <w:rPr>
                <w:rFonts w:ascii="Times New Roman" w:hAnsi="Times New Roman"/>
              </w:rPr>
            </w:pPr>
            <w:r>
              <w:rPr>
                <w:rFonts w:ascii="Times New Roman" w:hAnsi="Times New Roman"/>
              </w:rPr>
              <w:t>(0.134)</w:t>
            </w:r>
          </w:p>
        </w:tc>
        <w:tc>
          <w:tcPr>
            <w:tcW w:w="1920" w:type="dxa"/>
            <w:vAlign w:val="center"/>
          </w:tcPr>
          <w:p w14:paraId="4B8E8706" w14:textId="77777777" w:rsidR="00E4064F" w:rsidRDefault="00E4064F" w:rsidP="000D1B2E">
            <w:pPr>
              <w:pStyle w:val="BodyText1"/>
              <w:jc w:val="center"/>
              <w:rPr>
                <w:rFonts w:ascii="Times New Roman" w:hAnsi="Times New Roman"/>
              </w:rPr>
            </w:pPr>
            <w:r>
              <w:rPr>
                <w:rFonts w:ascii="Times New Roman" w:hAnsi="Times New Roman"/>
              </w:rPr>
              <w:t>0.86</w:t>
            </w:r>
          </w:p>
          <w:p w14:paraId="24F89FF5" w14:textId="245FF1EA" w:rsidR="001D1844" w:rsidRPr="00D15175" w:rsidRDefault="001D1844" w:rsidP="000D1B2E">
            <w:pPr>
              <w:pStyle w:val="BodyText1"/>
              <w:jc w:val="center"/>
              <w:rPr>
                <w:rFonts w:ascii="Times New Roman" w:hAnsi="Times New Roman"/>
              </w:rPr>
            </w:pPr>
            <w:r>
              <w:rPr>
                <w:rFonts w:ascii="Times New Roman" w:hAnsi="Times New Roman"/>
              </w:rPr>
              <w:t>(0.060)</w:t>
            </w:r>
          </w:p>
        </w:tc>
        <w:tc>
          <w:tcPr>
            <w:tcW w:w="1965" w:type="dxa"/>
            <w:vAlign w:val="center"/>
          </w:tcPr>
          <w:p w14:paraId="65D664A4" w14:textId="77777777" w:rsidR="00E4064F" w:rsidRDefault="00E4064F" w:rsidP="000D1B2E">
            <w:pPr>
              <w:pStyle w:val="BodyText1"/>
              <w:jc w:val="center"/>
              <w:rPr>
                <w:rFonts w:ascii="Times New Roman" w:hAnsi="Times New Roman"/>
              </w:rPr>
            </w:pPr>
            <w:r>
              <w:rPr>
                <w:rFonts w:ascii="Times New Roman" w:hAnsi="Times New Roman"/>
              </w:rPr>
              <w:t>0.45</w:t>
            </w:r>
          </w:p>
          <w:p w14:paraId="711D3E1C" w14:textId="2F5DCC8B" w:rsidR="001D1844" w:rsidRPr="00D15175" w:rsidRDefault="001D1844" w:rsidP="000D1B2E">
            <w:pPr>
              <w:pStyle w:val="BodyText1"/>
              <w:jc w:val="center"/>
              <w:rPr>
                <w:rFonts w:ascii="Times New Roman" w:hAnsi="Times New Roman"/>
              </w:rPr>
            </w:pPr>
            <w:r>
              <w:rPr>
                <w:rFonts w:ascii="Times New Roman" w:hAnsi="Times New Roman"/>
              </w:rPr>
              <w:t>(0.034)</w:t>
            </w:r>
          </w:p>
        </w:tc>
      </w:tr>
      <w:tr w:rsidR="00E4064F" w:rsidRPr="007F7A1E" w14:paraId="18BF1C43" w14:textId="77777777" w:rsidTr="001D1844">
        <w:trPr>
          <w:trHeight w:val="613"/>
        </w:trPr>
        <w:tc>
          <w:tcPr>
            <w:tcW w:w="3153" w:type="dxa"/>
            <w:vAlign w:val="center"/>
          </w:tcPr>
          <w:p w14:paraId="2725E52D" w14:textId="77777777" w:rsidR="00E4064F" w:rsidRDefault="00E4064F" w:rsidP="000D1B2E">
            <w:pPr>
              <w:pStyle w:val="BodyText1"/>
              <w:rPr>
                <w:rFonts w:ascii="Times New Roman" w:hAnsi="Times New Roman"/>
              </w:rPr>
            </w:pPr>
            <w:r>
              <w:rPr>
                <w:rFonts w:ascii="Times New Roman" w:hAnsi="Times New Roman"/>
              </w:rPr>
              <w:t xml:space="preserve">miR-486-5p, </w:t>
            </w:r>
            <w:r w:rsidRPr="00D15175">
              <w:rPr>
                <w:rFonts w:ascii="Times New Roman" w:hAnsi="Times New Roman"/>
              </w:rPr>
              <w:t>miR-63</w:t>
            </w:r>
            <w:r>
              <w:rPr>
                <w:rFonts w:ascii="Times New Roman" w:hAnsi="Times New Roman"/>
              </w:rPr>
              <w:t>8</w:t>
            </w:r>
          </w:p>
        </w:tc>
        <w:tc>
          <w:tcPr>
            <w:tcW w:w="992" w:type="dxa"/>
            <w:vAlign w:val="center"/>
          </w:tcPr>
          <w:p w14:paraId="6F86B19A" w14:textId="77777777" w:rsidR="00E4064F" w:rsidRDefault="00E4064F" w:rsidP="000D1B2E">
            <w:pPr>
              <w:pStyle w:val="BodyText1"/>
              <w:jc w:val="center"/>
              <w:rPr>
                <w:rFonts w:ascii="Times New Roman" w:hAnsi="Times New Roman"/>
              </w:rPr>
            </w:pPr>
            <w:r>
              <w:rPr>
                <w:rFonts w:ascii="Times New Roman" w:hAnsi="Times New Roman"/>
              </w:rPr>
              <w:t>0.46</w:t>
            </w:r>
          </w:p>
          <w:p w14:paraId="73D5C404" w14:textId="4D1FCC1C" w:rsidR="001D1844" w:rsidRPr="00D15175" w:rsidRDefault="001D1844" w:rsidP="000D1B2E">
            <w:pPr>
              <w:pStyle w:val="BodyText1"/>
              <w:jc w:val="center"/>
              <w:rPr>
                <w:rFonts w:ascii="Times New Roman" w:hAnsi="Times New Roman"/>
              </w:rPr>
            </w:pPr>
            <w:r>
              <w:rPr>
                <w:rFonts w:ascii="Times New Roman" w:hAnsi="Times New Roman"/>
              </w:rPr>
              <w:t>(0.186)</w:t>
            </w:r>
          </w:p>
        </w:tc>
        <w:tc>
          <w:tcPr>
            <w:tcW w:w="815" w:type="dxa"/>
            <w:vAlign w:val="center"/>
          </w:tcPr>
          <w:p w14:paraId="384020D2" w14:textId="77777777" w:rsidR="00E4064F" w:rsidRDefault="00E4064F" w:rsidP="000D1B2E">
            <w:pPr>
              <w:pStyle w:val="BodyText1"/>
              <w:jc w:val="center"/>
              <w:rPr>
                <w:rFonts w:ascii="Times New Roman" w:hAnsi="Times New Roman"/>
              </w:rPr>
            </w:pPr>
            <w:r>
              <w:rPr>
                <w:rFonts w:ascii="Times New Roman" w:hAnsi="Times New Roman"/>
              </w:rPr>
              <w:t>0.76</w:t>
            </w:r>
          </w:p>
          <w:p w14:paraId="6ACDB108" w14:textId="08C400F7" w:rsidR="001D1844" w:rsidRPr="00D15175" w:rsidRDefault="001D1844" w:rsidP="000D1B2E">
            <w:pPr>
              <w:pStyle w:val="BodyText1"/>
              <w:jc w:val="center"/>
              <w:rPr>
                <w:rFonts w:ascii="Times New Roman" w:hAnsi="Times New Roman"/>
              </w:rPr>
            </w:pPr>
            <w:r>
              <w:rPr>
                <w:rFonts w:ascii="Times New Roman" w:hAnsi="Times New Roman"/>
              </w:rPr>
              <w:t>(0.166)</w:t>
            </w:r>
          </w:p>
        </w:tc>
        <w:tc>
          <w:tcPr>
            <w:tcW w:w="1920" w:type="dxa"/>
            <w:vAlign w:val="center"/>
          </w:tcPr>
          <w:p w14:paraId="48B8725A" w14:textId="77777777" w:rsidR="00E4064F" w:rsidRDefault="00E4064F" w:rsidP="000D1B2E">
            <w:pPr>
              <w:pStyle w:val="BodyText1"/>
              <w:jc w:val="center"/>
              <w:rPr>
                <w:rFonts w:ascii="Times New Roman" w:hAnsi="Times New Roman"/>
              </w:rPr>
            </w:pPr>
            <w:r>
              <w:rPr>
                <w:rFonts w:ascii="Times New Roman" w:hAnsi="Times New Roman"/>
              </w:rPr>
              <w:t>0.79</w:t>
            </w:r>
          </w:p>
          <w:p w14:paraId="700D692E" w14:textId="0A8A3B41" w:rsidR="001D1844" w:rsidRPr="00D15175" w:rsidRDefault="001D1844" w:rsidP="000D1B2E">
            <w:pPr>
              <w:pStyle w:val="BodyText1"/>
              <w:jc w:val="center"/>
              <w:rPr>
                <w:rFonts w:ascii="Times New Roman" w:hAnsi="Times New Roman"/>
              </w:rPr>
            </w:pPr>
            <w:r>
              <w:rPr>
                <w:rFonts w:ascii="Times New Roman" w:hAnsi="Times New Roman"/>
              </w:rPr>
              <w:t>(0.077)</w:t>
            </w:r>
          </w:p>
        </w:tc>
        <w:tc>
          <w:tcPr>
            <w:tcW w:w="1965" w:type="dxa"/>
            <w:vAlign w:val="center"/>
          </w:tcPr>
          <w:p w14:paraId="16A26280" w14:textId="77777777" w:rsidR="00E4064F" w:rsidRDefault="00E4064F" w:rsidP="000D1B2E">
            <w:pPr>
              <w:pStyle w:val="BodyText1"/>
              <w:jc w:val="center"/>
              <w:rPr>
                <w:rFonts w:ascii="Times New Roman" w:hAnsi="Times New Roman"/>
              </w:rPr>
            </w:pPr>
            <w:r>
              <w:rPr>
                <w:rFonts w:ascii="Times New Roman" w:hAnsi="Times New Roman"/>
              </w:rPr>
              <w:t>0.43</w:t>
            </w:r>
          </w:p>
          <w:p w14:paraId="4D88EB7E" w14:textId="7CC73A36" w:rsidR="001D1844" w:rsidRPr="00D15175" w:rsidRDefault="001D1844" w:rsidP="000D1B2E">
            <w:pPr>
              <w:pStyle w:val="BodyText1"/>
              <w:jc w:val="center"/>
              <w:rPr>
                <w:rFonts w:ascii="Times New Roman" w:hAnsi="Times New Roman"/>
              </w:rPr>
            </w:pPr>
            <w:r>
              <w:rPr>
                <w:rFonts w:ascii="Times New Roman" w:hAnsi="Times New Roman"/>
              </w:rPr>
              <w:t>(0.040)</w:t>
            </w:r>
          </w:p>
        </w:tc>
      </w:tr>
      <w:tr w:rsidR="00E4064F" w:rsidRPr="007F7A1E" w14:paraId="62C2052D" w14:textId="77777777" w:rsidTr="001D1844">
        <w:trPr>
          <w:cnfStyle w:val="010000000000" w:firstRow="0" w:lastRow="1" w:firstColumn="0" w:lastColumn="0" w:oddVBand="0" w:evenVBand="0" w:oddHBand="0" w:evenHBand="0" w:firstRowFirstColumn="0" w:firstRowLastColumn="0" w:lastRowFirstColumn="0" w:lastRowLastColumn="0"/>
        </w:trPr>
        <w:tc>
          <w:tcPr>
            <w:tcW w:w="3153" w:type="dxa"/>
            <w:tcBorders>
              <w:top w:val="none" w:sz="0" w:space="0" w:color="auto"/>
              <w:bottom w:val="single" w:sz="4" w:space="0" w:color="000000"/>
            </w:tcBorders>
            <w:shd w:val="clear" w:color="auto" w:fill="auto"/>
            <w:vAlign w:val="center"/>
          </w:tcPr>
          <w:p w14:paraId="76AC07DC" w14:textId="77777777" w:rsidR="00E4064F" w:rsidRPr="00EC568E" w:rsidRDefault="00E4064F" w:rsidP="000D1B2E">
            <w:pPr>
              <w:pStyle w:val="BodyText1"/>
              <w:rPr>
                <w:rFonts w:ascii="Times New Roman" w:hAnsi="Times New Roman"/>
                <w:b w:val="0"/>
              </w:rPr>
            </w:pPr>
            <w:r w:rsidRPr="00EC568E">
              <w:rPr>
                <w:rFonts w:ascii="Times New Roman" w:hAnsi="Times New Roman"/>
                <w:b w:val="0"/>
              </w:rPr>
              <w:t>miR-584-5p, miR-638</w:t>
            </w:r>
          </w:p>
        </w:tc>
        <w:tc>
          <w:tcPr>
            <w:tcW w:w="992" w:type="dxa"/>
            <w:tcBorders>
              <w:top w:val="none" w:sz="0" w:space="0" w:color="auto"/>
              <w:bottom w:val="single" w:sz="4" w:space="0" w:color="000000"/>
            </w:tcBorders>
            <w:shd w:val="clear" w:color="auto" w:fill="auto"/>
            <w:vAlign w:val="center"/>
          </w:tcPr>
          <w:p w14:paraId="0BAD0A29" w14:textId="77777777" w:rsidR="001D1844" w:rsidRDefault="001D1844" w:rsidP="000D1B2E">
            <w:pPr>
              <w:pStyle w:val="BodyText1"/>
              <w:jc w:val="center"/>
              <w:rPr>
                <w:rFonts w:ascii="Times New Roman" w:hAnsi="Times New Roman"/>
                <w:bCs w:val="0"/>
              </w:rPr>
            </w:pPr>
          </w:p>
          <w:p w14:paraId="35DE72A4" w14:textId="0ADAEC6F" w:rsidR="00E4064F" w:rsidRDefault="00E4064F" w:rsidP="000D1B2E">
            <w:pPr>
              <w:pStyle w:val="BodyText1"/>
              <w:jc w:val="center"/>
              <w:rPr>
                <w:rFonts w:ascii="Times New Roman" w:hAnsi="Times New Roman"/>
                <w:bCs w:val="0"/>
              </w:rPr>
            </w:pPr>
            <w:r w:rsidRPr="00D15175">
              <w:rPr>
                <w:rFonts w:ascii="Times New Roman" w:hAnsi="Times New Roman"/>
                <w:b w:val="0"/>
              </w:rPr>
              <w:t>0.</w:t>
            </w:r>
            <w:r>
              <w:rPr>
                <w:rFonts w:ascii="Times New Roman" w:hAnsi="Times New Roman"/>
                <w:b w:val="0"/>
              </w:rPr>
              <w:t>41</w:t>
            </w:r>
          </w:p>
          <w:p w14:paraId="56E8B5E4" w14:textId="3D876574" w:rsidR="001D1844" w:rsidRDefault="001D1844" w:rsidP="000D1B2E">
            <w:pPr>
              <w:pStyle w:val="BodyText1"/>
              <w:jc w:val="center"/>
              <w:rPr>
                <w:rFonts w:ascii="Times New Roman" w:hAnsi="Times New Roman"/>
                <w:bCs w:val="0"/>
              </w:rPr>
            </w:pPr>
            <w:r>
              <w:rPr>
                <w:rFonts w:ascii="Times New Roman" w:hAnsi="Times New Roman"/>
                <w:b w:val="0"/>
              </w:rPr>
              <w:t>(0.002)</w:t>
            </w:r>
          </w:p>
          <w:p w14:paraId="40B674BD" w14:textId="57E63725" w:rsidR="001D1844" w:rsidRPr="00D15175" w:rsidRDefault="001D1844" w:rsidP="000D1B2E">
            <w:pPr>
              <w:pStyle w:val="BodyText1"/>
              <w:jc w:val="center"/>
              <w:rPr>
                <w:rFonts w:ascii="Times New Roman" w:hAnsi="Times New Roman" w:cs="Times New Roman"/>
                <w:b w:val="0"/>
              </w:rPr>
            </w:pPr>
          </w:p>
        </w:tc>
        <w:tc>
          <w:tcPr>
            <w:tcW w:w="815" w:type="dxa"/>
            <w:tcBorders>
              <w:top w:val="none" w:sz="0" w:space="0" w:color="auto"/>
              <w:bottom w:val="single" w:sz="4" w:space="0" w:color="000000"/>
            </w:tcBorders>
            <w:shd w:val="clear" w:color="auto" w:fill="auto"/>
            <w:vAlign w:val="center"/>
          </w:tcPr>
          <w:p w14:paraId="75826348" w14:textId="77777777" w:rsidR="00E4064F" w:rsidRDefault="00E4064F" w:rsidP="000D1B2E">
            <w:pPr>
              <w:pStyle w:val="BodyText1"/>
              <w:jc w:val="center"/>
              <w:rPr>
                <w:rFonts w:ascii="Times New Roman" w:hAnsi="Times New Roman"/>
                <w:bCs w:val="0"/>
              </w:rPr>
            </w:pPr>
            <w:r w:rsidRPr="00D15175">
              <w:rPr>
                <w:rFonts w:ascii="Times New Roman" w:hAnsi="Times New Roman"/>
                <w:b w:val="0"/>
              </w:rPr>
              <w:t>0.</w:t>
            </w:r>
            <w:r>
              <w:rPr>
                <w:rFonts w:ascii="Times New Roman" w:hAnsi="Times New Roman"/>
                <w:b w:val="0"/>
              </w:rPr>
              <w:t>69</w:t>
            </w:r>
          </w:p>
          <w:p w14:paraId="32A94D34" w14:textId="222BE205" w:rsidR="001D1844" w:rsidRPr="00D15175" w:rsidRDefault="001D1844" w:rsidP="000D1B2E">
            <w:pPr>
              <w:pStyle w:val="BodyText1"/>
              <w:jc w:val="center"/>
              <w:rPr>
                <w:rFonts w:ascii="Times New Roman" w:hAnsi="Times New Roman" w:cs="Times New Roman"/>
                <w:b w:val="0"/>
              </w:rPr>
            </w:pPr>
            <w:r>
              <w:rPr>
                <w:rFonts w:ascii="Times New Roman" w:hAnsi="Times New Roman"/>
                <w:b w:val="0"/>
              </w:rPr>
              <w:t>(0.053)</w:t>
            </w:r>
          </w:p>
        </w:tc>
        <w:tc>
          <w:tcPr>
            <w:tcW w:w="1920" w:type="dxa"/>
            <w:tcBorders>
              <w:top w:val="none" w:sz="0" w:space="0" w:color="auto"/>
              <w:bottom w:val="single" w:sz="4" w:space="0" w:color="000000"/>
            </w:tcBorders>
            <w:shd w:val="clear" w:color="auto" w:fill="auto"/>
            <w:vAlign w:val="center"/>
          </w:tcPr>
          <w:p w14:paraId="1DCD1E48" w14:textId="77777777" w:rsidR="00E4064F" w:rsidRDefault="00E4064F" w:rsidP="000D1B2E">
            <w:pPr>
              <w:pStyle w:val="BodyText1"/>
              <w:jc w:val="center"/>
              <w:rPr>
                <w:rFonts w:ascii="Times New Roman" w:hAnsi="Times New Roman"/>
                <w:bCs w:val="0"/>
              </w:rPr>
            </w:pPr>
            <w:r w:rsidRPr="00D15175">
              <w:rPr>
                <w:rFonts w:ascii="Times New Roman" w:hAnsi="Times New Roman"/>
                <w:b w:val="0"/>
              </w:rPr>
              <w:t>0.</w:t>
            </w:r>
            <w:r>
              <w:rPr>
                <w:rFonts w:ascii="Times New Roman" w:hAnsi="Times New Roman"/>
                <w:b w:val="0"/>
              </w:rPr>
              <w:t>72</w:t>
            </w:r>
          </w:p>
          <w:p w14:paraId="240395DD" w14:textId="2B83A216" w:rsidR="001D1844" w:rsidRPr="00D15175" w:rsidRDefault="001D1844" w:rsidP="000D1B2E">
            <w:pPr>
              <w:pStyle w:val="BodyText1"/>
              <w:jc w:val="center"/>
              <w:rPr>
                <w:rFonts w:ascii="Times New Roman" w:hAnsi="Times New Roman" w:cs="Times New Roman"/>
                <w:b w:val="0"/>
              </w:rPr>
            </w:pPr>
            <w:r>
              <w:rPr>
                <w:rFonts w:ascii="Times New Roman" w:hAnsi="Times New Roman"/>
                <w:b w:val="0"/>
              </w:rPr>
              <w:t>(0.070)</w:t>
            </w:r>
          </w:p>
        </w:tc>
        <w:tc>
          <w:tcPr>
            <w:tcW w:w="1965" w:type="dxa"/>
            <w:tcBorders>
              <w:top w:val="none" w:sz="0" w:space="0" w:color="auto"/>
              <w:bottom w:val="single" w:sz="4" w:space="0" w:color="000000"/>
            </w:tcBorders>
            <w:shd w:val="clear" w:color="auto" w:fill="auto"/>
            <w:vAlign w:val="center"/>
          </w:tcPr>
          <w:p w14:paraId="65D4C22D" w14:textId="77777777" w:rsidR="00E4064F" w:rsidRDefault="00E4064F" w:rsidP="000D1B2E">
            <w:pPr>
              <w:pStyle w:val="BodyText1"/>
              <w:jc w:val="center"/>
              <w:rPr>
                <w:rFonts w:ascii="Times New Roman" w:hAnsi="Times New Roman"/>
                <w:bCs w:val="0"/>
              </w:rPr>
            </w:pPr>
            <w:r w:rsidRPr="00D15175">
              <w:rPr>
                <w:rFonts w:ascii="Times New Roman" w:hAnsi="Times New Roman"/>
                <w:b w:val="0"/>
              </w:rPr>
              <w:t>0.</w:t>
            </w:r>
            <w:r>
              <w:rPr>
                <w:rFonts w:ascii="Times New Roman" w:hAnsi="Times New Roman"/>
                <w:b w:val="0"/>
              </w:rPr>
              <w:t>39</w:t>
            </w:r>
          </w:p>
          <w:p w14:paraId="38990E2F" w14:textId="361E509E" w:rsidR="001D1844" w:rsidRPr="00D15175" w:rsidRDefault="001D1844" w:rsidP="000D1B2E">
            <w:pPr>
              <w:pStyle w:val="BodyText1"/>
              <w:jc w:val="center"/>
              <w:rPr>
                <w:rFonts w:ascii="Times New Roman" w:hAnsi="Times New Roman" w:cs="Times New Roman"/>
                <w:b w:val="0"/>
              </w:rPr>
            </w:pPr>
            <w:r>
              <w:rPr>
                <w:rFonts w:ascii="Times New Roman" w:hAnsi="Times New Roman"/>
                <w:b w:val="0"/>
              </w:rPr>
              <w:t>(0.037)</w:t>
            </w:r>
          </w:p>
        </w:tc>
      </w:tr>
    </w:tbl>
    <w:p w14:paraId="484D82F6" w14:textId="77777777" w:rsidR="00E4064F" w:rsidRDefault="00E4064F" w:rsidP="00E4064F"/>
    <w:p w14:paraId="60A5FB9F" w14:textId="198C160F" w:rsidR="00E4064F" w:rsidRPr="00BC5DE4" w:rsidRDefault="00E4064F" w:rsidP="00BC5DE4">
      <w:pPr>
        <w:pStyle w:val="Body"/>
        <w:rPr>
          <w:i/>
          <w:iCs/>
          <w:highlight w:val="yellow"/>
        </w:rPr>
      </w:pPr>
      <w:bookmarkStart w:id="308" w:name="_Ref9264277"/>
      <w:bookmarkStart w:id="309" w:name="_Toc60597198"/>
      <w:r w:rsidRPr="00BC5DE4">
        <w:rPr>
          <w:i/>
          <w:iCs/>
        </w:rPr>
        <w:t xml:space="preserve">Table </w:t>
      </w:r>
      <w:r w:rsidR="004D7B97">
        <w:rPr>
          <w:i/>
          <w:iCs/>
        </w:rPr>
        <w:fldChar w:fldCharType="begin"/>
      </w:r>
      <w:r w:rsidR="004D7B97">
        <w:rPr>
          <w:i/>
          <w:iCs/>
        </w:rPr>
        <w:instrText xml:space="preserve"> STYLEREF 1 \s </w:instrText>
      </w:r>
      <w:r w:rsidR="004D7B97">
        <w:rPr>
          <w:i/>
          <w:iCs/>
        </w:rPr>
        <w:fldChar w:fldCharType="separate"/>
      </w:r>
      <w:r w:rsidR="00885DE4">
        <w:rPr>
          <w:i/>
          <w:iCs/>
          <w:noProof/>
        </w:rPr>
        <w:t>6</w:t>
      </w:r>
      <w:r w:rsidR="004D7B97">
        <w:rPr>
          <w:i/>
          <w:iCs/>
        </w:rPr>
        <w:fldChar w:fldCharType="end"/>
      </w:r>
      <w:r w:rsidR="004D7B97">
        <w:rPr>
          <w:i/>
          <w:iCs/>
        </w:rPr>
        <w:noBreakHyphen/>
      </w:r>
      <w:r w:rsidR="004D7B97">
        <w:rPr>
          <w:i/>
          <w:iCs/>
        </w:rPr>
        <w:fldChar w:fldCharType="begin"/>
      </w:r>
      <w:r w:rsidR="004D7B97">
        <w:rPr>
          <w:i/>
          <w:iCs/>
        </w:rPr>
        <w:instrText xml:space="preserve"> SEQ Table \* ARABIC \s 1 </w:instrText>
      </w:r>
      <w:r w:rsidR="004D7B97">
        <w:rPr>
          <w:i/>
          <w:iCs/>
        </w:rPr>
        <w:fldChar w:fldCharType="separate"/>
      </w:r>
      <w:r w:rsidR="00885DE4">
        <w:rPr>
          <w:i/>
          <w:iCs/>
          <w:noProof/>
        </w:rPr>
        <w:t>9</w:t>
      </w:r>
      <w:r w:rsidR="004D7B97">
        <w:rPr>
          <w:i/>
          <w:iCs/>
        </w:rPr>
        <w:fldChar w:fldCharType="end"/>
      </w:r>
      <w:bookmarkEnd w:id="308"/>
      <w:r w:rsidRPr="00BC5DE4">
        <w:rPr>
          <w:i/>
          <w:iCs/>
        </w:rPr>
        <w:t xml:space="preserve"> All possible panel combinations of the miRNAs used in qPCR validation and performance metrics summarising the diagnostic power in determining PAH</w:t>
      </w:r>
      <w:r w:rsidR="00BC5DE4" w:rsidRPr="00BC5DE4">
        <w:rPr>
          <w:i/>
          <w:iCs/>
        </w:rPr>
        <w:t>.</w:t>
      </w:r>
      <w:r w:rsidRPr="00BC5DE4">
        <w:rPr>
          <w:i/>
          <w:iCs/>
        </w:rPr>
        <w:t xml:space="preserve"> </w:t>
      </w:r>
      <w:r w:rsidR="00BC5DE4" w:rsidRPr="00BC5DE4">
        <w:rPr>
          <w:i/>
          <w:iCs/>
        </w:rPr>
        <w:t>Performance metrics are shown as the mean and, in brackets, standard deviation from the cross-validation.</w:t>
      </w:r>
      <w:bookmarkEnd w:id="309"/>
    </w:p>
    <w:p w14:paraId="5AB2DDF3" w14:textId="77777777" w:rsidR="00E4064F" w:rsidRDefault="00E4064F" w:rsidP="00E4064F">
      <w:pPr>
        <w:rPr>
          <w:highlight w:val="yellow"/>
        </w:rPr>
      </w:pPr>
    </w:p>
    <w:p w14:paraId="1AF98F4B" w14:textId="77777777" w:rsidR="00E4064F" w:rsidRDefault="00E4064F" w:rsidP="00E4064F">
      <w:pPr>
        <w:pStyle w:val="Heading2"/>
        <w:numPr>
          <w:ilvl w:val="3"/>
          <w:numId w:val="7"/>
        </w:numPr>
        <w:spacing w:before="120" w:after="120"/>
      </w:pPr>
      <w:bookmarkStart w:id="310" w:name="_Toc60773957"/>
      <w:r>
        <w:t>Comparison of Panel Performance</w:t>
      </w:r>
      <w:bookmarkEnd w:id="310"/>
    </w:p>
    <w:p w14:paraId="72FAE5D1" w14:textId="77777777" w:rsidR="00E4064F" w:rsidRDefault="00E4064F" w:rsidP="00E4064F"/>
    <w:p w14:paraId="1E4F7E43" w14:textId="6B4F7DCD" w:rsidR="00E4064F" w:rsidRPr="009C258A" w:rsidRDefault="00E4064F" w:rsidP="00E4064F">
      <w:pPr>
        <w:pStyle w:val="Body"/>
      </w:pPr>
      <w:r>
        <w:t xml:space="preserve">To compare the performance of the </w:t>
      </w:r>
      <w:proofErr w:type="spellStart"/>
      <w:r>
        <w:t>Rpart</w:t>
      </w:r>
      <w:proofErr w:type="spellEnd"/>
      <w:r>
        <w:t xml:space="preserve"> decision tree and the panel ROC curves were plotted for both the model, constituent miRNAs and </w:t>
      </w:r>
      <w:proofErr w:type="spellStart"/>
      <w:r>
        <w:t>NTproBNP</w:t>
      </w:r>
      <w:proofErr w:type="spellEnd"/>
      <w:r>
        <w:t xml:space="preserve"> (</w:t>
      </w:r>
      <w:r>
        <w:fldChar w:fldCharType="begin"/>
      </w:r>
      <w:r>
        <w:instrText xml:space="preserve"> REF _Ref9606605 \h </w:instrText>
      </w:r>
      <w:r>
        <w:fldChar w:fldCharType="separate"/>
      </w:r>
      <w:r w:rsidR="00885DE4">
        <w:t xml:space="preserve">Figure </w:t>
      </w:r>
      <w:r w:rsidR="00885DE4">
        <w:rPr>
          <w:noProof/>
        </w:rPr>
        <w:t>6</w:t>
      </w:r>
      <w:r w:rsidR="00885DE4">
        <w:noBreakHyphen/>
      </w:r>
      <w:r w:rsidR="00885DE4">
        <w:rPr>
          <w:noProof/>
        </w:rPr>
        <w:t>4</w:t>
      </w:r>
      <w:r>
        <w:fldChar w:fldCharType="end"/>
      </w:r>
      <w:r>
        <w:t>).</w:t>
      </w:r>
    </w:p>
    <w:p w14:paraId="6AAB8337" w14:textId="77777777" w:rsidR="00E4064F" w:rsidRDefault="00E4064F" w:rsidP="00E4064F">
      <w:r>
        <w:lastRenderedPageBreak/>
        <w:fldChar w:fldCharType="begin"/>
      </w:r>
      <w:r>
        <w:instrText xml:space="preserve"> INCLUDEPICTURE "/var/folders/l6/vys2vd0146s3s10pz21166nr0000gp/T/com.microsoft.Word/WebArchiveCopyPasteTempFiles/000097.png?fixed_size=1" \* MERGEFORMATINET </w:instrText>
      </w:r>
      <w:r>
        <w:fldChar w:fldCharType="separate"/>
      </w:r>
      <w:r>
        <w:rPr>
          <w:noProof/>
        </w:rPr>
        <w:drawing>
          <wp:inline distT="0" distB="0" distL="0" distR="0" wp14:anchorId="1E514B6D" wp14:editId="2FC757BC">
            <wp:extent cx="5727700" cy="2864485"/>
            <wp:effectExtent l="0" t="0" r="0" b="5715"/>
            <wp:docPr id="15" name="Picture 15" descr="/var/folders/l6/vys2vd0146s3s10pz21166nr0000gp/T/com.microsoft.Word/WebArchiveCopyPasteTempFiles/000097.png?fixed_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l6/vys2vd0146s3s10pz21166nr0000gp/T/com.microsoft.Word/WebArchiveCopyPasteTempFiles/000097.png?fixed_size=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7700" cy="2864485"/>
                    </a:xfrm>
                    <a:prstGeom prst="rect">
                      <a:avLst/>
                    </a:prstGeom>
                    <a:noFill/>
                    <a:ln>
                      <a:noFill/>
                    </a:ln>
                  </pic:spPr>
                </pic:pic>
              </a:graphicData>
            </a:graphic>
          </wp:inline>
        </w:drawing>
      </w:r>
      <w:r>
        <w:fldChar w:fldCharType="end"/>
      </w:r>
    </w:p>
    <w:p w14:paraId="50D5BBA2" w14:textId="6E6F9010" w:rsidR="00E4064F" w:rsidRDefault="00E4064F" w:rsidP="00E4064F">
      <w:pPr>
        <w:pStyle w:val="Caption"/>
      </w:pPr>
      <w:bookmarkStart w:id="311" w:name="_Ref9606605"/>
      <w:bookmarkStart w:id="312" w:name="_Toc60597216"/>
      <w:r>
        <w:t xml:space="preserve">Figure </w:t>
      </w:r>
      <w:r w:rsidR="00864CF4">
        <w:fldChar w:fldCharType="begin"/>
      </w:r>
      <w:r w:rsidR="00864CF4">
        <w:instrText xml:space="preserve"> STYLEREF 1 \s </w:instrText>
      </w:r>
      <w:r w:rsidR="00864CF4">
        <w:fldChar w:fldCharType="separate"/>
      </w:r>
      <w:r w:rsidR="00885DE4">
        <w:rPr>
          <w:noProof/>
        </w:rPr>
        <w:t>6</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4</w:t>
      </w:r>
      <w:r w:rsidR="00864CF4">
        <w:fldChar w:fldCharType="end"/>
      </w:r>
      <w:bookmarkEnd w:id="311"/>
      <w:r>
        <w:t xml:space="preserve"> ROC curves for top ROC threshold panel, </w:t>
      </w:r>
      <w:proofErr w:type="spellStart"/>
      <w:r>
        <w:t>Rpart</w:t>
      </w:r>
      <w:proofErr w:type="spellEnd"/>
      <w:r>
        <w:t xml:space="preserve"> model in black, their constituent miRNAs and </w:t>
      </w:r>
      <w:proofErr w:type="spellStart"/>
      <w:r>
        <w:t>NTproBNP</w:t>
      </w:r>
      <w:proofErr w:type="spellEnd"/>
      <w:r>
        <w:t xml:space="preserve"> reference in purple.</w:t>
      </w:r>
      <w:bookmarkEnd w:id="312"/>
    </w:p>
    <w:p w14:paraId="328C09D9" w14:textId="77777777" w:rsidR="00E4064F" w:rsidRDefault="00E4064F" w:rsidP="00E4064F"/>
    <w:p w14:paraId="4162950F" w14:textId="77777777" w:rsidR="00E4064F" w:rsidRPr="0093022B" w:rsidRDefault="00E4064F" w:rsidP="00E4064F"/>
    <w:p w14:paraId="7DFD485F" w14:textId="77777777" w:rsidR="00E4064F" w:rsidRDefault="00E4064F" w:rsidP="00E4064F">
      <w:pPr>
        <w:pStyle w:val="Heading2"/>
        <w:numPr>
          <w:ilvl w:val="1"/>
          <w:numId w:val="7"/>
        </w:numPr>
        <w:spacing w:before="120" w:after="120"/>
      </w:pPr>
      <w:bookmarkStart w:id="313" w:name="_Toc60773958"/>
      <w:r>
        <w:t>Discussion</w:t>
      </w:r>
      <w:bookmarkEnd w:id="313"/>
    </w:p>
    <w:p w14:paraId="78CE623D" w14:textId="7FB2F670" w:rsidR="00E4064F" w:rsidRDefault="00E4064F" w:rsidP="00E4064F">
      <w:pPr>
        <w:pStyle w:val="Body"/>
      </w:pPr>
      <w:r>
        <w:t xml:space="preserve">This chapter has demonstrated methodologies attempting to validate potentially diagnostic miRNAs discovered using an unbiased microarray screen. However, univariate differences between cohorts </w:t>
      </w:r>
      <w:proofErr w:type="gramStart"/>
      <w:r>
        <w:t>was</w:t>
      </w:r>
      <w:proofErr w:type="gramEnd"/>
      <w:r>
        <w:t xml:space="preserve"> only demonstrated with </w:t>
      </w:r>
      <w:r w:rsidRPr="00281C6A">
        <w:t>miR-486-5p</w:t>
      </w:r>
      <w:r>
        <w:t xml:space="preserve">, albeit only in the p-value prior to adjustment for multiple testing. However, </w:t>
      </w:r>
      <w:r w:rsidR="00D2660F">
        <w:t xml:space="preserve">this has the potential to </w:t>
      </w:r>
      <w:r>
        <w:t>become significant with a larger sample size</w:t>
      </w:r>
      <w:r w:rsidRPr="00281C6A">
        <w:t>.</w:t>
      </w:r>
    </w:p>
    <w:p w14:paraId="209BB692" w14:textId="77777777" w:rsidR="00E4064F" w:rsidRPr="0093022B" w:rsidRDefault="00E4064F" w:rsidP="00E4064F"/>
    <w:p w14:paraId="10B7D4FC" w14:textId="77777777" w:rsidR="00E4064F" w:rsidRPr="00803F74" w:rsidRDefault="00E4064F" w:rsidP="00E4064F">
      <w:pPr>
        <w:pStyle w:val="Heading2"/>
        <w:numPr>
          <w:ilvl w:val="2"/>
          <w:numId w:val="7"/>
        </w:numPr>
        <w:spacing w:before="120" w:after="120"/>
      </w:pPr>
      <w:bookmarkStart w:id="314" w:name="_Toc60773959"/>
      <w:r>
        <w:t>Multivariate Biomarkers</w:t>
      </w:r>
      <w:bookmarkEnd w:id="314"/>
      <w:r>
        <w:t xml:space="preserve"> </w:t>
      </w:r>
    </w:p>
    <w:p w14:paraId="46D20FE9" w14:textId="77777777" w:rsidR="006D08A8" w:rsidRDefault="00E4064F" w:rsidP="00E4064F">
      <w:pPr>
        <w:pStyle w:val="Body"/>
      </w:pPr>
      <w:r>
        <w:t>MiRNA-584-5p and miRNA-638 did not demonstrate significant univariate group differences or microarray correlations, however, when combined in a panel with miR-486-5p the 3 miRNAs still demonstrated superior performance to any single miRNA within the panel. Unfortunately, they did not offer any significant benefit to testing NT-</w:t>
      </w:r>
      <w:proofErr w:type="spellStart"/>
      <w:r>
        <w:t>proBNP</w:t>
      </w:r>
      <w:proofErr w:type="spellEnd"/>
      <w:r>
        <w:t xml:space="preserve"> alone, NT-</w:t>
      </w:r>
      <w:proofErr w:type="spellStart"/>
      <w:r>
        <w:t>proBNP</w:t>
      </w:r>
      <w:proofErr w:type="spellEnd"/>
      <w:r>
        <w:t xml:space="preserve"> ROC AUC was 0.85 compared to the panels 0.72. Their additive effect adds to evidence that combining multiple miRNAs is worthwhile strategy. </w:t>
      </w:r>
    </w:p>
    <w:p w14:paraId="77728822" w14:textId="4B07AB54" w:rsidR="00E4064F" w:rsidRDefault="00E4064F" w:rsidP="00E4064F">
      <w:pPr>
        <w:pStyle w:val="Body"/>
        <w:rPr>
          <w:rFonts w:eastAsiaTheme="minorHAnsi"/>
          <w:lang w:val="en-US"/>
        </w:rPr>
      </w:pPr>
      <w:r>
        <w:lastRenderedPageBreak/>
        <w:t xml:space="preserve">Whilst </w:t>
      </w:r>
      <w:r w:rsidR="006D08A8">
        <w:t xml:space="preserve">there </w:t>
      </w:r>
      <w:r>
        <w:t xml:space="preserve">are currently no reports in PAH of combining multiple miRNAs in panel in the literature </w:t>
      </w:r>
      <w:r w:rsidR="00095567">
        <w:rPr>
          <w:rFonts w:eastAsiaTheme="minorHAnsi"/>
          <w:lang w:val="en-US"/>
        </w:rPr>
        <w:fldChar w:fldCharType="begin"/>
      </w:r>
      <w:r w:rsidR="004E19A5">
        <w:rPr>
          <w:rFonts w:eastAsiaTheme="minorHAnsi"/>
          <w:lang w:val="en-US"/>
        </w:rPr>
        <w:instrText xml:space="preserve"> ADDIN PAPERS2_CITATIONS &lt;citation&gt;&lt;priority&gt;89&lt;/priority&gt;&lt;uuid&gt;C6D0B181-A6D5-4EE4-8D02-B40A249B754A&lt;/uuid&gt;&lt;publications&gt;&lt;publication&gt;&lt;subtype&gt;400&lt;/subtype&gt;&lt;title&gt;Clinical diagnostic value of circulating serum miR-509-3p in pulmonary arterial hypertension with congenital heart disease.&lt;/title&gt;&lt;url&gt;http://eutils.ncbi.nlm.nih.gov/entrez/eutils/elink.fcgi?dbfrom=pubmed&amp;amp;id=29890280&amp;amp;retmode=ref&amp;amp;cmd=prlinks&lt;/url&gt;&lt;revision_date&gt;99201804161200000000222000&lt;/revision_date&gt;&lt;publication_date&gt;99201806081200000000222000&lt;/publication_date&gt;&lt;uuid&gt;5C41DD3C-E23C-41F4-8542-1D52030E05F3&lt;/uuid&gt;&lt;type&gt;400&lt;/type&gt;&lt;accepted_date&gt;99201806011200000000222000&lt;/accepted_date&gt;&lt;submission_date&gt;99201802241200000000222000&lt;/submission_date&gt;&lt;doi&gt;10.1016/j.hjc.2018.06.004&lt;/doi&gt;&lt;institution&gt;Department of Cardiovascular Surgery, Liaocheng People's Hospital, Liaocheng 252000, China. Electronic address: tangpzlph@qq.com.&lt;/institution&gt;&lt;bundle&gt;&lt;publication&gt;&lt;title&gt;Hellenic journal of cardiology : HJC = Hellenike kardiologike epitheorese&lt;/title&gt;&lt;uuid&gt;2CD4C33B-7F60-469E-80B7-7A1F996F3824&lt;/uuid&gt;&lt;subtype&gt;-100&lt;/subtype&gt;&lt;type&gt;-100&lt;/type&gt;&lt;/publication&gt;&lt;/bundle&gt;&lt;authors&gt;&lt;author&gt;&lt;lastName&gt;Tang&lt;/lastName&gt;&lt;firstName&gt;Peizhe&lt;/firstName&gt;&lt;/author&gt;&lt;/authors&gt;&lt;/publication&gt;&lt;/publications&gt;&lt;cites&gt;&lt;/cites&gt;&lt;/citation&gt;</w:instrText>
      </w:r>
      <w:r w:rsidR="00095567">
        <w:rPr>
          <w:rFonts w:eastAsiaTheme="minorHAnsi"/>
          <w:lang w:val="en-US"/>
        </w:rPr>
        <w:fldChar w:fldCharType="separate"/>
      </w:r>
      <w:r w:rsidR="00095567">
        <w:rPr>
          <w:rFonts w:eastAsiaTheme="minorEastAsia"/>
          <w:lang w:val="en-US"/>
        </w:rPr>
        <w:t>(Tang, 2018)</w:t>
      </w:r>
      <w:r w:rsidR="00095567">
        <w:rPr>
          <w:rFonts w:eastAsiaTheme="minorHAnsi"/>
          <w:lang w:val="en-US"/>
        </w:rPr>
        <w:fldChar w:fldCharType="end"/>
      </w:r>
      <w:r>
        <w:rPr>
          <w:rFonts w:eastAsiaTheme="minorHAnsi"/>
          <w:lang w:val="en-US"/>
        </w:rPr>
        <w:t xml:space="preserve"> combined a single miRNA with echocardiogram results. In this study miRNA-509-3p had an AUC of 0.69 alone, this increased to 0.84 when used in combination with the echocardiogram.</w:t>
      </w:r>
      <w:r w:rsidR="006D08A8">
        <w:rPr>
          <w:rFonts w:eastAsiaTheme="minorHAnsi"/>
          <w:lang w:val="en-US"/>
        </w:rPr>
        <w:t xml:space="preserve"> </w:t>
      </w:r>
    </w:p>
    <w:p w14:paraId="346715D8" w14:textId="147FD04C" w:rsidR="006D08A8" w:rsidRDefault="006D08A8" w:rsidP="00E4064F">
      <w:pPr>
        <w:pStyle w:val="Body"/>
        <w:rPr>
          <w:rFonts w:eastAsiaTheme="minorHAnsi"/>
          <w:lang w:val="en-US"/>
        </w:rPr>
      </w:pPr>
    </w:p>
    <w:p w14:paraId="48296C1D" w14:textId="59AD9A8F" w:rsidR="003D3E59" w:rsidRPr="00803F74" w:rsidRDefault="003D3E59" w:rsidP="003D3E59">
      <w:pPr>
        <w:pStyle w:val="Heading2"/>
        <w:numPr>
          <w:ilvl w:val="2"/>
          <w:numId w:val="7"/>
        </w:numPr>
        <w:spacing w:before="120" w:after="120"/>
      </w:pPr>
      <w:bookmarkStart w:id="315" w:name="_Ref54981949"/>
      <w:bookmarkStart w:id="316" w:name="_Toc60773960"/>
      <w:r>
        <w:t>miRNA-486-5p</w:t>
      </w:r>
      <w:bookmarkEnd w:id="315"/>
      <w:bookmarkEnd w:id="316"/>
    </w:p>
    <w:p w14:paraId="1B4D68D4" w14:textId="0836FA95" w:rsidR="00450AA0" w:rsidRDefault="008E4886" w:rsidP="00B47337">
      <w:pPr>
        <w:pStyle w:val="Body"/>
      </w:pPr>
      <w:r>
        <w:t xml:space="preserve">MiRNA-486-5p showed the </w:t>
      </w:r>
      <w:r w:rsidR="0076029D">
        <w:t>most promising profile</w:t>
      </w:r>
      <w:r w:rsidR="002901BB">
        <w:t xml:space="preserve"> in qPCR validation, </w:t>
      </w:r>
      <w:r w:rsidR="00B47337">
        <w:t xml:space="preserve">however, </w:t>
      </w:r>
      <w:r w:rsidR="0063299C">
        <w:t>no</w:t>
      </w:r>
      <w:r w:rsidR="003D0047">
        <w:t xml:space="preserve"> reports of miR-486-5p in PAH</w:t>
      </w:r>
      <w:r w:rsidR="00B47337">
        <w:t xml:space="preserve"> or </w:t>
      </w:r>
      <w:proofErr w:type="spellStart"/>
      <w:r w:rsidR="00B47337">
        <w:t>SSc</w:t>
      </w:r>
      <w:proofErr w:type="spellEnd"/>
      <w:r w:rsidR="003D0047">
        <w:t xml:space="preserve"> </w:t>
      </w:r>
      <w:r w:rsidR="00B47337">
        <w:t xml:space="preserve">literature </w:t>
      </w:r>
      <w:r w:rsidR="003D0047">
        <w:t>were identified</w:t>
      </w:r>
      <w:r w:rsidR="00B47337">
        <w:t>.</w:t>
      </w:r>
      <w:r w:rsidR="003D0047">
        <w:t xml:space="preserve"> </w:t>
      </w:r>
      <w:r w:rsidR="00B47337">
        <w:t>H</w:t>
      </w:r>
      <w:r w:rsidR="003D0047">
        <w:t xml:space="preserve">owever, there </w:t>
      </w:r>
      <w:r w:rsidR="00B47337">
        <w:t xml:space="preserve">are reports </w:t>
      </w:r>
      <w:r w:rsidR="003D0047">
        <w:t xml:space="preserve">in </w:t>
      </w:r>
      <w:r w:rsidR="00B47337">
        <w:t>pulmonary fibrosis and lung cancer</w:t>
      </w:r>
      <w:r w:rsidR="00A67088">
        <w:t xml:space="preserve"> diseases areas close to aspects of PAH</w:t>
      </w:r>
      <w:r w:rsidR="003D0047">
        <w:t>.</w:t>
      </w:r>
      <w:r w:rsidR="00A67088">
        <w:t xml:space="preserve"> </w:t>
      </w:r>
      <w:r w:rsidR="002D20AF">
        <w:t>However, there have also been associations of this miRNA with platelets.</w:t>
      </w:r>
    </w:p>
    <w:p w14:paraId="57992861" w14:textId="77777777" w:rsidR="00450AA0" w:rsidRDefault="00450AA0" w:rsidP="00450AA0">
      <w:pPr>
        <w:pStyle w:val="Body"/>
        <w:rPr>
          <w:rFonts w:eastAsiaTheme="minorHAnsi"/>
          <w:lang w:val="en-US"/>
        </w:rPr>
      </w:pPr>
    </w:p>
    <w:p w14:paraId="41135A0B" w14:textId="2D0B764A" w:rsidR="00450AA0" w:rsidRDefault="00450AA0" w:rsidP="00B47337">
      <w:pPr>
        <w:pStyle w:val="Heading2"/>
        <w:numPr>
          <w:ilvl w:val="2"/>
          <w:numId w:val="7"/>
        </w:numPr>
        <w:spacing w:before="120" w:after="120"/>
      </w:pPr>
      <w:bookmarkStart w:id="317" w:name="_Toc60773961"/>
      <w:r>
        <w:t xml:space="preserve">miRNA-486-5p in </w:t>
      </w:r>
      <w:r w:rsidR="00EC67A9">
        <w:t>Platelets</w:t>
      </w:r>
      <w:bookmarkEnd w:id="317"/>
    </w:p>
    <w:p w14:paraId="7C274CAE" w14:textId="77777777" w:rsidR="004F6C83" w:rsidRDefault="00450AA0" w:rsidP="00B47337">
      <w:pPr>
        <w:pStyle w:val="Body"/>
      </w:pPr>
      <w:r>
        <w:t>4 publications mentioned platelets and expression of miR-486-5p</w:t>
      </w:r>
      <w:r w:rsidR="000C0E41">
        <w:t xml:space="preserve">, of these </w:t>
      </w:r>
      <w:r w:rsidR="00F06F79">
        <w:t>2</w:t>
      </w:r>
      <w:r w:rsidR="000C0E41">
        <w:t xml:space="preserve"> publication</w:t>
      </w:r>
      <w:r w:rsidR="00F06F79">
        <w:t>s</w:t>
      </w:r>
      <w:r w:rsidR="000C0E41">
        <w:t xml:space="preserve"> specifically identified</w:t>
      </w:r>
      <w:r w:rsidR="004F6C83">
        <w:t xml:space="preserve"> platelet derived</w:t>
      </w:r>
      <w:r w:rsidR="000C0E41">
        <w:t xml:space="preserve"> miR-486-5p</w:t>
      </w:r>
      <w:r w:rsidR="004F6C83">
        <w:t>.</w:t>
      </w:r>
      <w:r w:rsidR="000C0E41">
        <w:t xml:space="preserve"> </w:t>
      </w:r>
    </w:p>
    <w:p w14:paraId="4C3875A1" w14:textId="44B0D389" w:rsidR="004F6C83" w:rsidRDefault="000C0E41" w:rsidP="00B47337">
      <w:pPr>
        <w:pStyle w:val="Body"/>
      </w:pPr>
      <w:r>
        <w:t>Platelet</w:t>
      </w:r>
      <w:r w:rsidR="004F6C83">
        <w:t xml:space="preserve"> extracellular vesicles</w:t>
      </w:r>
      <w:r>
        <w:t xml:space="preserve"> from </w:t>
      </w:r>
      <w:r w:rsidR="004F6C83">
        <w:t xml:space="preserve">stored </w:t>
      </w:r>
      <w:r>
        <w:t>healthy donors</w:t>
      </w:r>
      <w:r w:rsidR="004F6C83">
        <w:t xml:space="preserve"> </w:t>
      </w:r>
      <w:r w:rsidR="002D20AF">
        <w:t>platelets</w:t>
      </w:r>
      <w:r>
        <w:t xml:space="preserve"> were found to have in increase</w:t>
      </w:r>
      <w:r w:rsidR="0041792A">
        <w:t>d miR-486-5p expression following 5</w:t>
      </w:r>
      <w:r w:rsidR="004F6C83">
        <w:t xml:space="preserve"> </w:t>
      </w:r>
      <w:r w:rsidR="0041792A">
        <w:t>days under standard blood banking conditions</w:t>
      </w:r>
      <w:r w:rsidR="004F6C83" w:rsidRPr="004F6C83">
        <w:rPr>
          <w:rFonts w:eastAsiaTheme="minorEastAsia"/>
        </w:rPr>
        <w:t xml:space="preserve"> </w:t>
      </w:r>
      <w:r w:rsidR="004E19A5">
        <w:rPr>
          <w:rFonts w:eastAsiaTheme="minorEastAsia"/>
        </w:rPr>
        <w:fldChar w:fldCharType="begin"/>
      </w:r>
      <w:r w:rsidR="004E19A5">
        <w:rPr>
          <w:rFonts w:eastAsiaTheme="minorEastAsia"/>
        </w:rPr>
        <w:instrText xml:space="preserve"> ADDIN PAPERS2_CITATIONS &lt;citation&gt;&lt;priority&gt;123&lt;/priority&gt;&lt;uuid&gt;A5D470BC-01FD-466F-A5BF-A06D4AC895F6&lt;/uuid&gt;&lt;publications&gt;&lt;publication&gt;&lt;subtype&gt;400&lt;/subtype&gt;&lt;publisher&gt;Transfusion&lt;/publisher&gt;&lt;title&gt;Transcriptomic profiling of platelet senescence and platelet extracellular vesicles&lt;/title&gt;&lt;url&gt;https://onlinelibrary.wiley.com/doi/abs/10.1111/trf.13896&lt;/url&gt;&lt;volume&gt;57&lt;/volume&gt;&lt;revision_date&gt;99201607091200000000222000&lt;/revision_date&gt;&lt;publication_date&gt;99201701011200000000222000&lt;/publication_date&gt;&lt;uuid&gt;740527DF-61D9-4ABE-91EB-06ABE7A67481&lt;/uuid&gt;&lt;type&gt;400&lt;/type&gt;&lt;accepted_date&gt;99201607171200000000222000&lt;/accepted_date&gt;&lt;number&gt;1&lt;/number&gt;&lt;submission_date&gt;99201512051200000000222000&lt;/submission_date&gt;&lt;doi&gt;10.1111/trf.13896&lt;/doi&gt;&lt;institution&gt;Institute for Clinical Chemistry and Laboratory Medicine, University Clinic of Regensburg.&lt;/institution&gt;&lt;startpage&gt;144&lt;/startpage&gt;&lt;endpage&gt;156&lt;/endpage&gt;&lt;bundle&gt;&lt;publication&gt;&lt;title&gt;Transfusion&lt;/title&gt;&lt;uuid&gt;4796532A-FCE7-4E31-A6EB-90FAF510B450&lt;/uuid&gt;&lt;subtype&gt;-100&lt;/subtype&gt;&lt;type&gt;-100&lt;/type&gt;&lt;/publication&gt;&lt;/bundle&gt;&lt;authors&gt;&lt;author&gt;&lt;lastName&gt;A&lt;/lastName&gt;&lt;firstName&gt;Pienimaeki-Roemer&lt;/firstName&gt;&lt;/author&gt;&lt;author&gt;&lt;lastName&gt;T&lt;/lastName&gt;&lt;firstName&gt;Konovalova&lt;/firstName&gt;&lt;/author&gt;&lt;author&gt;&lt;lastName&gt;MM&lt;/lastName&gt;&lt;firstName&gt;Musri&lt;/firstName&gt;&lt;/author&gt;&lt;author&gt;&lt;lastName&gt;A&lt;/lastName&gt;&lt;firstName&gt;Sigruener&lt;/firstName&gt;&lt;/author&gt;&lt;author&gt;&lt;lastName&gt;A&lt;/lastName&gt;&lt;firstName&gt;Boettcher&lt;/firstName&gt;&lt;/author&gt;&lt;author&gt;&lt;lastName&gt;G&lt;/lastName&gt;&lt;firstName&gt;Meister&lt;/firstName&gt;&lt;/author&gt;&lt;author&gt;&lt;lastName&gt;G&lt;/lastName&gt;&lt;firstName&gt;Schmitz&lt;/firstName&gt;&lt;/author&gt;&lt;/authors&gt;&lt;/publication&gt;&lt;/publications&gt;&lt;cites&gt;&lt;/cites&gt;&lt;/citation&gt;</w:instrText>
      </w:r>
      <w:r w:rsidR="004E19A5">
        <w:rPr>
          <w:rFonts w:eastAsiaTheme="minorEastAsia"/>
        </w:rPr>
        <w:fldChar w:fldCharType="separate"/>
      </w:r>
      <w:r w:rsidR="004E19A5">
        <w:rPr>
          <w:rFonts w:eastAsiaTheme="minorEastAsia"/>
        </w:rPr>
        <w:t>(P.-R. A et al., 2017b)</w:t>
      </w:r>
      <w:r w:rsidR="004E19A5">
        <w:rPr>
          <w:rFonts w:eastAsiaTheme="minorEastAsia"/>
        </w:rPr>
        <w:fldChar w:fldCharType="end"/>
      </w:r>
      <w:r w:rsidR="004F6C83">
        <w:t>.</w:t>
      </w:r>
      <w:r w:rsidR="004F6C83" w:rsidRPr="004F6C83">
        <w:t xml:space="preserve"> </w:t>
      </w:r>
      <w:r w:rsidR="004F6C83">
        <w:t xml:space="preserve">Additionally, </w:t>
      </w:r>
      <w:proofErr w:type="spellStart"/>
      <w:r w:rsidR="004F6C83">
        <w:t>Maues</w:t>
      </w:r>
      <w:proofErr w:type="spellEnd"/>
      <w:r w:rsidR="004F6C83">
        <w:t xml:space="preserve"> et al., found reduced miR-486-5p in platelets following storage </w:t>
      </w:r>
      <w:r w:rsidR="004E19A5">
        <w:rPr>
          <w:rFonts w:eastAsiaTheme="minorEastAsia"/>
        </w:rPr>
        <w:fldChar w:fldCharType="begin"/>
      </w:r>
      <w:r w:rsidR="004E19A5">
        <w:rPr>
          <w:rFonts w:eastAsiaTheme="minorEastAsia"/>
        </w:rPr>
        <w:instrText xml:space="preserve"> ADDIN PAPERS2_CITATIONS &lt;citation&gt;&lt;priority&gt;124&lt;/priority&gt;&lt;uuid&gt;FE00989D-5D96-444A-9EED-FF51D2C94F73&lt;/uuid&gt;&lt;publications&gt;&lt;publication&gt;&lt;subtype&gt;400&lt;/subtype&gt;&lt;title&gt;Computational Identification and Characterization of New microRNAs in Human Platelets Stored in a Blood Bank&lt;/title&gt;&lt;url&gt;https://www.mdpi.com/2218-273X/10/8/1173&lt;/url&gt;&lt;volume&gt;10&lt;/volume&gt;&lt;publication_date&gt;99202008001200000000220000&lt;/publication_date&gt;&lt;uuid&gt;DEA2183A-39CA-4272-85B6-B3E72C8E4B6B&lt;/uuid&gt;&lt;type&gt;400&lt;/type&gt;&lt;number&gt;8&lt;/number&gt;&lt;doi&gt;10.3390/biom10081173&lt;/doi&gt;&lt;startpage&gt;1173&lt;/startpage&gt;&lt;bundle&gt;&lt;publication&gt;&lt;title&gt;Biomolecules&lt;/title&gt;&lt;uuid&gt;D969103A-576A-4E88-8263-6AEFBA67E099&lt;/uuid&gt;&lt;subtype&gt;-100&lt;/subtype&gt;&lt;type&gt;-100&lt;/type&gt;&lt;/publication&gt;&lt;/bundle&gt;&lt;authors&gt;&lt;author&gt;&lt;lastName&gt;Maués&lt;/lastName&gt;&lt;firstName&gt;Jersey&lt;/firstName&gt;&lt;middleNames&gt;Heitor da Silva&lt;/middleNames&gt;&lt;/author&gt;&lt;author&gt;&lt;lastName&gt;Moreira-Nunes&lt;/lastName&gt;&lt;firstName&gt;Caroline&lt;/firstName&gt;&lt;middleNames&gt;de Fátima Aquino&lt;/middleNames&gt;&lt;/author&gt;&lt;author&gt;&lt;lastName&gt;Burbano&lt;/lastName&gt;&lt;firstName&gt;Rommel&lt;/firstName&gt;&lt;middleNames&gt;Mário Rodriguez&lt;/middleNames&gt;&lt;/author&gt;&lt;/authors&gt;&lt;/publication&gt;&lt;/publications&gt;&lt;cites&gt;&lt;/cites&gt;&lt;/citation&gt;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Maués</w:t>
      </w:r>
      <w:proofErr w:type="spellEnd"/>
      <w:r w:rsidR="004E19A5">
        <w:rPr>
          <w:rFonts w:eastAsiaTheme="minorEastAsia"/>
        </w:rPr>
        <w:t xml:space="preserve">, Moreira-Nunes, &amp; </w:t>
      </w:r>
      <w:proofErr w:type="spellStart"/>
      <w:r w:rsidR="004E19A5">
        <w:rPr>
          <w:rFonts w:eastAsiaTheme="minorEastAsia"/>
        </w:rPr>
        <w:t>Burbano</w:t>
      </w:r>
      <w:proofErr w:type="spellEnd"/>
      <w:r w:rsidR="004E19A5">
        <w:rPr>
          <w:rFonts w:eastAsiaTheme="minorEastAsia"/>
        </w:rPr>
        <w:t>, 2020)</w:t>
      </w:r>
      <w:r w:rsidR="004E19A5">
        <w:rPr>
          <w:rFonts w:eastAsiaTheme="minorEastAsia"/>
        </w:rPr>
        <w:fldChar w:fldCharType="end"/>
      </w:r>
      <w:r w:rsidR="004F6C83">
        <w:t>. Together, this work is suggestive of miR-486-5p being released from platelets in storage. However, the protocol for sample preparation in STH-</w:t>
      </w:r>
      <w:proofErr w:type="spellStart"/>
      <w:r w:rsidR="004F6C83">
        <w:t>Obs</w:t>
      </w:r>
      <w:proofErr w:type="spellEnd"/>
      <w:r w:rsidR="004F6C83">
        <w:t xml:space="preserve"> is to immediately centrifuge the collection tubes following phlebotomy. </w:t>
      </w:r>
      <w:r w:rsidR="007560E2">
        <w:t>This time scale is far smaller than the 5 days used in both studies, reducing the risk of extracellular vesicles contamination the plasma sample. However, checking for any correlation with platelet count would be preferable.</w:t>
      </w:r>
    </w:p>
    <w:p w14:paraId="15C3D3DA" w14:textId="77777777" w:rsidR="00F06F79" w:rsidRDefault="00F06F79" w:rsidP="00B47337">
      <w:pPr>
        <w:pStyle w:val="Body"/>
      </w:pPr>
    </w:p>
    <w:p w14:paraId="22FD33D8" w14:textId="77777777" w:rsidR="00131650" w:rsidRDefault="00131650" w:rsidP="00B47337">
      <w:pPr>
        <w:pStyle w:val="Body"/>
      </w:pPr>
    </w:p>
    <w:p w14:paraId="1E9FE0DD" w14:textId="1F7117BF" w:rsidR="003D0047" w:rsidRDefault="00131650" w:rsidP="00131650">
      <w:pPr>
        <w:pStyle w:val="Heading2"/>
        <w:numPr>
          <w:ilvl w:val="3"/>
          <w:numId w:val="7"/>
        </w:numPr>
        <w:spacing w:before="120" w:after="120"/>
      </w:pPr>
      <w:bookmarkStart w:id="318" w:name="_Toc60773962"/>
      <w:r>
        <w:t>miRNA-486-5p in Pulmonary Fibrosis</w:t>
      </w:r>
      <w:bookmarkEnd w:id="318"/>
    </w:p>
    <w:p w14:paraId="50A8B92D" w14:textId="63B6698B" w:rsidR="00131650" w:rsidRDefault="00A67088" w:rsidP="00651B55">
      <w:pPr>
        <w:pStyle w:val="Body"/>
      </w:pPr>
      <w:r>
        <w:t>Fibrosis in the lungs is a hallmark of systemic sclerosis</w:t>
      </w:r>
      <w:r w:rsidR="0079431E">
        <w:t xml:space="preserve">, </w:t>
      </w:r>
      <w:proofErr w:type="spellStart"/>
      <w:r>
        <w:t>Xioming</w:t>
      </w:r>
      <w:proofErr w:type="spellEnd"/>
      <w:r>
        <w:t xml:space="preserve"> et al, </w:t>
      </w:r>
      <w:r w:rsidR="0079431E">
        <w:t>found miR-486-5p expression reduced in animal models of lung fibrosis and humans with silicosis and idiopathic pulmonary fibrosis</w:t>
      </w:r>
      <w:r w:rsidR="00546AEF">
        <w:t xml:space="preserve"> </w:t>
      </w:r>
      <w:r w:rsidR="004E19A5">
        <w:rPr>
          <w:rFonts w:eastAsiaTheme="minorEastAsia"/>
        </w:rPr>
        <w:fldChar w:fldCharType="begin"/>
      </w:r>
      <w:r w:rsidR="004E19A5">
        <w:rPr>
          <w:rFonts w:eastAsiaTheme="minorEastAsia"/>
        </w:rPr>
        <w:instrText xml:space="preserve"> ADDIN PAPERS2_CITATIONS &lt;citation&gt;&lt;priority&gt;125&lt;/priority&gt;&lt;uuid&gt;DA9593D6-2607-4BAB-9022-703697772778&lt;/uuid&gt;&lt;publications&gt;&lt;publication&gt;&lt;subtype&gt;400&lt;/subtype&gt;&lt;title&gt;The Anti-fibrotic Effects and Mechanisms of MicroRNA-486-5p in Pulmonary Fibrosis&lt;/title&gt;&lt;url&gt;http://www.nature.com/articles/srep14131&lt;/url&gt;&lt;volume&gt;5&lt;/volume&gt;&lt;publication_date&gt;99201509151200000000222000&lt;/publication_date&gt;&lt;uuid&gt;7C762A3C-DAE8-4CC3-929F-3255F3F806C9&lt;/uuid&gt;&lt;type&gt;400&lt;/type&gt;&lt;number&gt;1&lt;/number&gt;&lt;citekey&gt;Ji:2015hx&lt;/citekey&gt;&lt;doi&gt;10.1038/srep14131&lt;/doi&gt;&lt;startpage&gt;394&lt;/startpage&gt;&lt;bundle&gt;&lt;publication&gt;&lt;title&gt;Scientific Reports&lt;/title&gt;&lt;uuid&gt;809338AD-D3BD-4569-B598-17E86AA4A45B&lt;/uuid&gt;&lt;subtype&gt;-100&lt;/subtype&gt;&lt;publisher&gt;Nature Publishing Group&lt;/publisher&gt;&lt;type&gt;-100&lt;/type&gt;&lt;url&gt;http://www.nature.com&lt;/url&gt;&lt;/publication&gt;&lt;/bundle&gt;&lt;authors&gt;&lt;author&gt;&lt;lastName&gt;Ji&lt;/lastName&gt;&lt;firstName&gt;Xiaoming&lt;/firstName&gt;&lt;/author&gt;&lt;author&gt;&lt;lastName&gt;Wu&lt;/lastName&gt;&lt;firstName&gt;Baiqun&lt;/firstName&gt;&lt;/author&gt;&lt;author&gt;&lt;lastName&gt;Fan&lt;/lastName&gt;&lt;firstName&gt;Jingjing&lt;/firstName&gt;&lt;/author&gt;&lt;author&gt;&lt;lastName&gt;Han&lt;/lastName&gt;&lt;firstName&gt;Ruhui&lt;/firstName&gt;&lt;/author&gt;&lt;author&gt;&lt;lastName&gt;Luo&lt;/lastName&gt;&lt;firstName&gt;Chen&lt;/firstName&gt;&lt;/author&gt;&lt;author&gt;&lt;lastName&gt;Wang&lt;/lastName&gt;&lt;firstName&gt;Ting&lt;/firstName&gt;&lt;/author&gt;&lt;author&gt;&lt;lastName&gt;Yang&lt;/lastName&gt;&lt;firstName&gt;Jingjin&lt;/firstName&gt;&lt;/author&gt;&lt;author&gt;&lt;lastName&gt;Han&lt;/lastName&gt;&lt;firstName&gt;Lei&lt;/firstName&gt;&lt;/author&gt;&lt;author&gt;&lt;lastName&gt;Zhu&lt;/lastName&gt;&lt;firstName&gt;Baoli&lt;/firstName&gt;&lt;/author&gt;&lt;author&gt;&lt;lastName&gt;Wei&lt;/lastName&gt;&lt;firstName&gt;Dong&lt;/firstName&gt;&lt;/author&gt;&lt;author&gt;&lt;lastName&gt;Chen&lt;/lastName&gt;&lt;firstName&gt;Jingyu&lt;/firstName&gt;&lt;/author&gt;&lt;author&gt;&lt;lastName&gt;Ni&lt;/lastName&gt;&lt;firstName&gt;Chunhui&lt;/firstName&gt;&lt;/author&gt;&lt;/authors&gt;&lt;/publication&gt;&lt;/publications&gt;&lt;cites&gt;&lt;/cites&gt;&lt;/citation&gt;</w:instrText>
      </w:r>
      <w:r w:rsidR="004E19A5">
        <w:rPr>
          <w:rFonts w:eastAsiaTheme="minorEastAsia"/>
        </w:rPr>
        <w:fldChar w:fldCharType="separate"/>
      </w:r>
      <w:r w:rsidR="004E19A5">
        <w:rPr>
          <w:rFonts w:eastAsiaTheme="minorEastAsia"/>
        </w:rPr>
        <w:t>(Ji et al., 2015)</w:t>
      </w:r>
      <w:r w:rsidR="004E19A5">
        <w:rPr>
          <w:rFonts w:eastAsiaTheme="minorEastAsia"/>
        </w:rPr>
        <w:fldChar w:fldCharType="end"/>
      </w:r>
      <w:r w:rsidR="0079431E">
        <w:t>.</w:t>
      </w:r>
      <w:r w:rsidR="00546AEF">
        <w:t xml:space="preserve"> In patients the reduction was seen within both serum and lung tissue samples.</w:t>
      </w:r>
      <w:r w:rsidR="00334333">
        <w:t xml:space="preserve"> They went on to identify that over expression in the mouse model reduced lung fibrosis</w:t>
      </w:r>
      <w:r w:rsidR="001C0772">
        <w:t>.</w:t>
      </w:r>
      <w:r w:rsidR="00646261">
        <w:t xml:space="preserve"> </w:t>
      </w:r>
    </w:p>
    <w:p w14:paraId="18B386B0" w14:textId="77777777" w:rsidR="00646261" w:rsidRDefault="00646261" w:rsidP="00651B55">
      <w:pPr>
        <w:pStyle w:val="Body"/>
      </w:pPr>
    </w:p>
    <w:p w14:paraId="0ED6EBD1" w14:textId="0C728262" w:rsidR="00646261" w:rsidRDefault="00646261" w:rsidP="00C775A8">
      <w:pPr>
        <w:pStyle w:val="Heading2"/>
        <w:numPr>
          <w:ilvl w:val="3"/>
          <w:numId w:val="7"/>
        </w:numPr>
        <w:spacing w:before="120" w:after="120"/>
      </w:pPr>
      <w:bookmarkStart w:id="319" w:name="_Toc60773963"/>
      <w:r>
        <w:t>miRNA-486-5p in Lung Cancer</w:t>
      </w:r>
      <w:bookmarkEnd w:id="319"/>
    </w:p>
    <w:p w14:paraId="470CADE2" w14:textId="50B06480" w:rsidR="00131650" w:rsidRDefault="007205D2" w:rsidP="00E81D0B">
      <w:pPr>
        <w:pStyle w:val="Body"/>
      </w:pPr>
      <w:r>
        <w:t>E</w:t>
      </w:r>
      <w:r w:rsidR="00E81D0B">
        <w:t xml:space="preserve">xpression of miR-486-5p was found to be significantly reduced in lung squamous cell carcinoma </w:t>
      </w:r>
      <w:r w:rsidR="004E19A5">
        <w:rPr>
          <w:rFonts w:eastAsiaTheme="minorEastAsia"/>
        </w:rPr>
        <w:fldChar w:fldCharType="begin"/>
      </w:r>
      <w:r w:rsidR="004E19A5">
        <w:rPr>
          <w:rFonts w:eastAsiaTheme="minorEastAsia"/>
        </w:rPr>
        <w:instrText xml:space="preserve"> ADDIN PAPERS2_CITATIONS &lt;citation&gt;&lt;priority&gt;126&lt;/priority&gt;&lt;uuid&gt;C9A6DD03-03E4-48FA-8BFD-7FFF9A6A1038&lt;/uuid&gt;&lt;publications&gt;&lt;publication&gt;&lt;subtype&gt;400&lt;/subtype&gt;&lt;title&gt;Expression of miR</w:instrText>
      </w:r>
      <w:r w:rsidR="004E19A5">
        <w:rPr>
          <w:rFonts w:eastAsiaTheme="minorEastAsia" w:hint="eastAsia"/>
        </w:rPr>
        <w:instrText>‐</w:instrText>
      </w:r>
      <w:r w:rsidR="004E19A5">
        <w:rPr>
          <w:rFonts w:eastAsiaTheme="minorEastAsia"/>
        </w:rPr>
        <w:instrText>486</w:instrText>
      </w:r>
      <w:r w:rsidR="004E19A5">
        <w:rPr>
          <w:rFonts w:eastAsiaTheme="minorEastAsia" w:hint="eastAsia"/>
        </w:rPr>
        <w:instrText>‐</w:instrText>
      </w:r>
      <w:r w:rsidR="004E19A5">
        <w:rPr>
          <w:rFonts w:eastAsiaTheme="minorEastAsia"/>
        </w:rPr>
        <w:instrText>5p and its signiﬁcance in lung squamous cell carcinoma&lt;/title&gt;&lt;url&gt;https://onlinelibrary.wiley.com/doi/abs/10.1002/jcb.28665&lt;/url&gt;&lt;volume&gt;120&lt;/volume&gt;&lt;publication_date&gt;99201904021200000000222000&lt;/publication_date&gt;&lt;uuid&gt;A3550873-463C-4E50-99DE-80E83532BC00&lt;/uuid&gt;&lt;type&gt;400&lt;/type&gt;&lt;number&gt;8&lt;/number&gt;&lt;doi&gt;10.1002/jcb.28665&lt;/doi&gt;&lt;startpage&gt;13912&lt;/startpage&gt;&lt;endpage&gt;13923&lt;/endpage&gt;&lt;bundle&gt;&lt;publication&gt;&lt;title&gt;Journal of Cellular Biochemistry&lt;/title&gt;&lt;uuid&gt;E52FED74-B53A-4D11-9454-98F01DBA67B0&lt;/uuid&gt;&lt;subtype&gt;-100&lt;/subtype&gt;&lt;type&gt;-100&lt;/type&gt;&lt;/publication&gt;&lt;/bundle&gt;&lt;authors&gt;&lt;author&gt;&lt;lastName&gt;Yang&lt;/lastName&gt;&lt;firstName&gt;Sheng&lt;/firstName&gt;&lt;/author&gt;&lt;author&gt;&lt;lastName&gt;Sui&lt;/lastName&gt;&lt;firstName&gt;Jing&lt;/firstName&gt;&lt;/author&gt;&lt;author&gt;&lt;lastName&gt;Liu&lt;/lastName&gt;&lt;firstName&gt;Tong&lt;/firstName&gt;&lt;/author&gt;&lt;author&gt;&lt;lastName&gt;Wu&lt;/lastName&gt;&lt;firstName&gt;Wenjuan&lt;/firstName&gt;&lt;/author&gt;&lt;author&gt;&lt;lastName&gt;Xu&lt;/lastName&gt;&lt;firstName&gt;Siyi&lt;/firstName&gt;&lt;/author&gt;&lt;author&gt;&lt;lastName&gt;Yin&lt;/lastName&gt;&lt;firstName&gt;Lihong&lt;/firstName&gt;&lt;/author&gt;&lt;author&gt;&lt;lastName&gt;Pu&lt;/lastName&gt;&lt;firstName&gt;Yuepu&lt;/firstName&gt;&lt;/author&gt;&lt;author&gt;&lt;lastName&gt;Zhang&lt;/lastName&gt;&lt;firstName&gt;Xiaomei&lt;/firstName&gt;&lt;/author&gt;&lt;author&gt;&lt;lastName&gt;Zhang&lt;/lastName&gt;&lt;firstName&gt;Yan&lt;/firstName&gt;&lt;/author&gt;&lt;author&gt;&lt;lastName&gt;Shen&lt;/lastName&gt;&lt;firstName&gt;Bo&lt;/firstName&gt;&lt;/author&gt;&lt;author&gt;&lt;lastName&gt;Liang&lt;/lastName&gt;&lt;firstName&gt;Geyu&lt;/firstName&gt;&lt;/author&gt;&lt;/authors&gt;&lt;/publication&gt;&lt;/publications&gt;&lt;cites&gt;&lt;/cites&gt;&lt;/citation&gt;</w:instrText>
      </w:r>
      <w:r w:rsidR="004E19A5">
        <w:rPr>
          <w:rFonts w:eastAsiaTheme="minorEastAsia"/>
        </w:rPr>
        <w:fldChar w:fldCharType="separate"/>
      </w:r>
      <w:r w:rsidR="004E19A5">
        <w:rPr>
          <w:rFonts w:eastAsiaTheme="minorEastAsia"/>
        </w:rPr>
        <w:t>(Yang et al., 2019)</w:t>
      </w:r>
      <w:r w:rsidR="004E19A5">
        <w:rPr>
          <w:rFonts w:eastAsiaTheme="minorEastAsia"/>
        </w:rPr>
        <w:fldChar w:fldCharType="end"/>
      </w:r>
      <w:r w:rsidR="00FF773C">
        <w:rPr>
          <w:rFonts w:eastAsiaTheme="minorEastAsia"/>
        </w:rPr>
        <w:t xml:space="preserve"> and non-small cell lung cancer </w:t>
      </w:r>
      <w:r w:rsidR="004E19A5">
        <w:rPr>
          <w:rFonts w:eastAsiaTheme="minorEastAsia"/>
        </w:rPr>
        <w:fldChar w:fldCharType="begin"/>
      </w:r>
      <w:r w:rsidR="004E19A5">
        <w:rPr>
          <w:rFonts w:eastAsiaTheme="minorEastAsia"/>
        </w:rPr>
        <w:instrText xml:space="preserve"> ADDIN PAPERS2_CITATIONS &lt;citation&gt;&lt;priority&gt;127&lt;/priority&gt;&lt;uuid&gt;6BBBEFB6-C622-4675-A22A-ACA9F527C8A8&lt;/uuid&gt;&lt;publications&gt;&lt;publication&gt;&lt;subtype&gt;400&lt;/subtype&gt;&lt;title&gt;MiR-486-5p Serves as a Good Biomarker in Nonsmall Cell Lung Cancer and Suppresses Cell Growth With the Involvement of a Target PIK3R1&lt;/title&gt;&lt;url&gt;https://www.frontiersin.org/article/10.3389/fgene.2019.00688/full&lt;/url&gt;&lt;volume&gt;10&lt;/volume&gt;&lt;publication_date&gt;99201907261200000000222000&lt;/publication_date&gt;&lt;uuid&gt;E645D3EB-98A7-4DE6-A6FC-D6E2A2647F89&lt;/uuid&gt;&lt;type&gt;400&lt;/type&gt;&lt;doi&gt;10.3389/fgene.2019.00688&lt;/doi&gt;&lt;startpage&gt;673&lt;/startpage&gt;&lt;bundle&gt;&lt;publication&gt;&lt;title&gt;Frontiers in Genetics&lt;/title&gt;&lt;uuid&gt;84C483E2-601D-4D1E-B086-4C697D67E22D&lt;/uuid&gt;&lt;subtype&gt;-100&lt;/subtype&gt;&lt;publisher&gt;Frontiers Media SA&lt;/publisher&gt;&lt;type&gt;-100&lt;/type&gt;&lt;/publication&gt;&lt;/bundle&gt;&lt;authors&gt;&lt;author&gt;&lt;lastName&gt;Tian&lt;/lastName&gt;&lt;firstName&gt;Fei&lt;/firstName&gt;&lt;/author&gt;&lt;author&gt;&lt;lastName&gt;Wang&lt;/lastName&gt;&lt;firstName&gt;Jun&lt;/firstName&gt;&lt;/author&gt;&lt;author&gt;&lt;lastName&gt;Ouyang&lt;/lastName&gt;&lt;firstName&gt;Tinglan&lt;/firstName&gt;&lt;/author&gt;&lt;author&gt;&lt;lastName&gt;Lu&lt;/lastName&gt;&lt;firstName&gt;Na&lt;/firstName&gt;&lt;/author&gt;&lt;author&gt;&lt;lastName&gt;Lu&lt;/lastName&gt;&lt;firstName&gt;Jiafeng&lt;/firstName&gt;&lt;/author&gt;&lt;author&gt;&lt;lastName&gt;Shen&lt;/lastName&gt;&lt;firstName&gt;Yanting&lt;/firstName&gt;&lt;/author&gt;&lt;author&gt;&lt;lastName&gt;Bai&lt;/lastName&gt;&lt;firstName&gt;Yunfei&lt;/firstName&gt;&lt;/author&gt;&lt;author&gt;&lt;lastName&gt;Xie&lt;/lastName&gt;&lt;firstName&gt;Xueying&lt;/firstName&gt;&lt;/author&gt;&lt;author&gt;&lt;lastName&gt;Ge&lt;/lastName&gt;&lt;firstName&gt;Qinyu&lt;/firstName&gt;&lt;/author&gt;&lt;/authors&gt;&lt;/publication&gt;&lt;/publications&gt;&lt;cites&gt;&lt;/cites&gt;&lt;/citation&gt;</w:instrText>
      </w:r>
      <w:r w:rsidR="004E19A5">
        <w:rPr>
          <w:rFonts w:eastAsiaTheme="minorEastAsia"/>
        </w:rPr>
        <w:fldChar w:fldCharType="separate"/>
      </w:r>
      <w:r w:rsidR="004E19A5">
        <w:rPr>
          <w:rFonts w:eastAsiaTheme="minorEastAsia"/>
        </w:rPr>
        <w:t>(Tian et al., 2019)</w:t>
      </w:r>
      <w:r w:rsidR="004E19A5">
        <w:rPr>
          <w:rFonts w:eastAsiaTheme="minorEastAsia"/>
        </w:rPr>
        <w:fldChar w:fldCharType="end"/>
      </w:r>
      <w:r w:rsidR="00E81D0B">
        <w:rPr>
          <w:rFonts w:eastAsiaTheme="minorEastAsia"/>
        </w:rPr>
        <w:t>.</w:t>
      </w:r>
      <w:r w:rsidR="00FF773C">
        <w:rPr>
          <w:rFonts w:eastAsiaTheme="minorEastAsia"/>
        </w:rPr>
        <w:t xml:space="preserve"> In Tian et al.,</w:t>
      </w:r>
      <w:r w:rsidR="00DE677A">
        <w:rPr>
          <w:rFonts w:eastAsiaTheme="minorEastAsia"/>
        </w:rPr>
        <w:t xml:space="preserve"> further investigations found</w:t>
      </w:r>
      <w:r w:rsidR="00FF773C">
        <w:rPr>
          <w:rFonts w:eastAsiaTheme="minorEastAsia"/>
        </w:rPr>
        <w:t xml:space="preserve"> reduction </w:t>
      </w:r>
      <w:r w:rsidR="00DE677A">
        <w:rPr>
          <w:rFonts w:eastAsiaTheme="minorEastAsia"/>
        </w:rPr>
        <w:t xml:space="preserve">of </w:t>
      </w:r>
      <w:proofErr w:type="spellStart"/>
      <w:r w:rsidR="00DE677A">
        <w:rPr>
          <w:rFonts w:eastAsiaTheme="minorEastAsia"/>
        </w:rPr>
        <w:t>miR</w:t>
      </w:r>
      <w:proofErr w:type="spellEnd"/>
      <w:r w:rsidR="00DE677A">
        <w:rPr>
          <w:rFonts w:eastAsiaTheme="minorEastAsia"/>
        </w:rPr>
        <w:t xml:space="preserve"> </w:t>
      </w:r>
      <w:r w:rsidR="00FF773C">
        <w:rPr>
          <w:rFonts w:eastAsiaTheme="minorEastAsia"/>
        </w:rPr>
        <w:t>in serum and</w:t>
      </w:r>
      <w:r w:rsidR="00DE677A">
        <w:rPr>
          <w:rFonts w:eastAsiaTheme="minorEastAsia"/>
        </w:rPr>
        <w:t xml:space="preserve"> within NSCLC cell lines</w:t>
      </w:r>
      <w:r w:rsidR="00FF773C">
        <w:rPr>
          <w:rFonts w:eastAsiaTheme="minorEastAsia"/>
        </w:rPr>
        <w:t xml:space="preserve"> overexpression of miR-486-5p inhibited cellular proliferation and induced apoptosis.</w:t>
      </w:r>
      <w:r w:rsidR="005F2EB5">
        <w:rPr>
          <w:rFonts w:eastAsiaTheme="minorEastAsia"/>
        </w:rPr>
        <w:t xml:space="preserve"> However, Gao et al., identified the opposite interaction in </w:t>
      </w:r>
      <w:r w:rsidR="009F1BE3">
        <w:rPr>
          <w:rFonts w:eastAsiaTheme="minorEastAsia"/>
        </w:rPr>
        <w:t>NSCLC</w:t>
      </w:r>
      <w:r w:rsidR="009925A1">
        <w:rPr>
          <w:rFonts w:eastAsiaTheme="minorEastAsia"/>
        </w:rPr>
        <w:t xml:space="preserve"> </w:t>
      </w:r>
      <w:r w:rsidR="004E19A5">
        <w:rPr>
          <w:rFonts w:eastAsiaTheme="minorEastAsia"/>
        </w:rPr>
        <w:fldChar w:fldCharType="begin"/>
      </w:r>
      <w:r w:rsidR="004E19A5">
        <w:rPr>
          <w:rFonts w:eastAsiaTheme="minorEastAsia"/>
        </w:rPr>
        <w:instrText xml:space="preserve"> ADDIN PAPERS2_CITATIONS &lt;citation&gt;&lt;priority&gt;128&lt;/priority&gt;&lt;uuid&gt;9397D98A-FB4E-49E4-A259-DF971C0268A4&lt;/uuid&gt;&lt;publications&gt;&lt;publication&gt;&lt;subtype&gt;400&lt;/subtype&gt;&lt;title&gt;miR-486-5p functions as an oncogene by targeting PTEN in non-small cell lung cancer&lt;/title&gt;&lt;url&gt;https://linkinghub.elsevier.com/retrieve/pii/S0344033818301109&lt;/url&gt;&lt;volume&gt;214&lt;/volume&gt;&lt;publication_date&gt;99201805001200000000220000&lt;/publication_date&gt;&lt;uuid&gt;55074701-8DFC-44CE-8C4A-6E939B90E4B0&lt;/uuid&gt;&lt;type&gt;400&lt;/type&gt;&lt;number&gt;5&lt;/number&gt;&lt;doi&gt;10.1016/j.prp.2018.03.013&lt;/doi&gt;&lt;startpage&gt;700&lt;/startpage&gt;&lt;endpage&gt;705&lt;/endpage&gt;&lt;bundle&gt;&lt;publication&gt;&lt;title&gt;Pathology - Research and Practice&lt;/title&gt;&lt;uuid&gt;E2F854A9-56A3-43C3-B36D-E8A50059295E&lt;/uuid&gt;&lt;subtype&gt;-100&lt;/subtype&gt;&lt;publisher&gt;Elsevier&lt;/publisher&gt;&lt;type&gt;-100&lt;/type&gt;&lt;/publication&gt;&lt;/bundle&gt;&lt;authors&gt;&lt;author&gt;&lt;lastName&gt;Gao&lt;/lastName&gt;&lt;firstName&gt;Zhao-jia&lt;/firstName&gt;&lt;/author&gt;&lt;author&gt;&lt;lastName&gt;Yuan&lt;/lastName&gt;&lt;firstName&gt;Wei-dong&lt;/firstName&gt;&lt;/author&gt;&lt;author&gt;&lt;lastName&gt;Yuan&lt;/lastName&gt;&lt;firstName&gt;Jun-qiang&lt;/firstName&gt;&lt;/author&gt;&lt;author&gt;&lt;lastName&gt;Yuan&lt;/lastName&gt;&lt;firstName&gt;Kai&lt;/firstName&gt;&lt;/author&gt;&lt;author&gt;&lt;lastName&gt;Wang&lt;/lastName&gt;&lt;firstName&gt;Yong&lt;/firstName&gt;&lt;/author&gt;&lt;/authors&gt;&lt;/publication&gt;&lt;/publications&gt;&lt;cites&gt;&lt;/cites&gt;&lt;/citation&gt;</w:instrText>
      </w:r>
      <w:r w:rsidR="004E19A5">
        <w:rPr>
          <w:rFonts w:eastAsiaTheme="minorEastAsia"/>
        </w:rPr>
        <w:fldChar w:fldCharType="separate"/>
      </w:r>
      <w:r w:rsidR="004E19A5">
        <w:rPr>
          <w:rFonts w:eastAsiaTheme="minorEastAsia"/>
        </w:rPr>
        <w:t>(Gao, Yuan, Yuan, Yuan, &amp; Wang, 2018)</w:t>
      </w:r>
      <w:r w:rsidR="004E19A5">
        <w:rPr>
          <w:rFonts w:eastAsiaTheme="minorEastAsia"/>
        </w:rPr>
        <w:fldChar w:fldCharType="end"/>
      </w:r>
      <w:r w:rsidR="005F2EB5">
        <w:rPr>
          <w:rFonts w:eastAsiaTheme="minorEastAsia"/>
        </w:rPr>
        <w:t xml:space="preserve">. Observing </w:t>
      </w:r>
      <w:r w:rsidR="00DE677A">
        <w:rPr>
          <w:rFonts w:eastAsiaTheme="minorEastAsia"/>
        </w:rPr>
        <w:t xml:space="preserve">in NSCLC cell lines </w:t>
      </w:r>
      <w:r w:rsidR="005F2EB5">
        <w:rPr>
          <w:rFonts w:eastAsiaTheme="minorEastAsia"/>
        </w:rPr>
        <w:t xml:space="preserve">that downregulation of miR-486-5p </w:t>
      </w:r>
      <w:r w:rsidR="00DE677A">
        <w:rPr>
          <w:rFonts w:eastAsiaTheme="minorEastAsia"/>
        </w:rPr>
        <w:t xml:space="preserve">led to </w:t>
      </w:r>
      <w:r w:rsidR="00A54B69">
        <w:rPr>
          <w:rFonts w:eastAsiaTheme="minorEastAsia"/>
        </w:rPr>
        <w:t>cellular proliferation</w:t>
      </w:r>
      <w:r w:rsidR="00DE677A">
        <w:rPr>
          <w:rFonts w:eastAsiaTheme="minorEastAsia"/>
        </w:rPr>
        <w:t xml:space="preserve"> and </w:t>
      </w:r>
      <w:r w:rsidR="00A54B69">
        <w:rPr>
          <w:rFonts w:eastAsiaTheme="minorEastAsia"/>
        </w:rPr>
        <w:t>inhibition</w:t>
      </w:r>
      <w:r w:rsidR="00DE677A">
        <w:rPr>
          <w:rFonts w:eastAsiaTheme="minorEastAsia"/>
        </w:rPr>
        <w:t xml:space="preserve"> </w:t>
      </w:r>
      <w:r w:rsidR="00A54B69">
        <w:rPr>
          <w:rFonts w:eastAsiaTheme="minorEastAsia"/>
        </w:rPr>
        <w:t>supressed growth</w:t>
      </w:r>
      <w:r w:rsidR="009F1BE3">
        <w:rPr>
          <w:rFonts w:eastAsiaTheme="minorEastAsia"/>
        </w:rPr>
        <w:t xml:space="preserve">. </w:t>
      </w:r>
    </w:p>
    <w:p w14:paraId="687A470A" w14:textId="736672B7" w:rsidR="000B5303" w:rsidRDefault="000B5303" w:rsidP="00131650"/>
    <w:p w14:paraId="3C4BDDBA" w14:textId="4585FD2A" w:rsidR="000B5303" w:rsidRDefault="000B5303" w:rsidP="00131650"/>
    <w:p w14:paraId="404E10DF" w14:textId="4B3BD2C0" w:rsidR="00275ABC" w:rsidRPr="0093022B" w:rsidRDefault="00A54B69" w:rsidP="00275ABC">
      <w:pPr>
        <w:pStyle w:val="Body"/>
      </w:pPr>
      <w:r>
        <w:t xml:space="preserve">The conflicting findings for miR-486-5p action in lung cancer and </w:t>
      </w:r>
      <w:r w:rsidR="00275ABC">
        <w:t xml:space="preserve">high </w:t>
      </w:r>
      <w:proofErr w:type="spellStart"/>
      <w:r w:rsidR="00275ABC">
        <w:t>miR</w:t>
      </w:r>
      <w:proofErr w:type="spellEnd"/>
      <w:r w:rsidR="00275ABC">
        <w:t xml:space="preserve"> levels in pulmonary fibrosis being anti-fibrotic make it difficult to interpret the high miR-486-5p seen in </w:t>
      </w:r>
      <w:proofErr w:type="spellStart"/>
      <w:r w:rsidR="00275ABC">
        <w:t>SSc</w:t>
      </w:r>
      <w:proofErr w:type="spellEnd"/>
      <w:r w:rsidR="00275ABC">
        <w:t>-PAH plasma. It is clear that miR-486-5p has a role to play in lung pathophysiology and that dysregulation is undesired. However, in this case there is a possibility that the potential source could be from platelet contamination and only more data and research in PAH specific models will help to elucidate this.</w:t>
      </w:r>
    </w:p>
    <w:p w14:paraId="6BED4CF8" w14:textId="48765831" w:rsidR="005F2EB5" w:rsidRPr="0093022B" w:rsidRDefault="005F2EB5" w:rsidP="00E4064F"/>
    <w:p w14:paraId="6D26F586" w14:textId="714DB8BA" w:rsidR="00E4064F" w:rsidRDefault="00E4064F" w:rsidP="00E4064F">
      <w:pPr>
        <w:pStyle w:val="Heading2"/>
        <w:numPr>
          <w:ilvl w:val="2"/>
          <w:numId w:val="7"/>
        </w:numPr>
        <w:spacing w:before="120" w:after="120"/>
      </w:pPr>
      <w:bookmarkStart w:id="320" w:name="_Toc60773964"/>
      <w:r>
        <w:t>Validation Performance</w:t>
      </w:r>
      <w:bookmarkEnd w:id="320"/>
    </w:p>
    <w:p w14:paraId="0AA60627" w14:textId="34DDD9CB" w:rsidR="00E4064F" w:rsidRDefault="00E4064F" w:rsidP="00E4064F">
      <w:pPr>
        <w:pStyle w:val="Body"/>
      </w:pPr>
      <w:r>
        <w:t xml:space="preserve">Out of the 10 miRNAs tested by qPCR only 1 demonstrated desirable performance characteristics in validation (10% concordance). The </w:t>
      </w:r>
      <w:proofErr w:type="spellStart"/>
      <w:r>
        <w:t>miRQC</w:t>
      </w:r>
      <w:proofErr w:type="spellEnd"/>
      <w:r>
        <w:t xml:space="preserve"> cross-platform miRNA study sought to determine the performance of miRNA platforms this provides a bench mark for the likely concordance amongst platforms </w:t>
      </w:r>
      <w:r w:rsidR="00095567">
        <w:rPr>
          <w:rFonts w:eastAsiaTheme="minorHAnsi"/>
          <w:lang w:val="en-US"/>
        </w:rPr>
        <w:fldChar w:fldCharType="begin"/>
      </w:r>
      <w:r w:rsidR="004E19A5">
        <w:rPr>
          <w:rFonts w:eastAsiaTheme="minorHAnsi"/>
          <w:lang w:val="en-US"/>
        </w:rPr>
        <w:instrText xml:space="preserve"> ADDIN PAPERS2_CITATIONS &lt;citation&gt;&lt;priority&gt;90&lt;/priority&gt;&lt;uuid&gt;ECBA94A7-F978-4193-8F14-AE7F29BBB2AC&lt;/uuid&gt;&lt;publications&gt;&lt;publication&gt;&lt;subtype&gt;400&lt;/subtype&gt;&lt;title&gt;Evaluation of quantitative miRNA expression platforms in the microRNA quality control (miRQC) study&lt;/title&gt;&lt;url&gt;http://www.nature.com/doifinder/10.1038/nmeth.3014&lt;/url&gt;&lt;volume&gt;11&lt;/volume&gt;&lt;publication_date&gt;99201406291200000000222000&lt;/publication_date&gt;&lt;uuid&gt;10E6AC2C-0F0D-4A3E-AC60-0C6D95D905E7&lt;/uuid&gt;&lt;type&gt;400&lt;/type&gt;&lt;number&gt;8&lt;/number&gt;&lt;doi&gt;10.1038/nmeth.3014&lt;/doi&gt;&lt;startpage&gt;809&lt;/startpage&gt;&lt;endpage&gt;815&lt;/endpage&gt;&lt;bundle&gt;&lt;publication&gt;&lt;title&gt;Nature Methods&lt;/title&gt;&lt;uuid&gt;AFAA1EC8-3FEA-49EC-B8CF-04F69F3BBEAB&lt;/uuid&gt;&lt;subtype&gt;-100&lt;/subtype&gt;&lt;publisher&gt;Nature Publishing Group&lt;/publisher&gt;&lt;type&gt;-100&lt;/type&gt;&lt;/publication&gt;&lt;/bundle&gt;&lt;authors&gt;&lt;author&gt;&lt;lastName&gt;Mestdagh&lt;/lastName&gt;&lt;firstName&gt;Pieter&lt;/firstName&gt;&lt;/author&gt;&lt;author&gt;&lt;lastName&gt;Hartmann&lt;/lastName&gt;&lt;firstName&gt;Nicole&lt;/firstName&gt;&lt;/author&gt;&lt;author&gt;&lt;lastName&gt;Baeriswyl&lt;/lastName&gt;&lt;firstName&gt;Lukas&lt;/firstName&gt;&lt;/author&gt;&lt;author&gt;&lt;lastName&gt;Andreasen&lt;/lastName&gt;&lt;firstName&gt;Ditte&lt;/firstName&gt;&lt;/author&gt;&lt;author&gt;&lt;lastName&gt;Bernard&lt;/lastName&gt;&lt;firstName&gt;Nathalie&lt;/firstName&gt;&lt;/author&gt;&lt;author&gt;&lt;lastName&gt;Chen&lt;/lastName&gt;&lt;firstName&gt;Caifu&lt;/firstName&gt;&lt;/author&gt;&lt;author&gt;&lt;lastName&gt;Cheo&lt;/lastName&gt;&lt;firstName&gt;David&lt;/firstName&gt;&lt;/author&gt;&lt;author&gt;&lt;lastName&gt;D'Andrade&lt;/lastName&gt;&lt;firstName&gt;Petula&lt;/firstName&gt;&lt;/author&gt;&lt;author&gt;&lt;lastName&gt;DeMayo&lt;/lastName&gt;&lt;firstName&gt;Mike&lt;/firstName&gt;&lt;/author&gt;&lt;author&gt;&lt;lastName&gt;Dennis&lt;/lastName&gt;&lt;firstName&gt;Lucas&lt;/firstName&gt;&lt;/author&gt;&lt;author&gt;&lt;lastName&gt;Derveaux&lt;/lastName&gt;&lt;firstName&gt;Stefaan&lt;/firstName&gt;&lt;/author&gt;&lt;author&gt;&lt;lastName&gt;Feng&lt;/lastName&gt;&lt;firstName&gt;Yun&lt;/firstName&gt;&lt;/author&gt;&lt;author&gt;&lt;lastName&gt;Fulmer-Smentek&lt;/lastName&gt;&lt;firstName&gt;Stephanie&lt;/firstName&gt;&lt;/author&gt;&lt;author&gt;&lt;lastName&gt;Gerstmayer&lt;/lastName&gt;&lt;firstName&gt;Bernhard&lt;/firstName&gt;&lt;/author&gt;&lt;author&gt;&lt;lastName&gt;Gouffon&lt;/lastName&gt;&lt;firstName&gt;Julia&lt;/firstName&gt;&lt;/author&gt;&lt;author&gt;&lt;lastName&gt;Grimley&lt;/lastName&gt;&lt;firstName&gt;Chris&lt;/firstName&gt;&lt;/author&gt;&lt;author&gt;&lt;lastName&gt;Lader&lt;/lastName&gt;&lt;firstName&gt;Eric&lt;/firstName&gt;&lt;/author&gt;&lt;author&gt;&lt;lastName&gt;Lee&lt;/lastName&gt;&lt;firstName&gt;Kathy&lt;/firstName&gt;&lt;middleNames&gt;Y&lt;/middleNames&gt;&lt;/author&gt;&lt;author&gt;&lt;lastName&gt;Luo&lt;/lastName&gt;&lt;firstName&gt;Shujun&lt;/firstName&gt;&lt;/author&gt;&lt;author&gt;&lt;lastName&gt;Mouritzen&lt;/lastName&gt;&lt;firstName&gt;Peter&lt;/firstName&gt;&lt;/author&gt;&lt;author&gt;&lt;lastName&gt;Narayanan&lt;/lastName&gt;&lt;firstName&gt;Aishwarya&lt;/firstName&gt;&lt;/author&gt;&lt;author&gt;&lt;lastName&gt;Patel&lt;/lastName&gt;&lt;firstName&gt;Sunali&lt;/firstName&gt;&lt;/author&gt;&lt;author&gt;&lt;lastName&gt;Peiffer&lt;/lastName&gt;&lt;firstName&gt;Sabine&lt;/firstName&gt;&lt;/author&gt;&lt;author&gt;&lt;lastName&gt;Rüberg&lt;/lastName&gt;&lt;firstName&gt;Silvia&lt;/firstName&gt;&lt;/author&gt;&lt;author&gt;&lt;lastName&gt;Schroth&lt;/lastName&gt;&lt;firstName&gt;Gary&lt;/firstName&gt;&lt;/author&gt;&lt;author&gt;&lt;lastName&gt;Schuster&lt;/lastName&gt;&lt;firstName&gt;Dave&lt;/firstName&gt;&lt;/author&gt;&lt;author&gt;&lt;lastName&gt;Shaffer&lt;/lastName&gt;&lt;firstName&gt;Jonathan&lt;/firstName&gt;&lt;middleNames&gt;M&lt;/middleNames&gt;&lt;/author&gt;&lt;author&gt;&lt;lastName&gt;Shelton&lt;/lastName&gt;&lt;firstName&gt;Elliot&lt;/firstName&gt;&lt;middleNames&gt;J&lt;/middleNames&gt;&lt;/author&gt;&lt;author&gt;&lt;lastName&gt;Silveria&lt;/lastName&gt;&lt;firstName&gt;Scott&lt;/firstName&gt;&lt;/author&gt;&lt;author&gt;&lt;lastName&gt;Ulmanella&lt;/lastName&gt;&lt;firstName&gt;Umberto&lt;/firstName&gt;&lt;/author&gt;&lt;author&gt;&lt;lastName&gt;Veeramachaneni&lt;/lastName&gt;&lt;firstName&gt;Vamsi&lt;/firstName&gt;&lt;/author&gt;&lt;author&gt;&lt;lastName&gt;Staedtler&lt;/lastName&gt;&lt;firstName&gt;Frank&lt;/firstName&gt;&lt;/author&gt;&lt;author&gt;&lt;lastName&gt;Peters&lt;/lastName&gt;&lt;firstName&gt;Thomas&lt;/firstName&gt;&lt;/author&gt;&lt;author&gt;&lt;lastName&gt;Guettouche&lt;/lastName&gt;&lt;firstName&gt;Toumy&lt;/firstName&gt;&lt;/author&gt;&lt;author&gt;&lt;lastName&gt;Wong&lt;/lastName&gt;&lt;firstName&gt;Linda&lt;/firstName&gt;&lt;/author&gt;&lt;author&gt;&lt;lastName&gt;Vandesompele&lt;/lastName&gt;&lt;firstName&gt;Jo&lt;/firstName&gt;&lt;/author&gt;&lt;/authors&gt;&lt;/publication&gt;&lt;/publications&gt;&lt;cites&gt;&lt;/cites&gt;&lt;/citation&gt;</w:instrText>
      </w:r>
      <w:r w:rsidR="00095567">
        <w:rPr>
          <w:rFonts w:eastAsiaTheme="minorHAnsi"/>
          <w:lang w:val="en-US"/>
        </w:rPr>
        <w:fldChar w:fldCharType="separate"/>
      </w:r>
      <w:r w:rsidR="00095567">
        <w:rPr>
          <w:rFonts w:eastAsiaTheme="minorEastAsia"/>
          <w:lang w:val="en-US"/>
        </w:rPr>
        <w:t>(</w:t>
      </w:r>
      <w:proofErr w:type="spellStart"/>
      <w:r w:rsidR="00095567">
        <w:rPr>
          <w:rFonts w:eastAsiaTheme="minorEastAsia"/>
          <w:lang w:val="en-US"/>
        </w:rPr>
        <w:t>Mestdagh</w:t>
      </w:r>
      <w:proofErr w:type="spellEnd"/>
      <w:r w:rsidR="00095567">
        <w:rPr>
          <w:rFonts w:eastAsiaTheme="minorEastAsia"/>
          <w:lang w:val="en-US"/>
        </w:rPr>
        <w:t xml:space="preserve"> et al., 2014)</w:t>
      </w:r>
      <w:r w:rsidR="00095567">
        <w:rPr>
          <w:rFonts w:eastAsiaTheme="minorHAnsi"/>
          <w:lang w:val="en-US"/>
        </w:rPr>
        <w:fldChar w:fldCharType="end"/>
      </w:r>
      <w:r>
        <w:t xml:space="preserve">. In the study it was reported that </w:t>
      </w:r>
      <w:proofErr w:type="spellStart"/>
      <w:r>
        <w:t>Agilient</w:t>
      </w:r>
      <w:proofErr w:type="spellEnd"/>
      <w:r>
        <w:t xml:space="preserve"> miRNA arrays had a 70-75% concordance with all tested technologies, which included </w:t>
      </w:r>
      <w:proofErr w:type="spellStart"/>
      <w:r>
        <w:t>Exiqon</w:t>
      </w:r>
      <w:proofErr w:type="spellEnd"/>
      <w:r>
        <w:t xml:space="preserve"> LNA and </w:t>
      </w:r>
      <w:proofErr w:type="spellStart"/>
      <w:r>
        <w:t>Taqman</w:t>
      </w:r>
      <w:proofErr w:type="spellEnd"/>
      <w:r>
        <w:t xml:space="preserve"> qPCR</w:t>
      </w:r>
      <w:r>
        <w:rPr>
          <w:rFonts w:eastAsiaTheme="minorHAnsi"/>
          <w:lang w:val="en-US"/>
        </w:rPr>
        <w:t>. However, hierarchal clustering of platform concordance placed the Agilent miRNA microarrays in a different cluster to the qPCR validation methods</w:t>
      </w:r>
      <w:r>
        <w:t xml:space="preserve">. The clustering indicated that LNA qPCR had the best concordance with </w:t>
      </w:r>
      <w:proofErr w:type="spellStart"/>
      <w:r>
        <w:t>Ilumina</w:t>
      </w:r>
      <w:proofErr w:type="spellEnd"/>
      <w:r>
        <w:t xml:space="preserve"> and Ion Torrent NGS systems. </w:t>
      </w:r>
    </w:p>
    <w:p w14:paraId="1E46AC02" w14:textId="77777777" w:rsidR="00E4064F" w:rsidRDefault="00E4064F" w:rsidP="00E4064F">
      <w:pPr>
        <w:pStyle w:val="Body"/>
      </w:pPr>
    </w:p>
    <w:p w14:paraId="18419827" w14:textId="5BBCFD16" w:rsidR="00E4064F" w:rsidRDefault="00E4064F" w:rsidP="00E4064F">
      <w:pPr>
        <w:pStyle w:val="Body"/>
      </w:pPr>
      <w:r>
        <w:t xml:space="preserve">The </w:t>
      </w:r>
      <w:proofErr w:type="spellStart"/>
      <w:r>
        <w:t>miRQC</w:t>
      </w:r>
      <w:proofErr w:type="spellEnd"/>
      <w:r>
        <w:t xml:space="preserve"> study was performed under ideal sample conditions, however, the concordance is also evidenced by a disease </w:t>
      </w:r>
      <w:r>
        <w:rPr>
          <w:rFonts w:eastAsiaTheme="minorHAnsi"/>
          <w:lang w:val="en-US"/>
        </w:rPr>
        <w:t xml:space="preserve">relevant study which profiled miRNAs from </w:t>
      </w:r>
      <w:r>
        <w:t>IPAH and HV explanted lungs</w:t>
      </w:r>
      <w:r>
        <w:rPr>
          <w:rFonts w:eastAsiaTheme="minorHAnsi"/>
          <w:lang w:val="en-US"/>
        </w:rPr>
        <w:t xml:space="preserve"> </w:t>
      </w:r>
      <w:r w:rsidR="00095567">
        <w:rPr>
          <w:rFonts w:eastAsiaTheme="minorHAnsi"/>
          <w:lang w:val="en-US"/>
        </w:rPr>
        <w:fldChar w:fldCharType="begin"/>
      </w:r>
      <w:r w:rsidR="004E19A5">
        <w:rPr>
          <w:rFonts w:eastAsiaTheme="minorHAnsi"/>
          <w:lang w:val="en-US"/>
        </w:rPr>
        <w:instrText xml:space="preserve"> ADDIN PAPERS2_CITATIONS &lt;citation&gt;&lt;priority&gt;91&lt;/priority&gt;&lt;uuid&gt;58BF9D55-474E-4B98-AD32-107CD35F7F47&lt;/uuid&gt;&lt;publications&gt;&lt;publication&gt;&lt;subtype&gt;400&lt;/subtype&gt;&lt;publisher&gt;Springer Berlin Heidelberg&lt;/publisher&gt;&lt;title&gt;Identifying microRNAs targeting Wnt/</w:instrText>
      </w:r>
      <w:r w:rsidR="004E19A5">
        <w:rPr>
          <w:rFonts w:ascii="Calibri" w:eastAsiaTheme="minorHAnsi" w:hAnsi="Calibri" w:cs="Calibri"/>
          <w:lang w:val="en-US"/>
        </w:rPr>
        <w:instrText>β</w:instrText>
      </w:r>
      <w:r w:rsidR="004E19A5">
        <w:rPr>
          <w:rFonts w:eastAsiaTheme="minorHAnsi"/>
          <w:lang w:val="en-US"/>
        </w:rPr>
        <w:instrText>-catenin pathway in end-stage idiopathic pulmonary arterial hypertension&lt;/title&gt;&lt;url&gt;http://link.springer.com/article/10.1007/s00109-016-1426-z/fulltext.html&lt;/url&gt;&lt;volume&gt;94&lt;/volume&gt;&lt;publication_date&gt;99201605181200000000222000&lt;/publication_date&gt;&lt;uuid&gt;54EE4FB2-560F-402B-B4E7-5F40E4393E37&lt;/uuid&gt;&lt;type&gt;400&lt;/type&gt;&lt;number&gt;8&lt;/number&gt;&lt;doi&gt;10.1007/s00109-016-1426-z&lt;/doi&gt;&lt;startpage&gt;1&lt;/startpage&gt;&lt;endpage&gt;11&lt;/endpage&gt;&lt;bundle&gt;&lt;publication&gt;&lt;title&gt;Journal of Molecular Medicine&lt;/title&gt;&lt;uuid&gt;CFCFF9E0-D9B5-4586-B642-84B062AC778D&lt;/uuid&gt;&lt;subtype&gt;-100&lt;/subtype&gt;&lt;publisher&gt;Springer Berlin Heidelberg&lt;/publisher&gt;&lt;type&gt;-100&lt;/type&gt;&lt;/publication&gt;&lt;/bundle&gt;&lt;authors&gt;&lt;author&gt;&lt;lastName&gt;Wu&lt;/lastName&gt;&lt;firstName&gt;Danchen&lt;/firstName&gt;&lt;/author&gt;&lt;author&gt;&lt;lastName&gt;Talbot&lt;/lastName&gt;&lt;firstName&gt;C&lt;/firstName&gt;&lt;middleNames&gt;Conover&lt;/middleNames&gt;&lt;suffix&gt;Jr&lt;/suffix&gt;&lt;/author&gt;&lt;author&gt;&lt;lastName&gt;Liu&lt;/lastName&gt;&lt;firstName&gt;Qun&lt;/firstName&gt;&lt;/author&gt;&lt;author&gt;&lt;lastName&gt;Jing&lt;/lastName&gt;&lt;firstName&gt;Zhi-Cheng&lt;/firstName&gt;&lt;/author&gt;&lt;author&gt;&lt;lastName&gt;Damico&lt;/lastName&gt;&lt;firstName&gt;Rachel&lt;/firstName&gt;&lt;middleNames&gt;L&lt;/middleNames&gt;&lt;/author&gt;&lt;author&gt;&lt;lastName&gt;Tuder&lt;/lastName&gt;&lt;firstName&gt;Rubin&lt;/firstName&gt;&lt;/author&gt;&lt;author&gt;&lt;lastName&gt;Barnes&lt;/lastName&gt;&lt;firstName&gt;Kathleen&lt;/firstName&gt;&lt;middleNames&gt;C&lt;/middleNames&gt;&lt;/author&gt;&lt;author&gt;&lt;lastName&gt;Hassoun&lt;/lastName&gt;&lt;firstName&gt;Paul&lt;/firstName&gt;&lt;middleNames&gt;M&lt;/middleNames&gt;&lt;/author&gt;&lt;author&gt;&lt;lastName&gt;Gao&lt;/lastName&gt;&lt;firstName&gt;Li&lt;/firstName&gt;&lt;/author&gt;&lt;/authors&gt;&lt;/publication&gt;&lt;/publications&gt;&lt;cites&gt;&lt;/cites&gt;&lt;/citation&gt;</w:instrText>
      </w:r>
      <w:r w:rsidR="00095567">
        <w:rPr>
          <w:rFonts w:eastAsiaTheme="minorHAnsi"/>
          <w:lang w:val="en-US"/>
        </w:rPr>
        <w:fldChar w:fldCharType="separate"/>
      </w:r>
      <w:r w:rsidR="00095567">
        <w:rPr>
          <w:rFonts w:eastAsiaTheme="minorEastAsia"/>
          <w:lang w:val="en-US"/>
        </w:rPr>
        <w:t>(Wu et al., 2016)</w:t>
      </w:r>
      <w:r w:rsidR="00095567">
        <w:rPr>
          <w:rFonts w:eastAsiaTheme="minorHAnsi"/>
          <w:lang w:val="en-US"/>
        </w:rPr>
        <w:fldChar w:fldCharType="end"/>
      </w:r>
      <w:r>
        <w:rPr>
          <w:rFonts w:eastAsiaTheme="minorHAnsi"/>
          <w:lang w:val="en-US"/>
        </w:rPr>
        <w:t xml:space="preserve">. Here, discovery performed with </w:t>
      </w:r>
      <w:proofErr w:type="spellStart"/>
      <w:r>
        <w:rPr>
          <w:rFonts w:eastAsiaTheme="minorHAnsi"/>
          <w:lang w:val="en-US"/>
        </w:rPr>
        <w:t>Agilient</w:t>
      </w:r>
      <w:proofErr w:type="spellEnd"/>
      <w:r>
        <w:rPr>
          <w:rFonts w:eastAsiaTheme="minorHAnsi"/>
          <w:lang w:val="en-US"/>
        </w:rPr>
        <w:t xml:space="preserve"> microRNA microarrays saw 5 out of 7 target miRNAs </w:t>
      </w:r>
      <w:r>
        <w:t xml:space="preserve">validated by </w:t>
      </w:r>
      <w:proofErr w:type="spellStart"/>
      <w:r>
        <w:t>Taqman</w:t>
      </w:r>
      <w:proofErr w:type="spellEnd"/>
      <w:r>
        <w:t xml:space="preserve"> qPCR (71% concordance).  The qPCR technology in this study is not the same LNA qPCR used in my work, but it is unlikely that this is a major cause of the lack of validation concordance.  </w:t>
      </w:r>
    </w:p>
    <w:p w14:paraId="2776D853" w14:textId="77777777" w:rsidR="00E4064F" w:rsidRDefault="00E4064F" w:rsidP="00E4064F">
      <w:pPr>
        <w:pStyle w:val="Body"/>
      </w:pPr>
    </w:p>
    <w:p w14:paraId="1555BEEC" w14:textId="77777777" w:rsidR="00E4064F" w:rsidRDefault="00E4064F" w:rsidP="00E4064F">
      <w:pPr>
        <w:pStyle w:val="Body"/>
      </w:pPr>
      <w:r>
        <w:t xml:space="preserve">The biggest difference with this work and that reported by Wu et al., is the source of RNA. Plasma miRNA concentrations very low and undetectable by spectrographic methods this means that when running an experiment RNA input is likely sub-standard </w:t>
      </w:r>
      <w:r>
        <w:lastRenderedPageBreak/>
        <w:t xml:space="preserve">and the quantity cannot be normalised, which is the approach used with total RNA as an input. </w:t>
      </w:r>
    </w:p>
    <w:p w14:paraId="158A2440" w14:textId="77777777" w:rsidR="00E4064F" w:rsidRDefault="00E4064F" w:rsidP="00E4064F">
      <w:pPr>
        <w:pStyle w:val="Body"/>
      </w:pPr>
      <w:r>
        <w:t xml:space="preserve"> </w:t>
      </w:r>
    </w:p>
    <w:p w14:paraId="166E74FA" w14:textId="1DB321EF" w:rsidR="00EA2F05" w:rsidRDefault="00E4064F" w:rsidP="00C06520">
      <w:pPr>
        <w:pStyle w:val="Body"/>
      </w:pPr>
      <w:r>
        <w:t xml:space="preserve">Microarray technology was well developed at the beginning of this project, however, more recently </w:t>
      </w:r>
      <w:proofErr w:type="spellStart"/>
      <w:r>
        <w:t>smallRNA</w:t>
      </w:r>
      <w:proofErr w:type="spellEnd"/>
      <w:r>
        <w:t xml:space="preserve"> sequencing  technologies have matured enabling sequencing from low input sources such as in single cells, exosomes and plasma </w:t>
      </w:r>
      <w:r w:rsidR="00095567">
        <w:rPr>
          <w:rFonts w:eastAsiaTheme="minorHAnsi"/>
          <w:lang w:val="en-US"/>
        </w:rPr>
        <w:fldChar w:fldCharType="begin"/>
      </w:r>
      <w:r w:rsidR="004E19A5">
        <w:rPr>
          <w:rFonts w:eastAsiaTheme="minorHAnsi"/>
          <w:lang w:val="en-US"/>
        </w:rPr>
        <w:instrText xml:space="preserve"> ADDIN PAPERS2_CITATIONS &lt;citation&gt;&lt;priority&gt;92&lt;/priority&gt;&lt;uuid&gt;988F4B6F-924B-41E1-AAC1-B36056FF3E46&lt;/uuid&gt;&lt;publications&gt;&lt;publication&gt;&lt;subtype&gt;400&lt;/subtype&gt;&lt;title&gt;Single-Cell Transcriptomic Analysis of Human Lung Provides Insights into the Pathobiology of Pulmonary Fibrosis.&lt;/title&gt;&lt;url&gt;http://eutils.ncbi.nlm.nih.gov/entrez/eutils/elink.fcgi?dbfrom=pubmed&amp;amp;id=30554520&amp;amp;retmode=ref&amp;amp;cmd=prlinks&lt;/url&gt;&lt;volume&gt;199&lt;/volume&gt;&lt;publication_date&gt;99201906151200000000222000&lt;/publication_date&gt;&lt;uuid&gt;DC740A52-87D2-4BD2-8BE3-E2BB0DF58255&lt;/uuid&gt;&lt;type&gt;400&lt;/type&gt;&lt;number&gt;12&lt;/number&gt;&lt;doi&gt;10.1164/rccm.201712-2410OC&lt;/doi&gt;&lt;institution&gt;1 Division of Pulmonary and Critical Care Medicine, Department of Medicine.&lt;/institution&gt;&lt;startpage&gt;1517&lt;/startpage&gt;&lt;endpage&gt;1536&lt;/endpage&gt;&lt;bundle&gt;&lt;publication&gt;&lt;title&gt;American journal of respiratory and critical care medicine&lt;/title&gt;&lt;uuid&gt;6449F919-B7B0-4590-B1EB-52EBB4E4B50D&lt;/uuid&gt;&lt;subtype&gt;-100&lt;/subtype&gt;&lt;publisher&gt;American Thoracic Society&lt;/publisher&gt;&lt;type&gt;-100&lt;/type&gt;&lt;/publication&gt;&lt;/bundle&gt;&lt;authors&gt;&lt;author&gt;&lt;lastName&gt;Reyfman&lt;/lastName&gt;&lt;firstName&gt;Paul&lt;/firstName&gt;&lt;middleNames&gt;A&lt;/middleNames&gt;&lt;/author&gt;&lt;author&gt;&lt;lastName&gt;Walter&lt;/lastName&gt;&lt;firstName&gt;James&lt;/firstName&gt;&lt;middleNames&gt;M&lt;/middleNames&gt;&lt;/author&gt;&lt;author&gt;&lt;lastName&gt;Joshi&lt;/lastName&gt;&lt;firstName&gt;Nikita&lt;/firstName&gt;&lt;/author&gt;&lt;author&gt;&lt;lastName&gt;Anekalla&lt;/lastName&gt;&lt;firstName&gt;Kishore&lt;/firstName&gt;&lt;middleNames&gt;R&lt;/middleNames&gt;&lt;/author&gt;&lt;author&gt;&lt;lastName&gt;McQuattie-Pimentel&lt;/lastName&gt;&lt;firstName&gt;Alexandra&lt;/firstName&gt;&lt;middleNames&gt;C&lt;/middleNames&gt;&lt;/author&gt;&lt;author&gt;&lt;lastName&gt;Chiu&lt;/lastName&gt;&lt;firstName&gt;Stephen&lt;/firstName&gt;&lt;/author&gt;&lt;author&gt;&lt;lastName&gt;Fernandez&lt;/lastName&gt;&lt;firstName&gt;Ramiro&lt;/firstName&gt;&lt;/author&gt;&lt;author&gt;&lt;lastName&gt;Akbarpour&lt;/lastName&gt;&lt;firstName&gt;Mahzad&lt;/firstName&gt;&lt;/author&gt;&lt;author&gt;&lt;lastName&gt;Chen&lt;/lastName&gt;&lt;firstName&gt;Ching-I&lt;/firstName&gt;&lt;/author&gt;&lt;author&gt;&lt;lastName&gt;Ren&lt;/lastName&gt;&lt;firstName&gt;Ziyou&lt;/firstName&gt;&lt;/author&gt;&lt;author&gt;&lt;lastName&gt;Verma&lt;/lastName&gt;&lt;firstName&gt;Rohan&lt;/firstName&gt;&lt;/author&gt;&lt;author&gt;&lt;lastName&gt;Abdala-Valencia&lt;/lastName&gt;&lt;firstName&gt;Hiam&lt;/firstName&gt;&lt;/author&gt;&lt;author&gt;&lt;lastName&gt;Nam&lt;/lastName&gt;&lt;firstName&gt;Kiwon&lt;/firstName&gt;&lt;/author&gt;&lt;author&gt;&lt;lastName&gt;Chi&lt;/lastName&gt;&lt;firstName&gt;Monica&lt;/firstName&gt;&lt;/author&gt;&lt;author&gt;&lt;lastName&gt;Han&lt;/lastName&gt;&lt;firstName&gt;SeungHye&lt;/firstName&gt;&lt;/author&gt;&lt;author&gt;&lt;lastName&gt;Gonzalez-Gonzalez&lt;/lastName&gt;&lt;firstName&gt;Francisco&lt;/firstName&gt;&lt;middleNames&gt;J&lt;/middleNames&gt;&lt;/author&gt;&lt;author&gt;&lt;lastName&gt;Soberanes&lt;/lastName&gt;&lt;firstName&gt;Saul&lt;/firstName&gt;&lt;/author&gt;&lt;author&gt;&lt;lastName&gt;Watanabe&lt;/lastName&gt;&lt;firstName&gt;Satoshi&lt;/firstName&gt;&lt;/author&gt;&lt;author&gt;&lt;lastName&gt;Williams&lt;/lastName&gt;&lt;firstName&gt;Kinola&lt;/firstName&gt;&lt;middleNames&gt;J N&lt;/middleNames&gt;&lt;/author&gt;&lt;author&gt;&lt;lastName&gt;Flozak&lt;/lastName&gt;&lt;firstName&gt;Annette&lt;/firstName&gt;&lt;middleNames&gt;S&lt;/middleNames&gt;&lt;/author&gt;&lt;author&gt;&lt;lastName&gt;Nicholson&lt;/lastName&gt;&lt;firstName&gt;Trevor&lt;/firstName&gt;&lt;middleNames&gt;T&lt;/middleNames&gt;&lt;/author&gt;&lt;author&gt;&lt;lastName&gt;Morgan&lt;/lastName&gt;&lt;firstName&gt;Vince&lt;/firstName&gt;&lt;middleNames&gt;K&lt;/middleNames&gt;&lt;/author&gt;&lt;author&gt;&lt;lastName&gt;Winter&lt;/lastName&gt;&lt;firstName&gt;Deborah&lt;/firstName&gt;&lt;middleNames&gt;R&lt;/middleNames&gt;&lt;/author&gt;&lt;author&gt;&lt;lastName&gt;Hinchcliff&lt;/lastName&gt;&lt;firstName&gt;Monique&lt;/firstName&gt;&lt;/author&gt;&lt;author&gt;&lt;lastName&gt;Hrusch&lt;/lastName&gt;&lt;firstName&gt;Cara&lt;/firstName&gt;&lt;middleNames&gt;L&lt;/middleNames&gt;&lt;/author&gt;&lt;author&gt;&lt;lastName&gt;Guzy&lt;/lastName&gt;&lt;firstName&gt;Robert&lt;/firstName&gt;&lt;middleNames&gt;D&lt;/middleNames&gt;&lt;/author&gt;&lt;author&gt;&lt;lastName&gt;Bonham&lt;/lastName&gt;&lt;firstName&gt;Catherine&lt;/firstName&gt;&lt;middleNames&gt;A&lt;/middleNames&gt;&lt;/author&gt;&lt;author&gt;&lt;lastName&gt;Sperling&lt;/lastName&gt;&lt;firstName&gt;Anne&lt;/firstName&gt;&lt;middleNames&gt;I&lt;/middleNames&gt;&lt;/author&gt;&lt;author&gt;&lt;lastName&gt;Bag&lt;/lastName&gt;&lt;firstName&gt;Remzi&lt;/firstName&gt;&lt;/author&gt;&lt;author&gt;&lt;lastName&gt;Hamanaka&lt;/lastName&gt;&lt;firstName&gt;Robert&lt;/firstName&gt;&lt;middleNames&gt;B&lt;/middleNames&gt;&lt;/author&gt;&lt;author&gt;&lt;lastName&gt;Mutlu&lt;/lastName&gt;&lt;firstName&gt;Gökhan&lt;/firstName&gt;&lt;middleNames&gt;M&lt;/middleNames&gt;&lt;/author&gt;&lt;author&gt;&lt;lastName&gt;Yeldandi&lt;/lastName&gt;&lt;firstName&gt;Anjana&lt;/firstName&gt;&lt;middleNames&gt;V&lt;/middleNames&gt;&lt;/author&gt;&lt;author&gt;&lt;lastName&gt;Marshall&lt;/lastName&gt;&lt;firstName&gt;Stacy&lt;/firstName&gt;&lt;middleNames&gt;A&lt;/middleNames&gt;&lt;/author&gt;&lt;author&gt;&lt;lastName&gt;Shilatifard&lt;/lastName&gt;&lt;firstName&gt;Ali&lt;/firstName&gt;&lt;/author&gt;&lt;author&gt;&lt;lastName&gt;Amaral&lt;/lastName&gt;&lt;firstName&gt;Luis&lt;/firstName&gt;&lt;middleNames&gt;A N&lt;/middleNames&gt;&lt;/author&gt;&lt;author&gt;&lt;lastName&gt;Perlman&lt;/lastName&gt;&lt;firstName&gt;Harris&lt;/firstName&gt;&lt;/author&gt;&lt;author&gt;&lt;lastName&gt;Sznajder&lt;/lastName&gt;&lt;firstName&gt;Jacob&lt;/firstName&gt;&lt;middleNames&gt;I&lt;/middleNames&gt;&lt;/author&gt;&lt;author&gt;&lt;lastName&gt;Argento&lt;/lastName&gt;&lt;firstName&gt;A&lt;/firstName&gt;&lt;middleNames&gt;Christine&lt;/middleNames&gt;&lt;/author&gt;&lt;author&gt;&lt;lastName&gt;Gillespie&lt;/lastName&gt;&lt;firstName&gt;Colin&lt;/firstName&gt;&lt;middleNames&gt;T&lt;/middleNames&gt;&lt;/author&gt;&lt;author&gt;&lt;lastName&gt;Dematte&lt;/lastName&gt;&lt;firstName&gt;Jane&lt;/firstName&gt;&lt;/author&gt;&lt;author&gt;&lt;lastName&gt;Jain&lt;/lastName&gt;&lt;firstName&gt;Manu&lt;/firstName&gt;&lt;/author&gt;&lt;author&gt;&lt;lastName&gt;Singer&lt;/lastName&gt;&lt;firstName&gt;Benjamin&lt;/firstName&gt;&lt;middleNames&gt;D&lt;/middleNames&gt;&lt;/author&gt;&lt;author&gt;&lt;lastName&gt;Ridge&lt;/lastName&gt;&lt;firstName&gt;Karen&lt;/firstName&gt;&lt;middleNames&gt;M&lt;/middleNames&gt;&lt;/author&gt;&lt;author&gt;&lt;lastName&gt;Lam&lt;/lastName&gt;&lt;firstName&gt;Anna&lt;/firstName&gt;&lt;middleNames&gt;P&lt;/middleNames&gt;&lt;/author&gt;&lt;author&gt;&lt;lastName&gt;Bharat&lt;/lastName&gt;&lt;firstName&gt;Ankit&lt;/firstName&gt;&lt;/author&gt;&lt;author&gt;&lt;lastName&gt;Bhorade&lt;/lastName&gt;&lt;firstName&gt;Sangeeta&lt;/firstName&gt;&lt;middleNames&gt;M&lt;/middleNames&gt;&lt;/author&gt;&lt;author&gt;&lt;lastName&gt;Gottardi&lt;/lastName&gt;&lt;firstName&gt;Cara&lt;/firstName&gt;&lt;middleNames&gt;J&lt;/middleNames&gt;&lt;/author&gt;&lt;author&gt;&lt;lastName&gt;Budinger&lt;/lastName&gt;&lt;firstName&gt;G&lt;/firstName&gt;&lt;middleNames&gt;R Scott&lt;/middleNames&gt;&lt;/author&gt;&lt;author&gt;&lt;lastName&gt;Misharin&lt;/lastName&gt;&lt;firstName&gt;Alexander&lt;/firstName&gt;&lt;middleNames&gt;V&lt;/middleNames&gt;&lt;/author&gt;&lt;/authors&gt;&lt;/publication&gt;&lt;/publications&gt;&lt;cites&gt;&lt;/cites&gt;&lt;/citation&gt;</w:instrText>
      </w:r>
      <w:r w:rsidR="00095567">
        <w:rPr>
          <w:rFonts w:eastAsiaTheme="minorHAnsi"/>
          <w:lang w:val="en-US"/>
        </w:rPr>
        <w:fldChar w:fldCharType="separate"/>
      </w:r>
      <w:r w:rsidR="00095567">
        <w:rPr>
          <w:rFonts w:eastAsiaTheme="minorEastAsia"/>
          <w:lang w:val="en-US"/>
        </w:rPr>
        <w:t>(</w:t>
      </w:r>
      <w:proofErr w:type="spellStart"/>
      <w:r w:rsidR="00095567">
        <w:rPr>
          <w:rFonts w:eastAsiaTheme="minorEastAsia"/>
          <w:lang w:val="en-US"/>
        </w:rPr>
        <w:t>Reyfman</w:t>
      </w:r>
      <w:proofErr w:type="spellEnd"/>
      <w:r w:rsidR="00095567">
        <w:rPr>
          <w:rFonts w:eastAsiaTheme="minorEastAsia"/>
          <w:lang w:val="en-US"/>
        </w:rPr>
        <w:t xml:space="preserve"> et al., 2019)</w:t>
      </w:r>
      <w:r w:rsidR="00095567">
        <w:rPr>
          <w:rFonts w:eastAsiaTheme="minorHAnsi"/>
          <w:lang w:val="en-US"/>
        </w:rPr>
        <w:fldChar w:fldCharType="end"/>
      </w:r>
      <w:r>
        <w:t xml:space="preserve">, </w:t>
      </w:r>
      <w:r w:rsidR="00095567">
        <w:rPr>
          <w:rFonts w:eastAsiaTheme="minorHAnsi"/>
          <w:lang w:val="en-US"/>
        </w:rPr>
        <w:fldChar w:fldCharType="begin"/>
      </w:r>
      <w:r w:rsidR="004E19A5">
        <w:rPr>
          <w:rFonts w:eastAsiaTheme="minorHAnsi"/>
          <w:lang w:val="en-US"/>
        </w:rPr>
        <w:instrText xml:space="preserve"> ADDIN PAPERS2_CITATIONS &lt;citation&gt;&lt;priority&gt;93&lt;/priority&gt;&lt;uuid&gt;E4079E9A-621B-41C3-9704-C99A709DB7A1&lt;/uuid&gt;&lt;publications&gt;&lt;publication&gt;&lt;subtype&gt;400&lt;/subtype&gt;&lt;title&gt;Plasma exosome microRNAs are indicative of breast cancer.&lt;/title&gt;&lt;url&gt;http://eutils.ncbi.nlm.nih.gov/entrez/eutils/elink.fcgi?dbfrom=pubmed&amp;amp;id=27608715&amp;amp;retmode=ref&amp;amp;cmd=prlinks&lt;/url&gt;&lt;volume&gt;18&lt;/volume&gt;&lt;publication_date&gt;99201609081200000000222000&lt;/publication_date&gt;&lt;uuid&gt;52B0F3BB-F3F1-4B4D-BEE2-22D50191E2C9&lt;/uuid&gt;&lt;type&gt;400&lt;/type&gt;&lt;accepted_date&gt;99201608171200000000222000&lt;/accepted_date&gt;&lt;number&gt;1&lt;/number&gt;&lt;submission_date&gt;99201603231200000000222000&lt;/submission_date&gt;&lt;doi&gt;10.1186/s13058-016-0753-x&lt;/doi&gt;&lt;institution&gt;Department of Pathology, University of Oklahoma Health Sciences Center, Oklahoma City, OK, 73104, USA.&lt;/institution&gt;&lt;startpage&gt;90&lt;/startpage&gt;&lt;bundle&gt;&lt;publication&gt;&lt;title&gt;Breast cancer research : BCR&lt;/title&gt;&lt;uuid&gt;186B34D3-6E61-4DB4-966F-3B30E4CE7C4F&lt;/uuid&gt;&lt;subtype&gt;-100&lt;/subtype&gt;&lt;type&gt;-100&lt;/type&gt;&lt;/publication&gt;&lt;/bundle&gt;&lt;authors&gt;&lt;author&gt;&lt;lastName&gt;Hannafon&lt;/lastName&gt;&lt;firstName&gt;Bethany&lt;/firstName&gt;&lt;middleNames&gt;N&lt;/middleNames&gt;&lt;/author&gt;&lt;author&gt;&lt;lastName&gt;Trigoso&lt;/lastName&gt;&lt;firstName&gt;Yvonne&lt;/firstName&gt;&lt;middleNames&gt;D&lt;/middleNames&gt;&lt;/author&gt;&lt;author&gt;&lt;lastName&gt;Calloway&lt;/lastName&gt;&lt;firstName&gt;Cameron&lt;/firstName&gt;&lt;middleNames&gt;L&lt;/middleNames&gt;&lt;/author&gt;&lt;author&gt;&lt;lastName&gt;Zhao&lt;/lastName&gt;&lt;firstName&gt;Y&lt;/firstName&gt;&lt;middleNames&gt;Daniel&lt;/middleNames&gt;&lt;/author&gt;&lt;author&gt;&lt;lastName&gt;Lum&lt;/lastName&gt;&lt;firstName&gt;David&lt;/firstName&gt;&lt;middleNames&gt;H&lt;/middleNames&gt;&lt;/author&gt;&lt;author&gt;&lt;lastName&gt;Welm&lt;/lastName&gt;&lt;firstName&gt;Alana&lt;/firstName&gt;&lt;middleNames&gt;L&lt;/middleNames&gt;&lt;/author&gt;&lt;author&gt;&lt;lastName&gt;Zhao&lt;/lastName&gt;&lt;firstName&gt;Zhizhuang&lt;/firstName&gt;&lt;middleNames&gt;J&lt;/middleNames&gt;&lt;/author&gt;&lt;author&gt;&lt;lastName&gt;Blick&lt;/lastName&gt;&lt;firstName&gt;Kenneth&lt;/firstName&gt;&lt;middleNames&gt;E&lt;/middleNames&gt;&lt;/author&gt;&lt;author&gt;&lt;lastName&gt;Dooley&lt;/lastName&gt;&lt;firstName&gt;William&lt;/firstName&gt;&lt;middleNames&gt;C&lt;/middleNames&gt;&lt;/author&gt;&lt;author&gt;&lt;lastName&gt;Ding&lt;/lastName&gt;&lt;firstName&gt;W&lt;/firstName&gt;&lt;middleNames&gt;Q&lt;/middleNames&gt;&lt;/author&gt;&lt;/authors&gt;&lt;/publication&gt;&lt;/publications&gt;&lt;cites&gt;&lt;/cites&gt;&lt;/citation&gt;</w:instrText>
      </w:r>
      <w:r w:rsidR="00095567">
        <w:rPr>
          <w:rFonts w:eastAsiaTheme="minorHAnsi"/>
          <w:lang w:val="en-US"/>
        </w:rPr>
        <w:fldChar w:fldCharType="separate"/>
      </w:r>
      <w:r w:rsidR="00095567">
        <w:rPr>
          <w:rFonts w:eastAsiaTheme="minorEastAsia"/>
          <w:lang w:val="en-US"/>
        </w:rPr>
        <w:t>(</w:t>
      </w:r>
      <w:proofErr w:type="spellStart"/>
      <w:r w:rsidR="00095567">
        <w:rPr>
          <w:rFonts w:eastAsiaTheme="minorEastAsia"/>
          <w:lang w:val="en-US"/>
        </w:rPr>
        <w:t>Hannafon</w:t>
      </w:r>
      <w:proofErr w:type="spellEnd"/>
      <w:r w:rsidR="00095567">
        <w:rPr>
          <w:rFonts w:eastAsiaTheme="minorEastAsia"/>
          <w:lang w:val="en-US"/>
        </w:rPr>
        <w:t xml:space="preserve"> et al., 2016)</w:t>
      </w:r>
      <w:r w:rsidR="00095567">
        <w:rPr>
          <w:rFonts w:eastAsiaTheme="minorHAnsi"/>
          <w:lang w:val="en-US"/>
        </w:rPr>
        <w:fldChar w:fldCharType="end"/>
      </w:r>
      <w:r>
        <w:rPr>
          <w:rFonts w:eastAsiaTheme="minorHAnsi"/>
          <w:lang w:val="en-US"/>
        </w:rPr>
        <w:t>,</w:t>
      </w:r>
      <w:r>
        <w:t xml:space="preserve"> </w:t>
      </w:r>
      <w:r w:rsidR="00095567">
        <w:rPr>
          <w:rFonts w:eastAsiaTheme="minorHAnsi"/>
          <w:lang w:val="en-US"/>
        </w:rPr>
        <w:fldChar w:fldCharType="begin"/>
      </w:r>
      <w:r w:rsidR="004E19A5">
        <w:rPr>
          <w:rFonts w:eastAsiaTheme="minorHAnsi"/>
          <w:lang w:val="en-US"/>
        </w:rPr>
        <w:instrText xml:space="preserve"> ADDIN PAPERS2_CITATIONS &lt;citation&gt;&lt;priority&gt;94&lt;/priority&gt;&lt;uuid&gt;F0A79164-8CC1-4FCC-B88C-CF23F55B1D77&lt;/uuid&gt;&lt;publications&gt;&lt;publication&gt;&lt;subtype&gt;400&lt;/subtype&gt;&lt;title&gt;Evaluation of commercially available small RNASeq library preparation kits using low input RNA.&lt;/title&gt;&lt;url&gt;http://eutils.ncbi.nlm.nih.gov/entrez/eutils/elink.fcgi?dbfrom=pubmed&amp;amp;id=29728066&amp;amp;retmode=ref&amp;amp;cmd=prlinks&lt;/url&gt;&lt;volume&gt;19&lt;/volume&gt;&lt;publication_date&gt;99201805051200000000222000&lt;/publication_date&gt;&lt;uuid&gt;BCE71803-65AA-44E5-B84E-37D7BE536F91&lt;/uuid&gt;&lt;type&gt;400&lt;/type&gt;&lt;accepted_date&gt;99201804251200000000222000&lt;/accepted_date&gt;&lt;number&gt;1&lt;/number&gt;&lt;submission_date&gt;99201709111200000000222000&lt;/submission_date&gt;&lt;doi&gt;10.1186/s12864-018-4726-6&lt;/doi&gt;&lt;institution&gt;Cardiovascular Research Center, Massachusetts General Hospital, Harvard University, 185 Cambridge Street, Boston, MA, 02114, USA.&lt;/institution&gt;&lt;startpage&gt;331&lt;/startpage&gt;&lt;bundle&gt;&lt;publication&gt;&lt;title&gt;BMC Genomics&lt;/title&gt;&lt;uuid&gt;10151639-B2BE-4658-BDDA-91A2788EFFC5&lt;/uuid&gt;&lt;subtype&gt;-100&lt;/subtype&gt;&lt;publisher&gt;BioMed Central Ltd&lt;/publisher&gt;&lt;type&gt;-100&lt;/type&gt;&lt;/publication&gt;&lt;/bundle&gt;&lt;authors&gt;&lt;author&gt;&lt;lastName&gt;Yeri&lt;/lastName&gt;&lt;firstName&gt;Ashish&lt;/firstName&gt;&lt;/author&gt;&lt;author&gt;&lt;lastName&gt;Courtright&lt;/lastName&gt;&lt;firstName&gt;Amanda&lt;/firstName&gt;&lt;/author&gt;&lt;author&gt;&lt;lastName&gt;Danielson&lt;/lastName&gt;&lt;firstName&gt;Kirsty&lt;/firstName&gt;&lt;/author&gt;&lt;author&gt;&lt;lastName&gt;Hutchins&lt;/lastName&gt;&lt;firstName&gt;Elizabeth&lt;/firstName&gt;&lt;/author&gt;&lt;author&gt;&lt;lastName&gt;Alsop&lt;/lastName&gt;&lt;firstName&gt;Eric&lt;/firstName&gt;&lt;/author&gt;&lt;author&gt;&lt;lastName&gt;Carlson&lt;/lastName&gt;&lt;firstName&gt;Elizabeth&lt;/firstName&gt;&lt;/author&gt;&lt;author&gt;&lt;lastName&gt;Hsieh&lt;/lastName&gt;&lt;firstName&gt;Michael&lt;/firstName&gt;&lt;/author&gt;&lt;author&gt;&lt;lastName&gt;Ziegler&lt;/lastName&gt;&lt;firstName&gt;Olivia&lt;/firstName&gt;&lt;/author&gt;&lt;author&gt;&lt;lastName&gt;Das&lt;/lastName&gt;&lt;firstName&gt;Avash&lt;/firstName&gt;&lt;/author&gt;&lt;author&gt;&lt;lastName&gt;Shah&lt;/lastName&gt;&lt;firstName&gt;Ravi&lt;/firstName&gt;&lt;middleNames&gt;V&lt;/middleNames&gt;&lt;/author&gt;&lt;author&gt;&lt;lastName&gt;Rozowsky&lt;/lastName&gt;&lt;firstName&gt;Joel&lt;/firstName&gt;&lt;/author&gt;&lt;author&gt;&lt;lastName&gt;Das&lt;/lastName&gt;&lt;firstName&gt;Saumya&lt;/firstName&gt;&lt;/author&gt;&lt;author&gt;&lt;lastName&gt;Keuren-Jensen&lt;/lastName&gt;&lt;nonDroppingParticle&gt;Van&lt;/nonDroppingParticle&gt;&lt;firstName&gt;Kendall&lt;/firstName&gt;&lt;/author&gt;&lt;/authors&gt;&lt;/publication&gt;&lt;/publications&gt;&lt;cites&gt;&lt;/cites&gt;&lt;/citation&gt;</w:instrText>
      </w:r>
      <w:r w:rsidR="00095567">
        <w:rPr>
          <w:rFonts w:eastAsiaTheme="minorHAnsi"/>
          <w:lang w:val="en-US"/>
        </w:rPr>
        <w:fldChar w:fldCharType="separate"/>
      </w:r>
      <w:r w:rsidR="00095567">
        <w:rPr>
          <w:rFonts w:eastAsiaTheme="minorEastAsia"/>
          <w:lang w:val="en-US"/>
        </w:rPr>
        <w:t>(</w:t>
      </w:r>
      <w:proofErr w:type="spellStart"/>
      <w:r w:rsidR="00095567">
        <w:rPr>
          <w:rFonts w:eastAsiaTheme="minorEastAsia"/>
          <w:lang w:val="en-US"/>
        </w:rPr>
        <w:t>Yeri</w:t>
      </w:r>
      <w:proofErr w:type="spellEnd"/>
      <w:r w:rsidR="00095567">
        <w:rPr>
          <w:rFonts w:eastAsiaTheme="minorEastAsia"/>
          <w:lang w:val="en-US"/>
        </w:rPr>
        <w:t xml:space="preserve"> et al., 2018)</w:t>
      </w:r>
      <w:r w:rsidR="00095567">
        <w:rPr>
          <w:rFonts w:eastAsiaTheme="minorHAnsi"/>
          <w:lang w:val="en-US"/>
        </w:rPr>
        <w:fldChar w:fldCharType="end"/>
      </w:r>
      <w:r>
        <w:t xml:space="preserve">. Given the advances and the </w:t>
      </w:r>
      <w:proofErr w:type="spellStart"/>
      <w:r>
        <w:t>miRQC</w:t>
      </w:r>
      <w:proofErr w:type="spellEnd"/>
      <w:r>
        <w:t xml:space="preserve"> study identifying NGS techniques in the same cluster as qPCR techniques NGS discovery followed by PCR validation is a valid consideration for future studies.</w:t>
      </w:r>
      <w:r w:rsidR="00EA2F05">
        <w:br w:type="page"/>
      </w:r>
    </w:p>
    <w:p w14:paraId="268A5198" w14:textId="77777777" w:rsidR="00EA2F05" w:rsidRPr="00E5229C" w:rsidRDefault="00EA2F05" w:rsidP="00EA2F05">
      <w:pPr>
        <w:pStyle w:val="Heading1"/>
        <w:numPr>
          <w:ilvl w:val="0"/>
          <w:numId w:val="7"/>
        </w:numPr>
        <w:spacing w:before="120" w:after="120"/>
      </w:pPr>
      <w:bookmarkStart w:id="321" w:name="_Toc60773965"/>
      <w:r>
        <w:lastRenderedPageBreak/>
        <w:t>General Discussion</w:t>
      </w:r>
      <w:bookmarkEnd w:id="321"/>
    </w:p>
    <w:p w14:paraId="23690598" w14:textId="77777777" w:rsidR="00EA2F05" w:rsidRDefault="00EA2F05" w:rsidP="00EA2F05">
      <w:pPr>
        <w:pStyle w:val="Body"/>
      </w:pPr>
    </w:p>
    <w:p w14:paraId="0F0855BD" w14:textId="66B03759" w:rsidR="00EA2F05" w:rsidRDefault="00EA2F05" w:rsidP="00EA2F05">
      <w:pPr>
        <w:pStyle w:val="Body"/>
      </w:pPr>
      <w:r>
        <w:t xml:space="preserve">Biomarkers in PAH still remain elusive and difficult to identify. Consequently, this is still an actively researched area within PAH. As of October 2019, there were 530 PAH publications categorised with the MeSH term for biomarkers, for 60 of those biomarkers was a major topic of the publication. Over the past 3 years the rate of publications has been 47 and 5 publications per year for all publication/major topics respectively  </w:t>
      </w:r>
      <w:r>
        <w:fldChar w:fldCharType="begin"/>
      </w:r>
      <w:r>
        <w:instrText xml:space="preserve"> REF _Ref23580383 \h </w:instrText>
      </w:r>
      <w:r>
        <w:fldChar w:fldCharType="separate"/>
      </w:r>
      <w:r w:rsidR="00885DE4">
        <w:t xml:space="preserve">Figure </w:t>
      </w:r>
      <w:r w:rsidR="00885DE4">
        <w:rPr>
          <w:noProof/>
        </w:rPr>
        <w:t>7</w:t>
      </w:r>
      <w:r w:rsidR="00885DE4">
        <w:noBreakHyphen/>
      </w:r>
      <w:r w:rsidR="00885DE4">
        <w:rPr>
          <w:noProof/>
        </w:rPr>
        <w:t>1</w:t>
      </w:r>
      <w:r>
        <w:fldChar w:fldCharType="end"/>
      </w:r>
      <w:r>
        <w:t>.</w:t>
      </w:r>
    </w:p>
    <w:p w14:paraId="4DCDEC01" w14:textId="77777777" w:rsidR="00EA2F05" w:rsidRPr="006B5095" w:rsidRDefault="00EA2F05" w:rsidP="00EA2F05">
      <w:r w:rsidRPr="006B5095">
        <w:fldChar w:fldCharType="begin"/>
      </w:r>
      <w:r w:rsidRPr="006B5095">
        <w:instrText xml:space="preserve"> INCLUDEPICTURE "/var/folders/l6/vys2vd0146s3s10pz21166nr0000gp/T/com.microsoft.Word/WebArchiveCopyPasteTempFiles/00002e.png?fixed_size=1" \* MERGEFORMATINET </w:instrText>
      </w:r>
      <w:r w:rsidRPr="006B5095">
        <w:fldChar w:fldCharType="separate"/>
      </w:r>
      <w:r w:rsidRPr="006B5095">
        <w:rPr>
          <w:noProof/>
        </w:rPr>
        <w:drawing>
          <wp:inline distT="0" distB="0" distL="0" distR="0" wp14:anchorId="1F657DB9" wp14:editId="1394DE01">
            <wp:extent cx="5764530" cy="2562225"/>
            <wp:effectExtent l="0" t="0" r="1270" b="3175"/>
            <wp:docPr id="24" name="Picture 24" descr="/var/folders/l6/vys2vd0146s3s10pz21166nr0000gp/T/com.microsoft.Word/WebArchiveCopyPasteTempFiles/00002e.png?fixed_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l6/vys2vd0146s3s10pz21166nr0000gp/T/com.microsoft.Word/WebArchiveCopyPasteTempFiles/00002e.png?fixed_size=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4530" cy="2562225"/>
                    </a:xfrm>
                    <a:prstGeom prst="rect">
                      <a:avLst/>
                    </a:prstGeom>
                    <a:noFill/>
                    <a:ln>
                      <a:noFill/>
                    </a:ln>
                  </pic:spPr>
                </pic:pic>
              </a:graphicData>
            </a:graphic>
          </wp:inline>
        </w:drawing>
      </w:r>
      <w:r w:rsidRPr="006B5095">
        <w:fldChar w:fldCharType="end"/>
      </w:r>
    </w:p>
    <w:p w14:paraId="6FE3D2FA" w14:textId="77777777" w:rsidR="00EA2F05" w:rsidRPr="006B5095" w:rsidRDefault="00EA2F05" w:rsidP="00EA2F05"/>
    <w:p w14:paraId="1221C140" w14:textId="0E9D5DD0" w:rsidR="00EA2F05" w:rsidRPr="00254B0E" w:rsidRDefault="00EA2F05" w:rsidP="00EA2F05">
      <w:pPr>
        <w:pStyle w:val="Caption"/>
        <w:rPr>
          <w:rFonts w:ascii="Times New Roman" w:eastAsia="Times New Roman" w:hAnsi="Times New Roman" w:cs="Times New Roman"/>
          <w:color w:val="auto"/>
          <w:bdr w:val="none" w:sz="0" w:space="0" w:color="auto"/>
        </w:rPr>
      </w:pPr>
      <w:bookmarkStart w:id="322" w:name="_Ref23580383"/>
      <w:bookmarkStart w:id="323" w:name="_Toc60597217"/>
      <w:r>
        <w:t xml:space="preserve">Figure </w:t>
      </w:r>
      <w:r w:rsidR="00864CF4">
        <w:fldChar w:fldCharType="begin"/>
      </w:r>
      <w:r w:rsidR="00864CF4">
        <w:instrText xml:space="preserve"> STYLEREF 1 \s </w:instrText>
      </w:r>
      <w:r w:rsidR="00864CF4">
        <w:fldChar w:fldCharType="separate"/>
      </w:r>
      <w:r w:rsidR="00885DE4">
        <w:rPr>
          <w:noProof/>
        </w:rPr>
        <w:t>7</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1</w:t>
      </w:r>
      <w:r w:rsidR="00864CF4">
        <w:fldChar w:fldCharType="end"/>
      </w:r>
      <w:bookmarkEnd w:id="322"/>
      <w:r>
        <w:t xml:space="preserve"> Publications tagged with the MeSH term biomarkers within a corpus of PAH publications.</w:t>
      </w:r>
      <w:bookmarkEnd w:id="323"/>
    </w:p>
    <w:p w14:paraId="33FF749D" w14:textId="77777777" w:rsidR="00EA2F05" w:rsidRDefault="00EA2F05" w:rsidP="00EA2F05">
      <w:pPr>
        <w:pStyle w:val="Body"/>
      </w:pPr>
    </w:p>
    <w:p w14:paraId="6A2985FF" w14:textId="05F3339E" w:rsidR="00EA2F05" w:rsidRDefault="00EA2F05" w:rsidP="00EA2F05">
      <w:pPr>
        <w:pStyle w:val="Body"/>
      </w:pPr>
      <w:r>
        <w:t>Recently Janssen who now own Actelion’s significant PAH drug portfolio began a large, international PAH biomarker study on the 10</w:t>
      </w:r>
      <w:r w:rsidRPr="007E2A4E">
        <w:rPr>
          <w:vertAlign w:val="superscript"/>
        </w:rPr>
        <w:t>th</w:t>
      </w:r>
      <w:r>
        <w:t xml:space="preserve"> December 2019 </w:t>
      </w:r>
      <w:r>
        <w:rPr>
          <w:rFonts w:eastAsiaTheme="minorEastAsia" w:cstheme="minorBidi"/>
          <w:color w:val="auto"/>
          <w:bdr w:val="none" w:sz="0" w:space="0" w:color="auto"/>
        </w:rPr>
        <w:t xml:space="preserve">(clinical trial identifier </w:t>
      </w:r>
      <w:r w:rsidRPr="00AD53CF">
        <w:rPr>
          <w:rFonts w:hAnsi="Helvetica" w:cs="Arial"/>
        </w:rPr>
        <w:t>NCT04193046</w:t>
      </w:r>
      <w:r>
        <w:rPr>
          <w:rFonts w:hAnsi="Helvetica" w:cs="Arial"/>
        </w:rPr>
        <w:t>)</w:t>
      </w:r>
      <w:r>
        <w:t xml:space="preserve">. The study for the Identification of Biomarker Signatures for Early Detection of Pulmonary Hypertension (CIPHER) seeks to recruit 800 patients from centres in the USA and Europe. Recruitment from multiple sites across continents should help of any predictive mode to be more generalised and accurate. Blood and </w:t>
      </w:r>
      <w:r>
        <w:lastRenderedPageBreak/>
        <w:t>breath samples from incident and prevalent samples will be taken from patients who have undergone RHC. The diverse sampling of both volatile organic compounds in participants breath as well as blood miRNA will increase the potential for identifying useful biomarkers. However, the inclusion of CTEPH, Isolated pre-capillary, post-c</w:t>
      </w:r>
      <w:r w:rsidRPr="00D275F5">
        <w:t>apillary</w:t>
      </w:r>
      <w:r>
        <w:t xml:space="preserve"> and prevalent</w:t>
      </w:r>
      <w:r w:rsidRPr="00D275F5">
        <w:t xml:space="preserve"> PH</w:t>
      </w:r>
      <w:r>
        <w:t xml:space="preserve"> samples in the cohort risks it becoming too heterogenous which may negatively affect the primary outcome of “identifying biomarker signature(s) of participants at risk of PH”.</w:t>
      </w:r>
    </w:p>
    <w:p w14:paraId="5606751B" w14:textId="77777777" w:rsidR="00EA2F05" w:rsidRDefault="00EA2F05" w:rsidP="00EA2F05">
      <w:pPr>
        <w:pStyle w:val="Body"/>
      </w:pPr>
    </w:p>
    <w:p w14:paraId="50C7751C" w14:textId="77777777" w:rsidR="00EA2F05" w:rsidRDefault="00EA2F05" w:rsidP="00EA2F05">
      <w:pPr>
        <w:pStyle w:val="Body"/>
      </w:pPr>
      <w:r>
        <w:t xml:space="preserve">This thesis set out to identify a set of diagnostic biomarkers for subsequent validation from an unbiased microRNA microarray screen. Pre-empting a level of validation failure, typical of microarrays, a method was developed to identify a validation set containing not just the top miRNAs but, additional, next best targets too. </w:t>
      </w:r>
    </w:p>
    <w:p w14:paraId="0EE48705" w14:textId="77777777" w:rsidR="00EA2F05" w:rsidRDefault="00EA2F05" w:rsidP="00EA2F05">
      <w:pPr>
        <w:pStyle w:val="Body"/>
      </w:pPr>
    </w:p>
    <w:p w14:paraId="701C881B" w14:textId="77777777" w:rsidR="00EA2F05" w:rsidRDefault="00EA2F05" w:rsidP="00EA2F05">
      <w:pPr>
        <w:pStyle w:val="Body"/>
      </w:pPr>
      <w:r>
        <w:t xml:space="preserve">First investigated was the best source of circulating miRNAs. From the results of both differential expression and feature selection plasma was chosen as the best source for potential circulating miRNA biomarkers from matched sample whole blood and plasma miRNA microarray data.  An analysis protocol was then developed in a larger IPAH and HV cohort and applied to the smaller </w:t>
      </w:r>
      <w:proofErr w:type="spellStart"/>
      <w:r>
        <w:t>SSc</w:t>
      </w:r>
      <w:proofErr w:type="spellEnd"/>
      <w:r>
        <w:t xml:space="preserve"> and </w:t>
      </w:r>
      <w:proofErr w:type="spellStart"/>
      <w:r>
        <w:t>SSc</w:t>
      </w:r>
      <w:proofErr w:type="spellEnd"/>
      <w:r>
        <w:t xml:space="preserve">-PAH. </w:t>
      </w:r>
    </w:p>
    <w:p w14:paraId="119E63FB" w14:textId="77777777" w:rsidR="00EA2F05" w:rsidRDefault="00EA2F05" w:rsidP="00EA2F05">
      <w:pPr>
        <w:pStyle w:val="Body"/>
      </w:pPr>
    </w:p>
    <w:p w14:paraId="046E4484" w14:textId="77777777" w:rsidR="00EA2F05" w:rsidRDefault="00EA2F05" w:rsidP="00EA2F05">
      <w:pPr>
        <w:pStyle w:val="Body"/>
      </w:pPr>
      <w:r>
        <w:t xml:space="preserve">In total 10 miRNAs were identified for further investigation. Initial verification of performance by qPCR was performed in samples matched to the initial microarray study. This identified 3 miRNAs with satisfactory performance for validation within a larger </w:t>
      </w:r>
      <w:proofErr w:type="spellStart"/>
      <w:r>
        <w:t>SSc</w:t>
      </w:r>
      <w:proofErr w:type="spellEnd"/>
      <w:r>
        <w:t xml:space="preserve"> and </w:t>
      </w:r>
      <w:proofErr w:type="spellStart"/>
      <w:r>
        <w:t>SSc</w:t>
      </w:r>
      <w:proofErr w:type="spellEnd"/>
      <w:r>
        <w:t>-PAH cohort.</w:t>
      </w:r>
    </w:p>
    <w:p w14:paraId="15473580" w14:textId="77777777" w:rsidR="00EA2F05" w:rsidRDefault="00EA2F05" w:rsidP="00EA2F05">
      <w:pPr>
        <w:pStyle w:val="Body"/>
      </w:pPr>
    </w:p>
    <w:p w14:paraId="67DC3628" w14:textId="77777777" w:rsidR="00EA2F05" w:rsidRDefault="00EA2F05" w:rsidP="00EA2F05">
      <w:pPr>
        <w:pStyle w:val="Body"/>
      </w:pPr>
      <w:r>
        <w:t>The final miRNA panel of miRNA-436-5p, miRNA-584-5p and miRNA-638 with an AUC of 0.72 was inferior to 0.85 for NT-</w:t>
      </w:r>
      <w:proofErr w:type="spellStart"/>
      <w:r>
        <w:t>proBNP</w:t>
      </w:r>
      <w:proofErr w:type="spellEnd"/>
      <w:r>
        <w:t>. Whilst this is indicative of NT-</w:t>
      </w:r>
      <w:proofErr w:type="spellStart"/>
      <w:r>
        <w:t>proBNP</w:t>
      </w:r>
      <w:proofErr w:type="spellEnd"/>
      <w:r>
        <w:t xml:space="preserve"> being a better diagnostic test it is only a marker of myocardial stress and not specific to PAH. The panel miRNAs may be linked to drivers or disease processes of PAH which could be deduced with further investigations. In-silico prediction of miRNA targets alone or in combination with proteomics, mRNA expression and pathway analysis may shed further light into as yet unknown diseases mechanisms. Additionally, it is unknown how the miRNAs will behave longitudinally or response to PAH therapies and with a sufficiently large longitudinal cohort miRNA response to survival and prognostic markers could be investigated.</w:t>
      </w:r>
    </w:p>
    <w:p w14:paraId="06168163" w14:textId="77777777" w:rsidR="00EA2F05" w:rsidRDefault="00EA2F05" w:rsidP="00EA2F05">
      <w:pPr>
        <w:pStyle w:val="Body"/>
      </w:pPr>
    </w:p>
    <w:p w14:paraId="286E792D" w14:textId="77777777" w:rsidR="00EA2F05" w:rsidRDefault="00EA2F05" w:rsidP="00EA2F05">
      <w:pPr>
        <w:pStyle w:val="Body"/>
      </w:pPr>
      <w:r>
        <w:t xml:space="preserve">The analysis method developed gave a ranked list of potential miRNA biomarker panels. Where the use of ROC cut-offs as panel constituents made it clear how individual miRNAs contribute to the final classification score. However, this may not make the best use of the continuous expression miRNA values. A logistic regression model with continuous data would likely provide superior diagnostic utility, however, by simplifying the data to categorical may result in a more generalised solution by reducing any negative effects of extreme or outlier values that would have more effect in a smaller sample size. </w:t>
      </w:r>
    </w:p>
    <w:p w14:paraId="312B6E64" w14:textId="77777777" w:rsidR="00EA2F05" w:rsidRDefault="00EA2F05" w:rsidP="00EA2F05">
      <w:pPr>
        <w:pStyle w:val="Body"/>
      </w:pPr>
    </w:p>
    <w:p w14:paraId="6A36D143" w14:textId="77777777" w:rsidR="00EA2F05" w:rsidRDefault="00EA2F05" w:rsidP="00EA2F05">
      <w:pPr>
        <w:pStyle w:val="Body"/>
      </w:pPr>
      <w:r>
        <w:t xml:space="preserve">In this method, where possible, steps were taken to improve generalisation of any resulting panel as much as possible. At the sample level, discovery was performed with </w:t>
      </w:r>
      <w:r>
        <w:lastRenderedPageBreak/>
        <w:t xml:space="preserve">a mixed cohort with samples from the University of Sheffield and Imperial College and cross-validation was used. Unfortunately, the plasma samples were not processed in a block randomised design, this could have led to undesired batch effects. Whilst none were detected (data not shown) without randomised the sample processing it is extremely difficult to separate what is a sample effect from a batch effect. </w:t>
      </w:r>
    </w:p>
    <w:p w14:paraId="5406D67F" w14:textId="77777777" w:rsidR="00EA2F05" w:rsidRDefault="00EA2F05" w:rsidP="00EA2F05">
      <w:pPr>
        <w:pStyle w:val="Body"/>
      </w:pPr>
    </w:p>
    <w:p w14:paraId="255FBA34" w14:textId="77777777" w:rsidR="00EA2F05" w:rsidRDefault="00EA2F05" w:rsidP="00EA2F05">
      <w:pPr>
        <w:pStyle w:val="Body"/>
      </w:pPr>
      <w:r>
        <w:t>The sample size in this study was small and a source of additional difficulty throughout the study. A small sample may have obfuscated the identification of more subtle but valid diagnostic patterns within the data that would have been clear in a larger cohort. Additionally, more samples may had led to more relationships being confirmed as statistically significant in the qPCR validation.</w:t>
      </w:r>
    </w:p>
    <w:p w14:paraId="64771E3A" w14:textId="75618AD3" w:rsidR="00EA2F05" w:rsidRDefault="00EA2F05" w:rsidP="00EA2F05">
      <w:pPr>
        <w:pStyle w:val="Body"/>
      </w:pPr>
    </w:p>
    <w:p w14:paraId="3A17B9D0" w14:textId="1DC58488" w:rsidR="00BA2DD8" w:rsidRDefault="00BA2DD8" w:rsidP="00EA2F05">
      <w:pPr>
        <w:pStyle w:val="Heading2"/>
        <w:numPr>
          <w:ilvl w:val="2"/>
          <w:numId w:val="7"/>
        </w:numPr>
        <w:spacing w:before="120" w:after="120"/>
      </w:pPr>
      <w:bookmarkStart w:id="324" w:name="_Toc60773966"/>
      <w:r>
        <w:t>microRNA-436-5p</w:t>
      </w:r>
      <w:bookmarkEnd w:id="324"/>
    </w:p>
    <w:p w14:paraId="277F0EF9" w14:textId="23BA9A24" w:rsidR="00CD35DC" w:rsidRDefault="00EA2F05" w:rsidP="00EA2F05">
      <w:pPr>
        <w:pStyle w:val="Body"/>
      </w:pPr>
      <w:r w:rsidRPr="003824E1">
        <w:t>As miRNA-436-5p</w:t>
      </w:r>
      <w:r>
        <w:t xml:space="preserve"> had the strongest profile in the validation panel there is reason to investigate its relevance to PAH with further studies.</w:t>
      </w:r>
      <w:r w:rsidR="00CD35DC">
        <w:t xml:space="preserve"> As discussed in </w:t>
      </w:r>
      <w:r w:rsidR="00CD35DC">
        <w:fldChar w:fldCharType="begin"/>
      </w:r>
      <w:r w:rsidR="00CD35DC">
        <w:instrText xml:space="preserve"> REF _Ref54981949 \r \h </w:instrText>
      </w:r>
      <w:r w:rsidR="00CD35DC">
        <w:fldChar w:fldCharType="separate"/>
      </w:r>
      <w:r w:rsidR="0009203E">
        <w:t>6.7.2</w:t>
      </w:r>
      <w:r w:rsidR="00CD35DC">
        <w:fldChar w:fldCharType="end"/>
      </w:r>
      <w:r w:rsidR="00CD35DC">
        <w:t xml:space="preserve"> miR-486-5p has a role within several many lung pathophysiology’s although conflicting reports make it difficult to build a hypothesis </w:t>
      </w:r>
      <w:r w:rsidR="00933E9C">
        <w:t xml:space="preserve">on mechanism of action </w:t>
      </w:r>
      <w:r w:rsidR="00CD35DC">
        <w:t>from the literature alone.</w:t>
      </w:r>
      <w:r w:rsidR="00333F1B">
        <w:t xml:space="preserve"> The relationship to the lung can</w:t>
      </w:r>
      <w:r w:rsidR="003755F9">
        <w:t xml:space="preserve"> also</w:t>
      </w:r>
      <w:r w:rsidR="00333F1B">
        <w:t xml:space="preserve"> be seen in the </w:t>
      </w:r>
      <w:r w:rsidR="003755F9">
        <w:t>disease (category C)</w:t>
      </w:r>
      <w:r w:rsidR="00333F1B">
        <w:t xml:space="preserve"> MeSH </w:t>
      </w:r>
      <w:r w:rsidR="003755F9">
        <w:t xml:space="preserve">term </w:t>
      </w:r>
      <w:r w:rsidR="00333F1B">
        <w:t>counts for the publications mentioning miR-486-5p, in particular lung cancer is the most frequent disease mentioned</w:t>
      </w:r>
      <w:r w:rsidR="00272698">
        <w:t xml:space="preserve"> </w:t>
      </w:r>
      <w:r w:rsidR="00272698">
        <w:fldChar w:fldCharType="begin"/>
      </w:r>
      <w:r w:rsidR="00272698">
        <w:instrText xml:space="preserve"> REF _Ref57144390 \h </w:instrText>
      </w:r>
      <w:r w:rsidR="00272698">
        <w:fldChar w:fldCharType="separate"/>
      </w:r>
      <w:r w:rsidR="00885DE4" w:rsidRPr="002575F1">
        <w:rPr>
          <w:i/>
          <w:iCs/>
        </w:rPr>
        <w:t xml:space="preserve">Figure </w:t>
      </w:r>
      <w:r w:rsidR="00885DE4">
        <w:rPr>
          <w:i/>
          <w:iCs/>
          <w:noProof/>
        </w:rPr>
        <w:t>7</w:t>
      </w:r>
      <w:r w:rsidR="00885DE4">
        <w:rPr>
          <w:i/>
          <w:iCs/>
        </w:rPr>
        <w:noBreakHyphen/>
      </w:r>
      <w:r w:rsidR="00885DE4">
        <w:rPr>
          <w:i/>
          <w:iCs/>
          <w:noProof/>
        </w:rPr>
        <w:t>2</w:t>
      </w:r>
      <w:r w:rsidR="00272698">
        <w:fldChar w:fldCharType="end"/>
      </w:r>
      <w:r w:rsidR="00333F1B">
        <w:t xml:space="preserve">. </w:t>
      </w:r>
      <w:r w:rsidR="00933E9C">
        <w:t xml:space="preserve">This is relevant as </w:t>
      </w:r>
      <w:r w:rsidR="00333F1B" w:rsidRPr="005F3EA6">
        <w:t>PAH has</w:t>
      </w:r>
      <w:r w:rsidR="009C0CFB" w:rsidRPr="005F3EA6">
        <w:t xml:space="preserve"> been described as having</w:t>
      </w:r>
      <w:r w:rsidR="00333F1B" w:rsidRPr="005F3EA6">
        <w:t xml:space="preserve"> a neoplastic phenotype</w:t>
      </w:r>
      <w:r w:rsidR="003149CB" w:rsidRPr="005F3EA6">
        <w:t xml:space="preserve"> </w:t>
      </w:r>
      <w:r w:rsidR="009C0CFB">
        <w:t xml:space="preserve">with proliferation of apoptosis resistant pulmonary artery endothelial cells </w:t>
      </w:r>
      <w:r w:rsidR="004E19A5">
        <w:rPr>
          <w:rFonts w:eastAsiaTheme="minorEastAsia"/>
        </w:rPr>
        <w:fldChar w:fldCharType="begin"/>
      </w:r>
      <w:r w:rsidR="004E19A5">
        <w:rPr>
          <w:rFonts w:eastAsiaTheme="minorEastAsia"/>
        </w:rPr>
        <w:instrText xml:space="preserve"> ADDIN PAPERS2_CITATIONS &lt;citation&gt;&lt;priority&gt;134&lt;/priority&gt;&lt;uuid&gt;7D82F4A0-A8E0-4B87-B938-D0835134DC12&lt;/uuid&gt;&lt;publications&gt;&lt;publication&gt;&lt;subtype&gt;400&lt;/subtype&gt;&lt;title&gt;Primary Pulmonary Hypertension Between Inflammation and Cancer&lt;/title&gt;&lt;url&gt;https://linkinghub.elsevier.com/retrieve/pii/S0012369215477931&lt;/url&gt;&lt;volume&gt;114&lt;/volume&gt;&lt;publication_date&gt;99199809001200000000220000&lt;/publication_date&gt;&lt;uuid&gt;C67FD077-C89E-4E38-8104-0D2F4F1AF872&lt;/uuid&gt;&lt;type&gt;400&lt;/type&gt;&lt;number&gt;3&lt;/number&gt;&lt;doi&gt;10.1378/chest.114.3_Supplement.225S&lt;/doi&gt;&lt;startpage&gt;225S&lt;/startpage&gt;&lt;endpage&gt;230S&lt;/endpage&gt;&lt;bundle&gt;&lt;publication&gt;&lt;title&gt;Chest&lt;/title&gt;&lt;uuid&gt;7AB45E3F-A848-4E50-88B7-8C8DE4A58CEC&lt;/uuid&gt;&lt;subtype&gt;-100&lt;/subtype&gt;&lt;publisher&gt;American College of Chest Physicians&lt;/publisher&gt;&lt;type&gt;-100&lt;/type&gt;&lt;/publication&gt;&lt;/bundle&gt;&lt;authors&gt;&lt;author&gt;&lt;lastName&gt;Voelkel&lt;/lastName&gt;&lt;firstName&gt;Norbert&lt;/firstName&gt;&lt;middleNames&gt;F&lt;/middleNames&gt;&lt;/author&gt;&lt;author&gt;&lt;lastName&gt;Cool&lt;/lastName&gt;&lt;firstName&gt;Carlyne&lt;/firstName&gt;&lt;/author&gt;&lt;author&gt;&lt;lastName&gt;Lee&lt;/lastName&gt;&lt;firstName&gt;S&lt;/firstName&gt;&lt;middleNames&gt;D&lt;/middleNames&gt;&lt;/author&gt;&lt;author&gt;&lt;lastName&gt;Wright&lt;/lastName&gt;&lt;firstName&gt;L&lt;/firstName&gt;&lt;/author&gt;&lt;author&gt;&lt;lastName&gt;Geraci&lt;/lastName&gt;&lt;firstName&gt;Mark&lt;/firstName&gt;&lt;middleNames&gt;W&lt;/middleNames&gt;&lt;/author&gt;&lt;author&gt;&lt;lastName&gt;Tuder&lt;/lastName&gt;&lt;firstName&gt;Rubin&lt;/firstName&gt;&lt;middleNames&gt;M&lt;/middleNames&gt;&lt;/author&gt;&lt;/auth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Voelkel</w:t>
      </w:r>
      <w:proofErr w:type="spellEnd"/>
      <w:r w:rsidR="004E19A5">
        <w:rPr>
          <w:rFonts w:eastAsiaTheme="minorEastAsia"/>
        </w:rPr>
        <w:t xml:space="preserve"> et al., 1998)</w:t>
      </w:r>
      <w:r w:rsidR="004E19A5">
        <w:rPr>
          <w:rFonts w:eastAsiaTheme="minorEastAsia"/>
        </w:rPr>
        <w:fldChar w:fldCharType="end"/>
      </w:r>
      <w:r w:rsidR="007D3BAD">
        <w:rPr>
          <w:rFonts w:eastAsiaTheme="minorEastAsia"/>
        </w:rPr>
        <w:t xml:space="preserve">, </w:t>
      </w:r>
      <w:r w:rsidR="003149CB" w:rsidRPr="005F3EA6">
        <w:rPr>
          <w:rFonts w:eastAsiaTheme="minorEastAsia"/>
        </w:rPr>
        <w:t>{Rai:200fv}</w:t>
      </w:r>
      <w:r w:rsidR="009C0CFB" w:rsidRPr="005F3EA6">
        <w:t>.</w:t>
      </w:r>
    </w:p>
    <w:p w14:paraId="0E374728" w14:textId="77777777" w:rsidR="006A1010" w:rsidRDefault="006A1010" w:rsidP="00EA2F05">
      <w:pPr>
        <w:pStyle w:val="Body"/>
      </w:pPr>
    </w:p>
    <w:p w14:paraId="756FF724" w14:textId="77777777" w:rsidR="004B116E" w:rsidRDefault="002F5907" w:rsidP="002575F1">
      <w:pPr>
        <w:pStyle w:val="Body"/>
        <w:rPr>
          <w:i/>
          <w:iCs/>
        </w:rPr>
      </w:pPr>
      <w:r>
        <w:rPr>
          <w:i/>
          <w:iCs/>
          <w:noProof/>
        </w:rPr>
        <w:lastRenderedPageBreak/>
        <w:drawing>
          <wp:inline distT="0" distB="0" distL="0" distR="0" wp14:anchorId="7BBF8F18" wp14:editId="534CCAFC">
            <wp:extent cx="5764530" cy="3202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6"/>
                    <a:stretch>
                      <a:fillRect/>
                    </a:stretch>
                  </pic:blipFill>
                  <pic:spPr>
                    <a:xfrm>
                      <a:off x="0" y="0"/>
                      <a:ext cx="5764530" cy="3202305"/>
                    </a:xfrm>
                    <a:prstGeom prst="rect">
                      <a:avLst/>
                    </a:prstGeom>
                  </pic:spPr>
                </pic:pic>
              </a:graphicData>
            </a:graphic>
          </wp:inline>
        </w:drawing>
      </w:r>
    </w:p>
    <w:p w14:paraId="281B72A7" w14:textId="472688E6" w:rsidR="006A1010" w:rsidRPr="002575F1" w:rsidRDefault="006A1010" w:rsidP="002575F1">
      <w:pPr>
        <w:pStyle w:val="Body"/>
        <w:rPr>
          <w:i/>
          <w:iCs/>
        </w:rPr>
      </w:pPr>
      <w:bookmarkStart w:id="325" w:name="_Ref57144390"/>
      <w:bookmarkStart w:id="326" w:name="_Toc60597218"/>
      <w:r w:rsidRPr="002575F1">
        <w:rPr>
          <w:i/>
          <w:iCs/>
        </w:rPr>
        <w:t xml:space="preserve">Figure </w:t>
      </w:r>
      <w:r w:rsidR="00864CF4">
        <w:rPr>
          <w:i/>
          <w:iCs/>
        </w:rPr>
        <w:fldChar w:fldCharType="begin"/>
      </w:r>
      <w:r w:rsidR="00864CF4">
        <w:rPr>
          <w:i/>
          <w:iCs/>
        </w:rPr>
        <w:instrText xml:space="preserve"> STYLEREF 1 \s </w:instrText>
      </w:r>
      <w:r w:rsidR="00864CF4">
        <w:rPr>
          <w:i/>
          <w:iCs/>
        </w:rPr>
        <w:fldChar w:fldCharType="separate"/>
      </w:r>
      <w:r w:rsidR="00885DE4">
        <w:rPr>
          <w:i/>
          <w:iCs/>
          <w:noProof/>
        </w:rPr>
        <w:t>7</w:t>
      </w:r>
      <w:r w:rsidR="00864CF4">
        <w:rPr>
          <w:i/>
          <w:iCs/>
        </w:rPr>
        <w:fldChar w:fldCharType="end"/>
      </w:r>
      <w:r w:rsidR="00864CF4">
        <w:rPr>
          <w:i/>
          <w:iCs/>
        </w:rPr>
        <w:noBreakHyphen/>
      </w:r>
      <w:r w:rsidR="00864CF4">
        <w:rPr>
          <w:i/>
          <w:iCs/>
        </w:rPr>
        <w:fldChar w:fldCharType="begin"/>
      </w:r>
      <w:r w:rsidR="00864CF4">
        <w:rPr>
          <w:i/>
          <w:iCs/>
        </w:rPr>
        <w:instrText xml:space="preserve"> SEQ Figure \* ARABIC \s 1 </w:instrText>
      </w:r>
      <w:r w:rsidR="00864CF4">
        <w:rPr>
          <w:i/>
          <w:iCs/>
        </w:rPr>
        <w:fldChar w:fldCharType="separate"/>
      </w:r>
      <w:r w:rsidR="00885DE4">
        <w:rPr>
          <w:i/>
          <w:iCs/>
          <w:noProof/>
        </w:rPr>
        <w:t>2</w:t>
      </w:r>
      <w:r w:rsidR="00864CF4">
        <w:rPr>
          <w:i/>
          <w:iCs/>
        </w:rPr>
        <w:fldChar w:fldCharType="end"/>
      </w:r>
      <w:bookmarkEnd w:id="325"/>
      <w:r w:rsidRPr="002575F1">
        <w:rPr>
          <w:i/>
          <w:iCs/>
        </w:rPr>
        <w:t xml:space="preserve"> </w:t>
      </w:r>
      <w:r w:rsidR="008F15AF" w:rsidRPr="002575F1">
        <w:rPr>
          <w:i/>
          <w:iCs/>
        </w:rPr>
        <w:t>Bar chart summarising disease MeSH terms used in p</w:t>
      </w:r>
      <w:r w:rsidRPr="002575F1">
        <w:rPr>
          <w:i/>
          <w:iCs/>
        </w:rPr>
        <w:t xml:space="preserve">ublications </w:t>
      </w:r>
      <w:r w:rsidR="008F15AF" w:rsidRPr="002575F1">
        <w:rPr>
          <w:i/>
          <w:iCs/>
        </w:rPr>
        <w:t>mentioning miRNA-486-5p.</w:t>
      </w:r>
      <w:bookmarkEnd w:id="326"/>
    </w:p>
    <w:p w14:paraId="639484FE" w14:textId="77777777" w:rsidR="006A1010" w:rsidRPr="006A1010" w:rsidRDefault="006A1010" w:rsidP="006A1010"/>
    <w:p w14:paraId="48CF7FE5" w14:textId="15211FBA" w:rsidR="00EA2F05" w:rsidRDefault="00933E9C" w:rsidP="00EA2F05">
      <w:pPr>
        <w:pStyle w:val="Body"/>
      </w:pPr>
      <w:r>
        <w:t xml:space="preserve">Despite high levels of miRNA-486-5p being seen in plasma it is unknown whether or not </w:t>
      </w:r>
      <w:r w:rsidR="004D28E1">
        <w:t>levels are increased in lung tissue. Comparing miR</w:t>
      </w:r>
      <w:r w:rsidR="003755F9">
        <w:t>NA</w:t>
      </w:r>
      <w:r w:rsidR="004D28E1">
        <w:t xml:space="preserve"> expression between lungs from PAH and control models would demonstrate changes in disease relevant tissue. In PAH pulmonary arterial and endothelial tissue has different roles, localisation of miR</w:t>
      </w:r>
      <w:r w:rsidR="003755F9">
        <w:t>NA</w:t>
      </w:r>
      <w:r w:rsidR="004D28E1">
        <w:t xml:space="preserve"> expression in lung tissue can be identified using fluorescent in-situ hybridisation with miRNA specific probes. </w:t>
      </w:r>
      <w:r w:rsidR="006D1621">
        <w:t xml:space="preserve">Transfecting with either a </w:t>
      </w:r>
      <w:proofErr w:type="spellStart"/>
      <w:r w:rsidR="006D1621">
        <w:t>pri</w:t>
      </w:r>
      <w:proofErr w:type="spellEnd"/>
      <w:r w:rsidR="006D1621">
        <w:t xml:space="preserve">-miRNA or miRNA inhibitor </w:t>
      </w:r>
      <w:r w:rsidR="00D92C93">
        <w:t>in PAH</w:t>
      </w:r>
      <w:r w:rsidR="006D1621">
        <w:t xml:space="preserve"> relevant cell line</w:t>
      </w:r>
      <w:r w:rsidR="000D77CB">
        <w:t>s</w:t>
      </w:r>
      <w:r w:rsidR="00340B15">
        <w:t>, such as pulmonary artery smooth muscle cells</w:t>
      </w:r>
      <w:r w:rsidR="006D1621">
        <w:t xml:space="preserve"> would help determine if </w:t>
      </w:r>
      <w:r w:rsidR="000D77CB">
        <w:t>high or low expression</w:t>
      </w:r>
      <w:r w:rsidR="006D1621">
        <w:t xml:space="preserve"> of miR-486-5p</w:t>
      </w:r>
      <w:r w:rsidR="000D77CB">
        <w:t xml:space="preserve"> caused a proliferative or apoptotic phenotype</w:t>
      </w:r>
      <w:r w:rsidR="006D1621">
        <w:t xml:space="preserve">. </w:t>
      </w:r>
      <w:r w:rsidR="00624FDC">
        <w:t>Furthermore,</w:t>
      </w:r>
      <w:r w:rsidR="00EA2F05">
        <w:t xml:space="preserve"> mRNA expression array analysis following stimulation</w:t>
      </w:r>
      <w:r w:rsidR="00624FDC">
        <w:t>/inhibition</w:t>
      </w:r>
      <w:r w:rsidR="00EA2F05">
        <w:t xml:space="preserve"> could be undertaken to identify gene/pathway changes that further elucidate any role</w:t>
      </w:r>
      <w:r w:rsidR="000D77CB">
        <w:t>. Changes in mRNA expression can be linked to know PAH genes and miR</w:t>
      </w:r>
      <w:r w:rsidR="003755F9">
        <w:t>NA</w:t>
      </w:r>
      <w:r w:rsidR="000D77CB">
        <w:t xml:space="preserve"> targets to identify the potential mechanisms of action</w:t>
      </w:r>
    </w:p>
    <w:p w14:paraId="5B6A5273" w14:textId="77777777" w:rsidR="00EA2F05" w:rsidRDefault="00EA2F05" w:rsidP="00EA2F05">
      <w:pPr>
        <w:pStyle w:val="Body"/>
      </w:pPr>
    </w:p>
    <w:p w14:paraId="18E9F2F3" w14:textId="77777777" w:rsidR="00EA2F05" w:rsidRDefault="00EA2F05" w:rsidP="00EA2F05">
      <w:pPr>
        <w:pStyle w:val="Body"/>
      </w:pPr>
    </w:p>
    <w:p w14:paraId="61A2B6B9" w14:textId="182247AB" w:rsidR="00E4064F" w:rsidRDefault="00EA2F05" w:rsidP="00E4064F">
      <w:pPr>
        <w:pStyle w:val="Body"/>
      </w:pPr>
      <w:r>
        <w:t>In summary, despite limitations, this study has</w:t>
      </w:r>
      <w:r w:rsidR="00301291">
        <w:t xml:space="preserve"> identified miR-486-5</w:t>
      </w:r>
      <w:r w:rsidR="00DA107E">
        <w:t>p</w:t>
      </w:r>
      <w:r w:rsidR="00301291">
        <w:t xml:space="preserve"> as a target for further research and</w:t>
      </w:r>
      <w:r>
        <w:t xml:space="preserve"> demonstrated a novel method for identifying biomarker panels from a small and heterogenous cohort</w:t>
      </w:r>
      <w:r w:rsidR="00301291">
        <w:t xml:space="preserve">. </w:t>
      </w:r>
    </w:p>
    <w:p w14:paraId="35B1021E" w14:textId="429CAB85" w:rsidR="00D606A2" w:rsidRDefault="00D606A2" w:rsidP="00E4064F">
      <w:pPr>
        <w:pStyle w:val="Body"/>
      </w:pPr>
    </w:p>
    <w:p w14:paraId="76493CF2" w14:textId="6587CD6C" w:rsidR="00D606A2" w:rsidRDefault="005B6B24" w:rsidP="00D606A2">
      <w:pPr>
        <w:pStyle w:val="Heading2"/>
        <w:numPr>
          <w:ilvl w:val="2"/>
          <w:numId w:val="7"/>
        </w:numPr>
        <w:spacing w:before="120" w:after="120"/>
      </w:pPr>
      <w:bookmarkStart w:id="327" w:name="_Toc60773967"/>
      <w:r>
        <w:t xml:space="preserve">Inclusion of additional </w:t>
      </w:r>
      <w:r w:rsidR="00D606A2">
        <w:t xml:space="preserve">data </w:t>
      </w:r>
      <w:r>
        <w:t>in panels</w:t>
      </w:r>
      <w:bookmarkEnd w:id="327"/>
    </w:p>
    <w:p w14:paraId="09EAE07A" w14:textId="77777777" w:rsidR="001241A1" w:rsidRDefault="00D606A2" w:rsidP="001241A1">
      <w:pPr>
        <w:pStyle w:val="Body"/>
      </w:pPr>
      <w:r>
        <w:t>This study set out to find</w:t>
      </w:r>
      <w:r w:rsidR="00BD1036">
        <w:t xml:space="preserve"> independent</w:t>
      </w:r>
      <w:r>
        <w:t xml:space="preserve"> mi</w:t>
      </w:r>
      <w:r w:rsidR="00746C2C">
        <w:t>R</w:t>
      </w:r>
      <w:r>
        <w:t>NA</w:t>
      </w:r>
      <w:r w:rsidR="00746C2C">
        <w:t xml:space="preserve"> biomarkers</w:t>
      </w:r>
      <w:r w:rsidR="00BD1036">
        <w:t xml:space="preserve"> exclusive of additional data</w:t>
      </w:r>
      <w:r w:rsidR="00746C2C">
        <w:t xml:space="preserve">. </w:t>
      </w:r>
      <w:r w:rsidR="0026432D">
        <w:t>Behind this was t</w:t>
      </w:r>
      <w:r w:rsidR="00746C2C">
        <w:t xml:space="preserve">he hypothesis </w:t>
      </w:r>
      <w:r w:rsidR="0026432D">
        <w:t>that</w:t>
      </w:r>
      <w:r w:rsidR="00746C2C">
        <w:t xml:space="preserve"> a </w:t>
      </w:r>
      <w:r w:rsidR="003A15FF">
        <w:t>circulating</w:t>
      </w:r>
      <w:r w:rsidR="00746C2C">
        <w:t xml:space="preserve"> miRNA </w:t>
      </w:r>
      <w:r w:rsidR="0026432D">
        <w:t xml:space="preserve">biomarker </w:t>
      </w:r>
      <w:r w:rsidR="00746C2C">
        <w:t xml:space="preserve">should be a marker of </w:t>
      </w:r>
      <w:r w:rsidR="0026432D">
        <w:t xml:space="preserve">the </w:t>
      </w:r>
      <w:r w:rsidR="00746C2C">
        <w:t>disease</w:t>
      </w:r>
      <w:r w:rsidR="0026432D">
        <w:t xml:space="preserve"> process or effects</w:t>
      </w:r>
      <w:r w:rsidR="00746C2C">
        <w:t>. As the</w:t>
      </w:r>
      <w:r w:rsidR="009A1AE8">
        <w:t xml:space="preserve"> diseased sample cohort </w:t>
      </w:r>
      <w:r w:rsidR="00746C2C">
        <w:t xml:space="preserve">all have </w:t>
      </w:r>
      <w:proofErr w:type="gramStart"/>
      <w:r w:rsidR="00746C2C">
        <w:t>PAH</w:t>
      </w:r>
      <w:proofErr w:type="gramEnd"/>
      <w:r w:rsidR="00746C2C">
        <w:t xml:space="preserve"> we hypothesised that this drastic change in lung </w:t>
      </w:r>
      <w:r w:rsidR="009A1AE8">
        <w:t xml:space="preserve">and system </w:t>
      </w:r>
      <w:r w:rsidR="00746C2C">
        <w:t>biology</w:t>
      </w:r>
      <w:r w:rsidR="009A1AE8">
        <w:t xml:space="preserve"> would produce </w:t>
      </w:r>
      <w:r w:rsidR="00746C2C">
        <w:t>something detectable</w:t>
      </w:r>
      <w:r w:rsidR="001241A1">
        <w:t xml:space="preserve"> in the circulation. Furthermore, as the disease is histologically the same irrespective of age demographics then a disease related biomarker should be independent of these. </w:t>
      </w:r>
    </w:p>
    <w:p w14:paraId="5E0E4313" w14:textId="77777777" w:rsidR="001241A1" w:rsidRDefault="001241A1" w:rsidP="001241A1">
      <w:pPr>
        <w:pStyle w:val="Body"/>
      </w:pPr>
    </w:p>
    <w:p w14:paraId="6A67A570" w14:textId="64E83488" w:rsidR="004B7915" w:rsidRDefault="001241A1" w:rsidP="001241A1">
      <w:pPr>
        <w:pStyle w:val="Body"/>
      </w:pPr>
      <w:r>
        <w:t xml:space="preserve">As a clear miRNA biomarker(s) did not appear </w:t>
      </w:r>
      <w:r w:rsidR="008554EC">
        <w:t>future could be performed</w:t>
      </w:r>
      <w:r>
        <w:t xml:space="preserve"> with additional phenotype</w:t>
      </w:r>
      <w:r w:rsidR="008554EC">
        <w:t xml:space="preserve"> data</w:t>
      </w:r>
      <w:r>
        <w:t xml:space="preserve"> or protein biomarkers in. </w:t>
      </w:r>
      <w:r w:rsidR="004B7915">
        <w:t>Initial c</w:t>
      </w:r>
      <w:r w:rsidR="00746C2C">
        <w:t xml:space="preserve">andidates </w:t>
      </w:r>
      <w:r w:rsidR="004A450D">
        <w:t xml:space="preserve">for this </w:t>
      </w:r>
      <w:proofErr w:type="gramStart"/>
      <w:r w:rsidR="004A450D">
        <w:t>would</w:t>
      </w:r>
      <w:r w:rsidR="00746C2C">
        <w:t xml:space="preserve"> be</w:t>
      </w:r>
      <w:proofErr w:type="gramEnd"/>
      <w:r w:rsidR="00746C2C">
        <w:t xml:space="preserve"> NT-</w:t>
      </w:r>
      <w:proofErr w:type="spellStart"/>
      <w:r w:rsidR="00746C2C">
        <w:t>proBNP</w:t>
      </w:r>
      <w:proofErr w:type="spellEnd"/>
      <w:r w:rsidR="00746C2C">
        <w:t xml:space="preserve">, </w:t>
      </w:r>
      <w:r>
        <w:t>a</w:t>
      </w:r>
      <w:r w:rsidR="00FF703A">
        <w:t>ge</w:t>
      </w:r>
      <w:r w:rsidR="00C57E28">
        <w:t xml:space="preserve"> and</w:t>
      </w:r>
      <w:r w:rsidR="00FF703A">
        <w:t xml:space="preserve"> gender</w:t>
      </w:r>
      <w:r w:rsidR="00C57E28">
        <w:t>.</w:t>
      </w:r>
      <w:r w:rsidR="00FF703A">
        <w:t xml:space="preserve"> </w:t>
      </w:r>
      <w:r w:rsidR="00C57E28">
        <w:t>W</w:t>
      </w:r>
      <w:r w:rsidR="00FF703A">
        <w:t xml:space="preserve">hilst the cohorts were </w:t>
      </w:r>
      <w:r w:rsidR="004B7915">
        <w:t xml:space="preserve">well matched </w:t>
      </w:r>
      <w:r w:rsidR="00C57E28">
        <w:t xml:space="preserve">for age and gender </w:t>
      </w:r>
      <w:r w:rsidR="00FF703A">
        <w:t>there was</w:t>
      </w:r>
      <w:r w:rsidR="004B7915">
        <w:t xml:space="preserve"> still</w:t>
      </w:r>
      <w:r w:rsidR="00FF703A">
        <w:t xml:space="preserve"> differences</w:t>
      </w:r>
      <w:r w:rsidR="004B7915">
        <w:t xml:space="preserve"> in these values</w:t>
      </w:r>
      <w:r w:rsidR="00FF703A">
        <w:t xml:space="preserve"> </w:t>
      </w:r>
      <w:r w:rsidR="004B7915">
        <w:t>that could aid classification.</w:t>
      </w:r>
    </w:p>
    <w:p w14:paraId="2686E661" w14:textId="77777777" w:rsidR="00C57E28" w:rsidRDefault="00C57E28" w:rsidP="001241A1">
      <w:pPr>
        <w:pStyle w:val="Body"/>
      </w:pPr>
    </w:p>
    <w:p w14:paraId="77301C4E" w14:textId="23B04391" w:rsidR="004B7915" w:rsidRDefault="004B7915" w:rsidP="004B7915">
      <w:pPr>
        <w:pStyle w:val="Body"/>
      </w:pPr>
      <w:r>
        <w:t>The ROC based panel methodology could be used with age and NT-</w:t>
      </w:r>
      <w:proofErr w:type="spellStart"/>
      <w:r>
        <w:t>proBNP</w:t>
      </w:r>
      <w:proofErr w:type="spellEnd"/>
      <w:r>
        <w:t xml:space="preserve"> but would not be suitable for the binary variable</w:t>
      </w:r>
      <w:r w:rsidR="008554EC">
        <w:t>s</w:t>
      </w:r>
      <w:r>
        <w:t xml:space="preserve"> </w:t>
      </w:r>
      <w:r w:rsidR="008554EC">
        <w:t xml:space="preserve">such as </w:t>
      </w:r>
      <w:r>
        <w:t>gender. Analysis using logistic regression would be the most suitable as this can directly model the relationship between miR</w:t>
      </w:r>
      <w:r w:rsidR="008554EC">
        <w:t>NA</w:t>
      </w:r>
      <w:r>
        <w:t xml:space="preserve">s </w:t>
      </w:r>
      <w:r>
        <w:lastRenderedPageBreak/>
        <w:t>and additional factors through the use of interaction terms. Additionally, the extent to which the additional data supports the classification accuracy can be determined</w:t>
      </w:r>
      <w:r w:rsidR="00C57E28">
        <w:t xml:space="preserve"> from the</w:t>
      </w:r>
      <w:r w:rsidR="008554EC">
        <w:t xml:space="preserve"> model</w:t>
      </w:r>
      <w:r w:rsidR="00C57E28">
        <w:t xml:space="preserve"> coefficient</w:t>
      </w:r>
      <w:r w:rsidR="008554EC">
        <w:t>s</w:t>
      </w:r>
      <w:r w:rsidR="00C57E28">
        <w:t xml:space="preserve"> and AIC</w:t>
      </w:r>
      <w:r>
        <w:t>.</w:t>
      </w:r>
    </w:p>
    <w:p w14:paraId="186F658B" w14:textId="049746FD" w:rsidR="004B7915" w:rsidRDefault="004B7915" w:rsidP="004B7915">
      <w:pPr>
        <w:pStyle w:val="Body"/>
      </w:pPr>
    </w:p>
    <w:p w14:paraId="3A8B01F2" w14:textId="45A8AB79" w:rsidR="004B7915" w:rsidRDefault="004445F1" w:rsidP="004B7915">
      <w:pPr>
        <w:pStyle w:val="Body"/>
      </w:pPr>
      <w:r>
        <w:t>Unfortunately, in</w:t>
      </w:r>
      <w:r w:rsidR="004B7915">
        <w:t xml:space="preserve"> this study</w:t>
      </w:r>
      <w:r>
        <w:t xml:space="preserve"> there was less than ideal number of samples with data on </w:t>
      </w:r>
      <w:r w:rsidR="004B7915">
        <w:t>NT-</w:t>
      </w:r>
      <w:proofErr w:type="spellStart"/>
      <w:r w:rsidR="004B7915">
        <w:t>proBNP</w:t>
      </w:r>
      <w:proofErr w:type="spellEnd"/>
      <w:r w:rsidR="004B7915">
        <w:t xml:space="preserve"> </w:t>
      </w:r>
      <w:r>
        <w:t>values. O</w:t>
      </w:r>
      <w:r w:rsidR="004B7915">
        <w:t xml:space="preserve">nly </w:t>
      </w:r>
      <w:r w:rsidR="00FC141C">
        <w:t>65% of samples had data on NT-</w:t>
      </w:r>
      <w:proofErr w:type="spellStart"/>
      <w:r w:rsidR="00FC141C">
        <w:t>proBNP</w:t>
      </w:r>
      <w:proofErr w:type="spellEnd"/>
      <w:r>
        <w:t xml:space="preserve"> </w:t>
      </w:r>
      <w:r w:rsidR="00356D7D">
        <w:t xml:space="preserve">and </w:t>
      </w:r>
      <w:r>
        <w:t>using these</w:t>
      </w:r>
      <w:r w:rsidR="00FC141C">
        <w:t xml:space="preserve"> </w:t>
      </w:r>
      <w:r w:rsidR="00714C9E">
        <w:t>would further reduce the subset</w:t>
      </w:r>
      <w:r w:rsidR="000A20C0">
        <w:t xml:space="preserve"> of data </w:t>
      </w:r>
      <w:r w:rsidR="00E36329">
        <w:t>available for analysis</w:t>
      </w:r>
      <w:r w:rsidR="000A20C0">
        <w:t xml:space="preserve">. Imputation could have been used to overcome this, e.g. the MICE algorithm but this is typically frowned upon, especially in smaller datasets, when dealing with medical data </w:t>
      </w:r>
      <w:r w:rsidR="004E19A5">
        <w:rPr>
          <w:rFonts w:eastAsiaTheme="minorEastAsia"/>
        </w:rPr>
        <w:fldChar w:fldCharType="begin"/>
      </w:r>
      <w:r w:rsidR="004E19A5">
        <w:rPr>
          <w:rFonts w:eastAsiaTheme="minorEastAsia"/>
        </w:rPr>
        <w:instrText xml:space="preserve"> ADDIN PAPERS2_CITATIONS &lt;citation&gt;&lt;priority&gt;135&lt;/priority&gt;&lt;uuid&gt;26B153C1-49FC-4C00-9353-739255CBAF7D&lt;/uuid&gt;&lt;publications&gt;&lt;publication&gt;&lt;subtype&gt;400&lt;/subtype&gt;&lt;title&gt;Fully conditional specification in multivariate imputation&lt;/title&gt;&lt;url&gt;http://www.tandfonline.com/doi/abs/10.1080/10629360600810434&lt;/url&gt;&lt;volume&gt;76&lt;/volume&gt;&lt;publication_date&gt;99200612001200000000220000&lt;/publication_date&gt;&lt;uuid&gt;6A079929-0A09-4022-8359-27DD678892CC&lt;/uuid&gt;&lt;version&gt;2&lt;/version&gt;&lt;type&gt;400&lt;/type&gt;&lt;number&gt;12&lt;/number&gt;&lt;doi&gt;10.1080/10629360600810434&lt;/doi&gt;&lt;startpage&gt;1049&lt;/startpage&gt;&lt;endpage&gt;1064&lt;/endpage&gt;&lt;bundle&gt;&lt;publication&gt;&lt;title&gt;Journal of Statistical Computation and Simulation&lt;/title&gt;&lt;uuid&gt;9D1935C9-1A4C-4339-8B12-BE2CB3BA826A&lt;/uuid&gt;&lt;subtype&gt;-100&lt;/subtype&gt;&lt;type&gt;-100&lt;/type&gt;&lt;/publication&gt;&lt;/bundle&gt;&lt;authors&gt;&lt;author&gt;&lt;lastName&gt;Buuren&lt;/lastName&gt;&lt;nonDroppingParticle&gt;Van&lt;/nonDroppingParticle&gt;&lt;firstName&gt;S&lt;/firstName&gt;&lt;/author&gt;&lt;author&gt;&lt;lastName&gt;Brand&lt;/lastName&gt;&lt;firstName&gt;J&lt;/firstName&gt;&lt;middleNames&gt;P L&lt;/middleNames&gt;&lt;/author&gt;&lt;author&gt;&lt;lastName&gt;Groothuis-Oudshoorn&lt;/lastName&gt;&lt;firstName&gt;C&lt;/firstName&gt;&lt;middleNames&gt;G M&lt;/middleNames&gt;&lt;/author&gt;&lt;author&gt;&lt;lastName&gt;Rubin&lt;/lastName&gt;&lt;firstName&gt;D&lt;/firstName&gt;&lt;middleNames&gt;B&lt;/middleNames&gt;&lt;/author&gt;&lt;/authors&gt;&lt;/publication&gt;&lt;/publications&gt;&lt;cites&gt;&lt;/cites&gt;&lt;/citation&gt;</w:instrText>
      </w:r>
      <w:r w:rsidR="004E19A5">
        <w:rPr>
          <w:rFonts w:eastAsiaTheme="minorEastAsia"/>
        </w:rPr>
        <w:fldChar w:fldCharType="separate"/>
      </w:r>
      <w:r w:rsidR="004E19A5">
        <w:rPr>
          <w:rFonts w:eastAsiaTheme="minorEastAsia"/>
        </w:rPr>
        <w:t xml:space="preserve">(Van </w:t>
      </w:r>
      <w:proofErr w:type="spellStart"/>
      <w:r w:rsidR="004E19A5">
        <w:rPr>
          <w:rFonts w:eastAsiaTheme="minorEastAsia"/>
        </w:rPr>
        <w:t>Buuren</w:t>
      </w:r>
      <w:proofErr w:type="spellEnd"/>
      <w:r w:rsidR="004E19A5">
        <w:rPr>
          <w:rFonts w:eastAsiaTheme="minorEastAsia"/>
        </w:rPr>
        <w:t xml:space="preserve">, Brand, </w:t>
      </w:r>
      <w:proofErr w:type="spellStart"/>
      <w:r w:rsidR="004E19A5">
        <w:rPr>
          <w:rFonts w:eastAsiaTheme="minorEastAsia"/>
        </w:rPr>
        <w:t>Groothuis-Oudshoorn</w:t>
      </w:r>
      <w:proofErr w:type="spellEnd"/>
      <w:r w:rsidR="004E19A5">
        <w:rPr>
          <w:rFonts w:eastAsiaTheme="minorEastAsia"/>
        </w:rPr>
        <w:t>, &amp; Rubin, 2006)</w:t>
      </w:r>
      <w:r w:rsidR="004E19A5">
        <w:rPr>
          <w:rFonts w:eastAsiaTheme="minorEastAsia"/>
        </w:rPr>
        <w:fldChar w:fldCharType="end"/>
      </w:r>
      <w:r w:rsidR="000A20C0">
        <w:rPr>
          <w:rFonts w:eastAsiaTheme="minorEastAsia"/>
        </w:rPr>
        <w:t>.</w:t>
      </w:r>
    </w:p>
    <w:p w14:paraId="0B792C14" w14:textId="77777777" w:rsidR="00D606A2" w:rsidRDefault="00D606A2" w:rsidP="00E4064F">
      <w:pPr>
        <w:pStyle w:val="Body"/>
      </w:pPr>
    </w:p>
    <w:p w14:paraId="623770F5" w14:textId="5C350062" w:rsidR="007175D7" w:rsidRDefault="007175D7" w:rsidP="007175D7">
      <w:pPr>
        <w:pStyle w:val="Heading2"/>
        <w:numPr>
          <w:ilvl w:val="2"/>
          <w:numId w:val="7"/>
        </w:numPr>
        <w:spacing w:before="120" w:after="120"/>
      </w:pPr>
      <w:bookmarkStart w:id="328" w:name="_Ref55037877"/>
      <w:bookmarkStart w:id="329" w:name="_Toc60773968"/>
      <w:r>
        <w:t>Experimental improvements</w:t>
      </w:r>
      <w:bookmarkEnd w:id="328"/>
      <w:bookmarkEnd w:id="329"/>
    </w:p>
    <w:p w14:paraId="785CA323" w14:textId="76DC7851" w:rsidR="007175D7" w:rsidRDefault="007175D7" w:rsidP="007175D7">
      <w:pPr>
        <w:pStyle w:val="Body"/>
      </w:pPr>
      <w:r>
        <w:t xml:space="preserve">The poor validation </w:t>
      </w:r>
      <w:r w:rsidR="0044347B">
        <w:t>rate</w:t>
      </w:r>
      <w:r w:rsidR="004A4144">
        <w:t xml:space="preserve"> maybe an indication of a poor </w:t>
      </w:r>
      <w:r w:rsidR="00F33965">
        <w:t xml:space="preserve">step or steps in the </w:t>
      </w:r>
      <w:r w:rsidR="004A4144">
        <w:t>methodolog</w:t>
      </w:r>
      <w:r w:rsidR="00F33965">
        <w:t>y or an intrinsic difficulty in validating microRNA microarrays</w:t>
      </w:r>
      <w:r>
        <w:t xml:space="preserve">. Whilst </w:t>
      </w:r>
      <w:r w:rsidR="002F40B1">
        <w:t xml:space="preserve">I </w:t>
      </w:r>
      <w:r>
        <w:t>have not found evidence in the literatur</w:t>
      </w:r>
      <w:r w:rsidR="002F40B1">
        <w:t xml:space="preserve">e beyond </w:t>
      </w:r>
      <w:r w:rsidR="00F33965">
        <w:t xml:space="preserve">the </w:t>
      </w:r>
      <w:proofErr w:type="spellStart"/>
      <w:r w:rsidR="00F33965">
        <w:t>miRQC</w:t>
      </w:r>
      <w:proofErr w:type="spellEnd"/>
      <w:r w:rsidR="00F33965">
        <w:t xml:space="preserve"> study,</w:t>
      </w:r>
      <w:r>
        <w:t xml:space="preserve"> </w:t>
      </w:r>
      <w:r w:rsidR="002F40B1">
        <w:t xml:space="preserve">as negative results are rarely published, </w:t>
      </w:r>
      <w:r>
        <w:t>many groups have indicated in discussions that miRNA microarray results</w:t>
      </w:r>
      <w:r w:rsidR="002F40B1">
        <w:t xml:space="preserve"> are very difficult to validate. </w:t>
      </w:r>
      <w:r w:rsidR="00B60666">
        <w:t>Nevertheless,</w:t>
      </w:r>
      <w:r w:rsidR="002F40B1">
        <w:t xml:space="preserve"> t</w:t>
      </w:r>
      <w:r>
        <w:t>he</w:t>
      </w:r>
      <w:r w:rsidR="006A3E3F">
        <w:t xml:space="preserve"> early</w:t>
      </w:r>
      <w:r>
        <w:t xml:space="preserve"> experimental process could have been improved</w:t>
      </w:r>
      <w:r w:rsidR="006A3E3F">
        <w:t xml:space="preserve"> to identify any part of the process that should have been performed differently and quantify the accuracy of microarray early on</w:t>
      </w:r>
      <w:r w:rsidR="0044347B">
        <w:t xml:space="preserve">. </w:t>
      </w:r>
    </w:p>
    <w:p w14:paraId="7E02162A" w14:textId="1A038E52" w:rsidR="0044347B" w:rsidRDefault="0044347B" w:rsidP="007175D7">
      <w:pPr>
        <w:pStyle w:val="Body"/>
      </w:pPr>
    </w:p>
    <w:p w14:paraId="1577ACF8" w14:textId="0D3FF14D" w:rsidR="006A3E3F" w:rsidRDefault="006A3E3F" w:rsidP="007175D7">
      <w:pPr>
        <w:pStyle w:val="Body"/>
      </w:pPr>
      <w:r>
        <w:t xml:space="preserve">Prior to starting the cohort of samples from Imperial College London had already been extracted using the </w:t>
      </w:r>
      <w:proofErr w:type="spellStart"/>
      <w:r>
        <w:t>Norgen</w:t>
      </w:r>
      <w:proofErr w:type="spellEnd"/>
      <w:r>
        <w:t xml:space="preserve"> Plasma/Serum RNA slurry kit. This informed our decision to use this extraction method going forward. This kit was primarily designed for </w:t>
      </w:r>
      <w:r>
        <w:lastRenderedPageBreak/>
        <w:t>extracting large yield of RNA from large input volumes. As we were working with 500 µl aliquots of biobank plasma a kit optimized for smaller inputs may have been better.</w:t>
      </w:r>
    </w:p>
    <w:p w14:paraId="6918C92C" w14:textId="76EA91A5" w:rsidR="00F7160C" w:rsidRDefault="00F7160C" w:rsidP="007175D7">
      <w:pPr>
        <w:pStyle w:val="Body"/>
      </w:pPr>
    </w:p>
    <w:p w14:paraId="1FE26007" w14:textId="7C1474E7" w:rsidR="00F7160C" w:rsidRDefault="00F7160C" w:rsidP="007175D7">
      <w:pPr>
        <w:pStyle w:val="Body"/>
      </w:pPr>
      <w:r>
        <w:t xml:space="preserve">The </w:t>
      </w:r>
      <w:proofErr w:type="spellStart"/>
      <w:r>
        <w:t>Norgen</w:t>
      </w:r>
      <w:proofErr w:type="spellEnd"/>
      <w:r>
        <w:t xml:space="preserve"> kit used an atypical 100</w:t>
      </w:r>
      <w:r w:rsidRPr="00F7160C">
        <w:t xml:space="preserve"> </w:t>
      </w:r>
      <w:r>
        <w:t xml:space="preserve">µl elution volume, by comparison the Qiagen </w:t>
      </w:r>
      <w:proofErr w:type="spellStart"/>
      <w:r>
        <w:t>miRNeasy</w:t>
      </w:r>
      <w:proofErr w:type="spellEnd"/>
      <w:r>
        <w:t xml:space="preserve"> and </w:t>
      </w:r>
      <w:proofErr w:type="spellStart"/>
      <w:r>
        <w:t>Zymo</w:t>
      </w:r>
      <w:proofErr w:type="spellEnd"/>
      <w:r>
        <w:t xml:space="preserve"> </w:t>
      </w:r>
      <w:proofErr w:type="spellStart"/>
      <w:r>
        <w:t>cfRNA</w:t>
      </w:r>
      <w:proofErr w:type="spellEnd"/>
      <w:r>
        <w:t xml:space="preserve"> Serum &amp; Plasma Kit have an elution volume of 20</w:t>
      </w:r>
      <w:r w:rsidRPr="00F7160C">
        <w:t xml:space="preserve"> </w:t>
      </w:r>
      <w:r>
        <w:t>µl and 15</w:t>
      </w:r>
      <w:r w:rsidRPr="00F7160C">
        <w:t xml:space="preserve"> </w:t>
      </w:r>
      <w:r>
        <w:t xml:space="preserve">µl respectively. Due to the large elution volume and </w:t>
      </w:r>
      <w:r w:rsidR="00C45D2D">
        <w:t>from a</w:t>
      </w:r>
      <w:r w:rsidR="00673E5E">
        <w:t xml:space="preserve">n outlook </w:t>
      </w:r>
      <w:r>
        <w:t xml:space="preserve">of caution </w:t>
      </w:r>
      <w:r w:rsidR="00C45D2D">
        <w:t>the</w:t>
      </w:r>
      <w:r>
        <w:t xml:space="preserve"> </w:t>
      </w:r>
      <w:proofErr w:type="spellStart"/>
      <w:r>
        <w:t>Zymo</w:t>
      </w:r>
      <w:proofErr w:type="spellEnd"/>
      <w:r>
        <w:t xml:space="preserve"> clean and </w:t>
      </w:r>
      <w:r w:rsidR="00C45D2D">
        <w:t>concentrate</w:t>
      </w:r>
      <w:r>
        <w:t xml:space="preserve"> kit </w:t>
      </w:r>
      <w:r w:rsidR="00C45D2D">
        <w:t xml:space="preserve">was used to </w:t>
      </w:r>
      <w:r>
        <w:t>concentrate RNA into an elution of 11.5</w:t>
      </w:r>
      <w:r w:rsidRPr="00F7160C">
        <w:t xml:space="preserve"> </w:t>
      </w:r>
      <w:r>
        <w:t>µl.</w:t>
      </w:r>
    </w:p>
    <w:p w14:paraId="7248B2D3" w14:textId="77777777" w:rsidR="00C45D2D" w:rsidRDefault="00C45D2D" w:rsidP="007175D7">
      <w:pPr>
        <w:pStyle w:val="Body"/>
      </w:pPr>
    </w:p>
    <w:p w14:paraId="72FC8439" w14:textId="3D4C8408" w:rsidR="00264706" w:rsidRPr="006A3E3F" w:rsidRDefault="00C45D2D" w:rsidP="007175D7">
      <w:pPr>
        <w:pStyle w:val="Body"/>
        <w:rPr>
          <w:i/>
          <w:iCs/>
          <w:u w:val="single"/>
        </w:rPr>
      </w:pPr>
      <w:r>
        <w:t>At this point two hypothesis should have been tested. Firstly, “that</w:t>
      </w:r>
      <w:r w:rsidR="009A6C10">
        <w:t xml:space="preserve"> </w:t>
      </w:r>
      <w:proofErr w:type="spellStart"/>
      <w:r>
        <w:t>Norgen</w:t>
      </w:r>
      <w:proofErr w:type="spellEnd"/>
      <w:r>
        <w:t xml:space="preserve"> was </w:t>
      </w:r>
      <w:r w:rsidR="00E96022">
        <w:t xml:space="preserve">a suitable extraction method </w:t>
      </w:r>
      <w:r>
        <w:t>for 500</w:t>
      </w:r>
      <w:r w:rsidRPr="00C45D2D">
        <w:t xml:space="preserve"> </w:t>
      </w:r>
      <w:r>
        <w:t>µl of plasma” and secondly “that concentration</w:t>
      </w:r>
      <w:r w:rsidR="00C46532">
        <w:t xml:space="preserve"> of the 100</w:t>
      </w:r>
      <w:r w:rsidR="00C46532" w:rsidRPr="00C45D2D">
        <w:t xml:space="preserve"> </w:t>
      </w:r>
      <w:r w:rsidR="00C46532">
        <w:t>µl elute</w:t>
      </w:r>
      <w:r>
        <w:t xml:space="preserve"> was required and that this did not introduce bias </w:t>
      </w:r>
      <w:r w:rsidR="009A6C10">
        <w:t xml:space="preserve">or </w:t>
      </w:r>
      <w:r w:rsidR="00C46532">
        <w:t>additional variability</w:t>
      </w:r>
      <w:r w:rsidR="009A6C10">
        <w:t xml:space="preserve"> </w:t>
      </w:r>
      <w:r w:rsidR="00724CD0">
        <w:t>in</w:t>
      </w:r>
      <w:r>
        <w:t xml:space="preserve"> the results”. </w:t>
      </w:r>
      <w:r w:rsidR="009A6C10">
        <w:t>The</w:t>
      </w:r>
      <w:r w:rsidR="00C46532">
        <w:t xml:space="preserve"> possible</w:t>
      </w:r>
      <w:r w:rsidR="00264706">
        <w:t xml:space="preserve"> RNA purification options should have been compared using </w:t>
      </w:r>
      <w:r w:rsidR="001B0D8B">
        <w:t xml:space="preserve">a qPCR panel  of </w:t>
      </w:r>
      <w:r w:rsidR="00264706">
        <w:t xml:space="preserve">miRNAs known to be </w:t>
      </w:r>
      <w:r w:rsidR="009A6C10">
        <w:t xml:space="preserve">detected at medium to high levels </w:t>
      </w:r>
      <w:r w:rsidR="00264706">
        <w:t xml:space="preserve">within </w:t>
      </w:r>
      <w:r w:rsidR="009A6C10">
        <w:t xml:space="preserve">plasma e.g. </w:t>
      </w:r>
      <w:r w:rsidR="00DB3D3C">
        <w:t xml:space="preserve">miR-23a-3p, </w:t>
      </w:r>
      <w:r w:rsidR="009A6C10">
        <w:t>miR-103a-3p</w:t>
      </w:r>
      <w:r w:rsidR="001B0D8B">
        <w:t xml:space="preserve"> </w:t>
      </w:r>
      <w:r w:rsidR="004E19A5">
        <w:rPr>
          <w:rFonts w:eastAsiaTheme="minorEastAsia"/>
        </w:rPr>
        <w:fldChar w:fldCharType="begin"/>
      </w:r>
      <w:r w:rsidR="004E19A5">
        <w:rPr>
          <w:rFonts w:eastAsiaTheme="minorEastAsia"/>
        </w:rPr>
        <w:instrText xml:space="preserve"> ADDIN PAPERS2_CITATIONS &lt;citation&gt;&lt;priority&gt;136&lt;/priority&gt;&lt;uuid&gt;93FA9B6C-E708-4817-A4B9-C07C06447B2C&lt;/uuid&gt;&lt;publications&gt;&lt;publication&gt;&lt;subtype&gt;400&lt;/subtype&gt;&lt;publisher&gt;Multidisciplinary Digital Publishing Institute&lt;/publisher&gt;&lt;title&gt;Human Circulating miRNAs Real-time qRT-PCR-based Analysis: An Overview of Endogenous Reference Genes Used for Data Normalization&lt;/title&gt;&lt;url&gt;https://www.mdpi.com/1422-0067/20/18/4353&lt;/url&gt;&lt;volume&gt;20&lt;/volume&gt;&lt;publication_date&gt;99201909001200000000220000&lt;/publication_date&gt;&lt;uuid&gt;65C6523E-E3C5-4C73-A580-6AB76C4E1E18&lt;/uuid&gt;&lt;type&gt;400&lt;/type&gt;&lt;number&gt;18&lt;/number&gt;&lt;doi&gt;10.3390/ijms20184353&lt;/doi&gt;&lt;startpage&gt;4353&lt;/startpage&gt;&lt;endpage&gt;19&lt;/endpage&gt;&lt;bundle&gt;&lt;publication&gt;&lt;title&gt;International Journal of Molecular Sciences&lt;/title&gt;&lt;uuid&gt;AF01ECDC-0186-4DBF-9FA8-E64ED401E27D&lt;/uuid&gt;&lt;subtype&gt;-100&lt;/subtype&gt;&lt;publisher&gt;Multidisciplinary Digital Publishing Institute  (MDPI)&lt;/publisher&gt;&lt;type&gt;-100&lt;/type&gt;&lt;url&gt;http://www.mdpi.com&lt;/url&gt;&lt;/publication&gt;&lt;/bundle&gt;&lt;authors&gt;&lt;author&gt;&lt;lastName&gt;Donati&lt;/lastName&gt;&lt;firstName&gt;Simone&lt;/firstName&gt;&lt;/author&gt;&lt;author&gt;&lt;lastName&gt;Ciuffi&lt;/lastName&gt;&lt;firstName&gt;Simone&lt;/firstName&gt;&lt;/author&gt;&lt;author&gt;&lt;lastName&gt;Brandi&lt;/lastName&gt;&lt;firstName&gt;Maria&lt;/firstName&gt;&lt;middleNames&gt;L&lt;/middleNames&gt;&lt;/author&gt;&lt;/auth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Donati</w:t>
      </w:r>
      <w:proofErr w:type="spellEnd"/>
      <w:r w:rsidR="004E19A5">
        <w:rPr>
          <w:rFonts w:eastAsiaTheme="minorEastAsia"/>
        </w:rPr>
        <w:t xml:space="preserve">, </w:t>
      </w:r>
      <w:proofErr w:type="spellStart"/>
      <w:r w:rsidR="004E19A5">
        <w:rPr>
          <w:rFonts w:eastAsiaTheme="minorEastAsia"/>
        </w:rPr>
        <w:t>Ciuffi</w:t>
      </w:r>
      <w:proofErr w:type="spellEnd"/>
      <w:r w:rsidR="004E19A5">
        <w:rPr>
          <w:rFonts w:eastAsiaTheme="minorEastAsia"/>
        </w:rPr>
        <w:t>, &amp; Brandi, 2019)</w:t>
      </w:r>
      <w:r w:rsidR="004E19A5">
        <w:rPr>
          <w:rFonts w:eastAsiaTheme="minorEastAsia"/>
        </w:rPr>
        <w:fldChar w:fldCharType="end"/>
      </w:r>
      <w:r w:rsidR="001B0D8B">
        <w:rPr>
          <w:rFonts w:eastAsiaTheme="minorEastAsia"/>
        </w:rPr>
        <w:t>.</w:t>
      </w:r>
      <w:r w:rsidR="001B0D8B">
        <w:t xml:space="preserve"> The results</w:t>
      </w:r>
      <w:r w:rsidR="00C46532">
        <w:t xml:space="preserve"> of this</w:t>
      </w:r>
      <w:r w:rsidR="001B0D8B">
        <w:t xml:space="preserve"> to be used to determine yield and experimental variability.</w:t>
      </w:r>
    </w:p>
    <w:p w14:paraId="1C0358F4" w14:textId="77777777" w:rsidR="00C46532" w:rsidRDefault="00C46532" w:rsidP="007175D7">
      <w:pPr>
        <w:pStyle w:val="Body"/>
      </w:pPr>
    </w:p>
    <w:p w14:paraId="1BFB4005" w14:textId="53BE7687" w:rsidR="00C46532" w:rsidRDefault="00C46532" w:rsidP="007175D7">
      <w:pPr>
        <w:pStyle w:val="Body"/>
      </w:pPr>
      <w:r>
        <w:t>Once extraction had been confirmed it would have been prudent to test that we could detect known plasma miRNAs in PAH.</w:t>
      </w:r>
      <w:r w:rsidR="00EC073E">
        <w:t xml:space="preserve"> W</w:t>
      </w:r>
      <w:r>
        <w:t xml:space="preserve">hen this study began only a miR-150 </w:t>
      </w:r>
      <w:r w:rsidR="00526168">
        <w:t>had been reported</w:t>
      </w:r>
      <w:r w:rsidR="00E555A7">
        <w:t xml:space="preserve"> </w:t>
      </w:r>
      <w:r w:rsidR="004E19A5">
        <w:rPr>
          <w:rFonts w:eastAsiaTheme="minorEastAsia"/>
        </w:rPr>
        <w:fldChar w:fldCharType="begin"/>
      </w:r>
      <w:r w:rsidR="004E19A5">
        <w:rPr>
          <w:rFonts w:eastAsiaTheme="minorEastAsia"/>
        </w:rPr>
        <w:instrText xml:space="preserve"> ADDIN PAPERS2_CITATIONS &lt;citation&gt;&lt;priority&gt;137&lt;/priority&gt;&lt;uuid&gt;241C7E46-272F-409D-8C0D-BD7F9DD29D2C&lt;/uuid&gt;&lt;publications&gt;&lt;publication&gt;&lt;subtype&gt;400&lt;/subtype&gt;&lt;title&gt;Reduced microRNA-150 is associated with poor survival in pulmonary arterial hypertension.&lt;/title&gt;&lt;url&gt;http://www.atsjournals.org/doi/abs/10.1164/rccm.201205-0839OC&lt;/url&gt;&lt;volume&gt;187&lt;/volume&gt;&lt;publication_date&gt;99201302011200000000222000&lt;/publication_date&gt;&lt;uuid&gt;8EEA7BCF-8CA6-4EFF-8084-CF4B2F9D13B5&lt;/uuid&gt;&lt;type&gt;400&lt;/type&gt;&lt;number&gt;3&lt;/number&gt;&lt;citekey&gt;Rhodes:2013ck&lt;/citekey&gt;&lt;doi&gt;10.1164/rccm.201205-0839OC&lt;/doi&gt;&lt;institution&gt;Centre for Pharmacology and Therapeutics, Imperial College London, London, UK.&lt;/institution&gt;&lt;startpage&gt;294&lt;/startpage&gt;&lt;endpage&gt;302&lt;/endpage&gt;&lt;bundle&gt;&lt;publication&gt;&lt;title&gt;American journal of respiratory and critical care medicine&lt;/title&gt;&lt;uuid&gt;6449F919-B7B0-4590-B1EB-52EBB4E4B50D&lt;/uuid&gt;&lt;subtype&gt;-100&lt;/subtype&gt;&lt;publisher&gt;American Thoracic Society&lt;/publisher&gt;&lt;type&gt;-100&lt;/type&gt;&lt;/publication&gt;&lt;/bundle&gt;&lt;authors&gt;&lt;author&gt;&lt;lastName&gt;Rhodes&lt;/lastName&gt;&lt;firstName&gt;Christopher&lt;/firstName&gt;&lt;middleNames&gt;J&lt;/middleNames&gt;&lt;/author&gt;&lt;author&gt;&lt;lastName&gt;Wharton&lt;/lastName&gt;&lt;firstName&gt;John&lt;/firstName&gt;&lt;/author&gt;&lt;author&gt;&lt;lastName&gt;Boon&lt;/lastName&gt;&lt;firstName&gt;Reinier&lt;/firstName&gt;&lt;middleNames&gt;A&lt;/middleNames&gt;&lt;/author&gt;&lt;author&gt;&lt;lastName&gt;Roexe&lt;/lastName&gt;&lt;firstName&gt;Tino&lt;/firstName&gt;&lt;/author&gt;&lt;author&gt;&lt;lastName&gt;Tsang&lt;/lastName&gt;&lt;firstName&gt;Hilda&lt;/firstName&gt;&lt;/author&gt;&lt;author&gt;&lt;lastName&gt;Wojciak-Stothard&lt;/lastName&gt;&lt;firstName&gt;Beata&lt;/firstName&gt;&lt;/author&gt;&lt;author&gt;&lt;lastName&gt;Chakrabarti&lt;/lastName&gt;&lt;firstName&gt;Anob&lt;/firstName&gt;&lt;/author&gt;&lt;author&gt;&lt;lastName&gt;Howard&lt;/lastName&gt;&lt;firstName&gt;Luke&lt;/firstName&gt;&lt;middleNames&gt;S&lt;/middleNames&gt;&lt;/author&gt;&lt;author&gt;&lt;lastName&gt;Gibbs&lt;/lastName&gt;&lt;firstName&gt;J&lt;/firstName&gt;&lt;middleNames&gt;Simon R&lt;/middleNames&gt;&lt;/author&gt;&lt;author&gt;&lt;lastName&gt;Lawrie&lt;/lastName&gt;&lt;firstName&gt;Allan&lt;/firstName&gt;&lt;/author&gt;&lt;author&gt;&lt;lastName&gt;Condliffe&lt;/lastName&gt;&lt;firstName&gt;Robin&lt;/firstName&gt;&lt;/author&gt;&lt;author&gt;&lt;lastName&gt;Elliot&lt;/lastName&gt;&lt;firstName&gt;Charles&lt;/firstName&gt;&lt;middleNames&gt;A&lt;/middleNames&gt;&lt;/author&gt;&lt;author&gt;&lt;lastName&gt;Kiely&lt;/lastName&gt;&lt;firstName&gt;David&lt;/firstName&gt;&lt;middleNames&gt;G&lt;/middleNames&gt;&lt;/author&gt;&lt;author&gt;&lt;lastName&gt;Huson&lt;/lastName&gt;&lt;firstName&gt;Les&lt;/firstName&gt;&lt;/author&gt;&lt;author&gt;&lt;lastName&gt;Ghofrani&lt;/lastName&gt;&lt;firstName&gt;Hossein&lt;/firstName&gt;&lt;middleNames&gt;A&lt;/middleNames&gt;&lt;/author&gt;&lt;author&gt;&lt;lastName&gt;Tiede&lt;/lastName&gt;&lt;firstName&gt;Henning&lt;/firstName&gt;&lt;/author&gt;&lt;author&gt;&lt;lastName&gt;Schermuly&lt;/lastName&gt;&lt;firstName&gt;Ralph&lt;/firstName&gt;&lt;/author&gt;&lt;author&gt;&lt;lastName&gt;Zeiher&lt;/lastName&gt;&lt;firstName&gt;Andreas&lt;/firstName&gt;&lt;middleNames&gt;M&lt;/middleNames&gt;&lt;/author&gt;&lt;author&gt;&lt;lastName&gt;Dimmeler&lt;/lastName&gt;&lt;firstName&gt;Stefanie&lt;/firstName&gt;&lt;/author&gt;&lt;author&gt;&lt;lastName&gt;Wilkins&lt;/lastName&gt;&lt;firstName&gt;Martin&lt;/firstName&gt;&lt;middleNames&gt;R&lt;/middleNames&gt;&lt;/author&gt;&lt;/authors&gt;&lt;/publication&gt;&lt;/publications&gt;&lt;cites&gt;&lt;/cites&gt;&lt;/citation&gt;</w:instrText>
      </w:r>
      <w:r w:rsidR="004E19A5">
        <w:rPr>
          <w:rFonts w:eastAsiaTheme="minorEastAsia"/>
        </w:rPr>
        <w:fldChar w:fldCharType="separate"/>
      </w:r>
      <w:r w:rsidR="004E19A5">
        <w:rPr>
          <w:rFonts w:eastAsiaTheme="minorEastAsia"/>
        </w:rPr>
        <w:t>(Rhodes et al., 2013)</w:t>
      </w:r>
      <w:r w:rsidR="004E19A5">
        <w:rPr>
          <w:rFonts w:eastAsiaTheme="minorEastAsia"/>
        </w:rPr>
        <w:fldChar w:fldCharType="end"/>
      </w:r>
      <w:r w:rsidR="00526168">
        <w:t xml:space="preserve">. This was </w:t>
      </w:r>
      <w:r w:rsidR="008536AB">
        <w:t xml:space="preserve">investigated on the microarray results </w:t>
      </w:r>
      <w:r w:rsidR="00EC073E">
        <w:t xml:space="preserve">and </w:t>
      </w:r>
      <w:r w:rsidR="008536AB">
        <w:t xml:space="preserve">was </w:t>
      </w:r>
      <w:r w:rsidR="00EC073E">
        <w:t xml:space="preserve">found to be </w:t>
      </w:r>
      <w:r w:rsidR="008536AB">
        <w:t>detected at very low levels</w:t>
      </w:r>
      <w:r w:rsidR="00EC073E">
        <w:t xml:space="preserve">. </w:t>
      </w:r>
      <w:r w:rsidR="008536AB">
        <w:t>However, a fair comparison could not have been made as the samples were different</w:t>
      </w:r>
      <w:r w:rsidR="00EC073E">
        <w:t>,</w:t>
      </w:r>
      <w:r w:rsidR="008536AB">
        <w:t xml:space="preserve"> EDTA as opposed to citrate plasma</w:t>
      </w:r>
      <w:r w:rsidR="00EC073E">
        <w:t>,</w:t>
      </w:r>
      <w:r w:rsidR="008536AB">
        <w:t xml:space="preserve"> and the detection method was qPCR as opposed to microarray. With an n of 1 it was not possible to attribute its presence or even absence to a conclusion about performance.</w:t>
      </w:r>
      <w:r w:rsidR="005B6A74">
        <w:t xml:space="preserve"> </w:t>
      </w:r>
      <w:r w:rsidR="005B6A74">
        <w:lastRenderedPageBreak/>
        <w:t xml:space="preserve">Confirming miR-150 expression in a qPCR experiment would have been more suitable, however, the question of sample source differences would still </w:t>
      </w:r>
      <w:r w:rsidR="00EC073E">
        <w:t>have</w:t>
      </w:r>
      <w:r w:rsidR="005B6A74">
        <w:t xml:space="preserve"> been present. </w:t>
      </w:r>
      <w:r w:rsidR="006A4B72">
        <w:t xml:space="preserve">As previously, mentioned microRNAs known to be at a medium to high expression could have also been investigated by microarray. </w:t>
      </w:r>
      <w:r w:rsidR="00200943">
        <w:t>This</w:t>
      </w:r>
      <w:r w:rsidR="006A4B72">
        <w:t xml:space="preserve"> was performed as, at the time, it was felt there was enough evidence of </w:t>
      </w:r>
      <w:r w:rsidR="00200943">
        <w:t xml:space="preserve">successful </w:t>
      </w:r>
      <w:r w:rsidR="006A4B72">
        <w:t>detection with</w:t>
      </w:r>
      <w:r w:rsidR="00200943">
        <w:t xml:space="preserve"> </w:t>
      </w:r>
      <w:r w:rsidR="006A4B72">
        <w:t xml:space="preserve">differentially expressed miRNAs being detected and </w:t>
      </w:r>
      <w:r w:rsidR="00200943">
        <w:t>an on chip detected</w:t>
      </w:r>
      <w:r w:rsidR="006A4B72">
        <w:t xml:space="preserve"> dynamic range of relative expression values </w:t>
      </w:r>
      <w:r w:rsidR="00200943">
        <w:t>between</w:t>
      </w:r>
      <w:r w:rsidR="006A4B72">
        <w:t xml:space="preserve"> from 2.5 to 13.13.</w:t>
      </w:r>
    </w:p>
    <w:p w14:paraId="0C51EE36" w14:textId="77777777" w:rsidR="00BD7329" w:rsidRDefault="00BD7329" w:rsidP="006F2535">
      <w:pPr>
        <w:pStyle w:val="Body"/>
      </w:pPr>
    </w:p>
    <w:p w14:paraId="67F2A82A" w14:textId="3215E07D" w:rsidR="006F2535" w:rsidRDefault="006F2535" w:rsidP="006F2535">
      <w:pPr>
        <w:pStyle w:val="Body"/>
      </w:pPr>
      <w:r>
        <w:t xml:space="preserve">Ultimately the choice was made to use </w:t>
      </w:r>
      <w:proofErr w:type="spellStart"/>
      <w:r>
        <w:t>Norgen</w:t>
      </w:r>
      <w:proofErr w:type="spellEnd"/>
      <w:r>
        <w:t xml:space="preserve"> </w:t>
      </w:r>
      <w:r w:rsidR="005E0138">
        <w:t>for</w:t>
      </w:r>
      <w:r>
        <w:t xml:space="preserve"> extraction</w:t>
      </w:r>
      <w:r w:rsidR="005E0138">
        <w:t>s</w:t>
      </w:r>
      <w:r>
        <w:t xml:space="preserve"> and to </w:t>
      </w:r>
      <w:r w:rsidR="0044347B">
        <w:t>concentrate</w:t>
      </w:r>
      <w:r>
        <w:t xml:space="preserve"> the elute </w:t>
      </w:r>
      <w:r w:rsidR="005E0138">
        <w:t>prior to microarray processing.</w:t>
      </w:r>
      <w:r>
        <w:t xml:space="preserve"> Whilst the efficacy of this protocol was not tested as suggested above an initial </w:t>
      </w:r>
      <w:r w:rsidR="005E0138">
        <w:t xml:space="preserve">test </w:t>
      </w:r>
      <w:r>
        <w:t xml:space="preserve">microRNA microarray proved successful in terms of a providing relative expression of a range of </w:t>
      </w:r>
      <w:proofErr w:type="spellStart"/>
      <w:r>
        <w:t>miRNAS</w:t>
      </w:r>
      <w:proofErr w:type="spellEnd"/>
      <w:r>
        <w:t xml:space="preserve"> at </w:t>
      </w:r>
      <w:r w:rsidR="00EB0470">
        <w:t xml:space="preserve">a </w:t>
      </w:r>
      <w:r>
        <w:t>var</w:t>
      </w:r>
      <w:r w:rsidR="00EB0470">
        <w:t xml:space="preserve">iety of </w:t>
      </w:r>
      <w:r>
        <w:t>expression levels.</w:t>
      </w:r>
      <w:r w:rsidR="0044347B">
        <w:t xml:space="preserve"> </w:t>
      </w:r>
    </w:p>
    <w:p w14:paraId="64A38328" w14:textId="77777777" w:rsidR="006F2535" w:rsidRDefault="006F2535" w:rsidP="006F2535">
      <w:pPr>
        <w:pStyle w:val="Body"/>
      </w:pPr>
    </w:p>
    <w:p w14:paraId="262A8191" w14:textId="4CB03147" w:rsidR="001462BB" w:rsidRDefault="00FD558A" w:rsidP="006F2535">
      <w:pPr>
        <w:pStyle w:val="Body"/>
      </w:pPr>
      <w:r>
        <w:t>All this</w:t>
      </w:r>
      <w:r w:rsidR="003E59EB">
        <w:t xml:space="preserve"> potential</w:t>
      </w:r>
      <w:r>
        <w:t xml:space="preserve"> </w:t>
      </w:r>
      <w:r w:rsidR="00EB0470">
        <w:t xml:space="preserve">experimental </w:t>
      </w:r>
      <w:r>
        <w:t xml:space="preserve">testing comes with a cost, </w:t>
      </w:r>
      <w:r w:rsidR="003E59EB">
        <w:t xml:space="preserve">multiple extraction </w:t>
      </w:r>
      <w:r>
        <w:t>kit</w:t>
      </w:r>
      <w:r w:rsidR="003E59EB">
        <w:t>s,</w:t>
      </w:r>
      <w:r>
        <w:t xml:space="preserve"> cDNA synthesis, </w:t>
      </w:r>
      <w:r w:rsidR="003E59EB">
        <w:t xml:space="preserve">qPCR </w:t>
      </w:r>
      <w:r>
        <w:t>probes &amp; master</w:t>
      </w:r>
      <w:r w:rsidR="00664547">
        <w:t xml:space="preserve"> </w:t>
      </w:r>
      <w:r>
        <w:t xml:space="preserve">mix </w:t>
      </w:r>
      <w:r w:rsidR="003E59EB">
        <w:t>and potentially multiple microarrays</w:t>
      </w:r>
      <w:r>
        <w:t xml:space="preserve">. </w:t>
      </w:r>
      <w:r w:rsidR="003E59EB">
        <w:t xml:space="preserve">Budget constraints </w:t>
      </w:r>
      <w:r w:rsidR="00EB0470">
        <w:t>would</w:t>
      </w:r>
      <w:r w:rsidR="003E59EB">
        <w:t xml:space="preserve"> not allow for </w:t>
      </w:r>
      <w:r w:rsidR="00EB0470">
        <w:t xml:space="preserve">such </w:t>
      </w:r>
      <w:r w:rsidR="003E59EB">
        <w:t>an exhaustive validation. Funding was only provided for the microarrays themselves meaning testing and validating multiple extractions and miRNAs w</w:t>
      </w:r>
      <w:r w:rsidR="005E0138">
        <w:t xml:space="preserve">as </w:t>
      </w:r>
      <w:r w:rsidR="003E59EB">
        <w:t>prohibitive.</w:t>
      </w:r>
      <w:r w:rsidR="00C775A8">
        <w:t xml:space="preserve"> Additionally, the experimental steps used in this study have all been </w:t>
      </w:r>
      <w:r w:rsidR="00EB0470">
        <w:t>demonstrated</w:t>
      </w:r>
      <w:r w:rsidR="00C775A8">
        <w:t xml:space="preserve"> in peer reviewed publications. </w:t>
      </w:r>
    </w:p>
    <w:p w14:paraId="2C32FC82" w14:textId="77777777" w:rsidR="00540C63" w:rsidRDefault="00540C63" w:rsidP="006F2535">
      <w:pPr>
        <w:pStyle w:val="Body"/>
      </w:pPr>
    </w:p>
    <w:p w14:paraId="4F2CD11F" w14:textId="0E2B85CA" w:rsidR="003E59EB" w:rsidRDefault="00537FDE" w:rsidP="006F2535">
      <w:pPr>
        <w:pStyle w:val="Body"/>
      </w:pPr>
      <w:r>
        <w:t xml:space="preserve">The </w:t>
      </w:r>
      <w:proofErr w:type="spellStart"/>
      <w:r>
        <w:t>Norgen</w:t>
      </w:r>
      <w:proofErr w:type="spellEnd"/>
      <w:r>
        <w:t xml:space="preserve"> plasma/serum kit has been successfully used in </w:t>
      </w:r>
      <w:proofErr w:type="spellStart"/>
      <w:r>
        <w:t>smallRNA</w:t>
      </w:r>
      <w:proofErr w:type="spellEnd"/>
      <w:r>
        <w:t xml:space="preserve"> </w:t>
      </w:r>
      <w:proofErr w:type="spellStart"/>
      <w:r>
        <w:t>Seq</w:t>
      </w:r>
      <w:proofErr w:type="spellEnd"/>
      <w:r>
        <w:t xml:space="preserve"> studies </w:t>
      </w:r>
      <w:r w:rsidR="004E19A5">
        <w:rPr>
          <w:rFonts w:eastAsiaTheme="minorEastAsia"/>
        </w:rPr>
        <w:fldChar w:fldCharType="begin"/>
      </w:r>
      <w:r w:rsidR="004E19A5">
        <w:rPr>
          <w:rFonts w:eastAsiaTheme="minorEastAsia"/>
        </w:rPr>
        <w:instrText xml:space="preserve"> ADDIN PAPERS2_CITATIONS &lt;citation&gt;&lt;priority&gt;138&lt;/priority&gt;&lt;uuid&gt;041E9A8F-5A55-4B4B-96E9-3DCA6170BD4F&lt;/uuid&gt;&lt;publications&gt;&lt;publication&gt;&lt;subtype&gt;400&lt;/subtype&gt;&lt;publisher&gt;BioMed Central&lt;/publisher&gt;&lt;title&gt;Diversity and signature of small RNA in different bodily fluids using next generation sequencing&lt;/title&gt;&lt;url&gt;https://bmcgenomics.biomedcentral.com/articles/10.1186/s12864-018-4785-8&lt;/url&gt;&lt;volume&gt;19&lt;/volume&gt;&lt;publication_date&gt;99201800001200000000200000&lt;/publication_date&gt;&lt;uuid&gt;2B4235DD-ECFF-430F-9583-FD0273885DDB&lt;/uuid&gt;&lt;type&gt;400&lt;/type&gt;&lt;accepted_date&gt;99201805111200000000222000&lt;/accepted_date&gt;&lt;number&gt;1&lt;/number&gt;&lt;citekey&gt;ElMogy:2018fx&lt;/citekey&gt;&lt;submission_date&gt;99201711221200000000222000&lt;/submission_date&gt;&lt;doi&gt;10.1186/s12864-018-4785-8&lt;/doi&gt;&lt;institution&gt;Norgen Biotek Corp, Thorold, ON, L2V 4Y6, Canada. melmogy@norgenbiotek.com.&lt;/institution&gt;&lt;startpage&gt;1229&lt;/startpage&gt;&lt;bundle&gt;&lt;publication&gt;&lt;title&gt;BMC Genomics&lt;/title&gt;&lt;uuid&gt;10151639-B2BE-4658-BDDA-91A2788EFFC5&lt;/uuid&gt;&lt;subtype&gt;-100&lt;/subtype&gt;&lt;publisher&gt;BioMed Central Ltd&lt;/publisher&gt;&lt;type&gt;-100&lt;/type&gt;&lt;/publication&gt;&lt;/bundle&gt;&lt;authors&gt;&lt;author&gt;&lt;lastName&gt;El-Mogy&lt;/lastName&gt;&lt;firstName&gt;Mohamed&lt;/firstName&gt;&lt;/author&gt;&lt;author&gt;&lt;lastName&gt;Lam&lt;/lastName&gt;&lt;firstName&gt;Bernard&lt;/firstName&gt;&lt;/author&gt;&lt;author&gt;&lt;lastName&gt;Haj-Ahmad&lt;/lastName&gt;&lt;firstName&gt;Taha&lt;/firstName&gt;&lt;middleNames&gt;A&lt;/middleNames&gt;&lt;/author&gt;&lt;author&gt;&lt;lastName&gt;McGowan&lt;/lastName&gt;&lt;firstName&gt;Shannon&lt;/firstName&gt;&lt;/author&gt;&lt;author&gt;&lt;lastName&gt;Yu&lt;/lastName&gt;&lt;firstName&gt;Darrick&lt;/firstName&gt;&lt;/author&gt;&lt;author&gt;&lt;lastName&gt;Nosal&lt;/lastName&gt;&lt;firstName&gt;Lucas&lt;/firstName&gt;&lt;/author&gt;&lt;author&gt;&lt;lastName&gt;Rghei&lt;/lastName&gt;&lt;firstName&gt;Nezar&lt;/firstName&gt;&lt;/author&gt;&lt;author&gt;&lt;lastName&gt;Roberts&lt;/lastName&gt;&lt;firstName&gt;Pam&lt;/firstName&gt;&lt;/author&gt;&lt;author&gt;&lt;lastName&gt;Haj-Ahmad&lt;/lastName&gt;&lt;firstName&gt;Yousef&lt;/firstName&gt;&lt;/author&gt;&lt;/authors&gt;&lt;/publication&gt;&lt;/publications&gt;&lt;cites&gt;&lt;/cites&gt;&lt;/citation&gt;</w:instrText>
      </w:r>
      <w:r w:rsidR="004E19A5">
        <w:rPr>
          <w:rFonts w:eastAsiaTheme="minorEastAsia"/>
        </w:rPr>
        <w:fldChar w:fldCharType="separate"/>
      </w:r>
      <w:r w:rsidR="004E19A5">
        <w:rPr>
          <w:rFonts w:eastAsiaTheme="minorEastAsia"/>
        </w:rPr>
        <w:t>(El-</w:t>
      </w:r>
      <w:proofErr w:type="spellStart"/>
      <w:r w:rsidR="004E19A5">
        <w:rPr>
          <w:rFonts w:eastAsiaTheme="minorEastAsia"/>
        </w:rPr>
        <w:t>Mogy</w:t>
      </w:r>
      <w:proofErr w:type="spellEnd"/>
      <w:r w:rsidR="004E19A5">
        <w:rPr>
          <w:rFonts w:eastAsiaTheme="minorEastAsia"/>
        </w:rPr>
        <w:t xml:space="preserve"> et al., 2018)</w:t>
      </w:r>
      <w:r w:rsidR="004E19A5">
        <w:rPr>
          <w:rFonts w:eastAsiaTheme="minorEastAsia"/>
        </w:rPr>
        <w:fldChar w:fldCharType="end"/>
      </w:r>
      <w:r w:rsidR="005E0138">
        <w:rPr>
          <w:rFonts w:eastAsiaTheme="minorEastAsia"/>
        </w:rPr>
        <w:t xml:space="preserve"> and in a comparison study between competitor kits from Qiagen, </w:t>
      </w:r>
      <w:proofErr w:type="spellStart"/>
      <w:r w:rsidR="005E0138">
        <w:rPr>
          <w:rFonts w:eastAsiaTheme="minorEastAsia"/>
        </w:rPr>
        <w:t>Zymo</w:t>
      </w:r>
      <w:proofErr w:type="spellEnd"/>
      <w:r w:rsidR="005E0138">
        <w:rPr>
          <w:rFonts w:eastAsiaTheme="minorEastAsia"/>
        </w:rPr>
        <w:t xml:space="preserve">, </w:t>
      </w:r>
      <w:proofErr w:type="spellStart"/>
      <w:r w:rsidR="005E0138">
        <w:rPr>
          <w:rFonts w:eastAsiaTheme="minorEastAsia"/>
        </w:rPr>
        <w:t>Macherey</w:t>
      </w:r>
      <w:proofErr w:type="spellEnd"/>
      <w:r w:rsidR="005E0138">
        <w:rPr>
          <w:rFonts w:eastAsiaTheme="minorEastAsia"/>
        </w:rPr>
        <w:t xml:space="preserve">-Nagel and </w:t>
      </w:r>
      <w:proofErr w:type="spellStart"/>
      <w:r w:rsidR="005E0138">
        <w:rPr>
          <w:rFonts w:eastAsiaTheme="minorEastAsia"/>
        </w:rPr>
        <w:t>Exiqon</w:t>
      </w:r>
      <w:proofErr w:type="spellEnd"/>
      <w:r w:rsidR="005E0138">
        <w:rPr>
          <w:rFonts w:eastAsiaTheme="minorEastAsia"/>
        </w:rPr>
        <w:t xml:space="preserve"> it was remarked </w:t>
      </w:r>
      <w:r w:rsidR="005E0138">
        <w:t xml:space="preserve">that “PCR replicates were </w:t>
      </w:r>
      <w:r w:rsidR="005E0138">
        <w:lastRenderedPageBreak/>
        <w:t xml:space="preserve">excellent” and that “The five kits gave comparable results in terms of </w:t>
      </w:r>
      <w:proofErr w:type="spellStart"/>
      <w:r w:rsidR="005E0138">
        <w:t>Cq</w:t>
      </w:r>
      <w:proofErr w:type="spellEnd"/>
      <w:r w:rsidR="005E0138">
        <w:t xml:space="preserve"> values”</w:t>
      </w:r>
      <w:r w:rsidR="004B3665">
        <w:t xml:space="preserve"> </w:t>
      </w:r>
      <w:r w:rsidR="004E19A5">
        <w:rPr>
          <w:rFonts w:eastAsiaTheme="minorEastAsia"/>
        </w:rPr>
        <w:fldChar w:fldCharType="begin"/>
      </w:r>
      <w:r w:rsidR="004E19A5">
        <w:rPr>
          <w:rFonts w:eastAsiaTheme="minorEastAsia"/>
        </w:rPr>
        <w:instrText xml:space="preserve"> ADDIN PAPERS2_CITATIONS &lt;citation&gt;&lt;priority&gt;139&lt;/priority&gt;&lt;uuid&gt;6C29ABD4-E435-4BA1-A3EE-1C6AB27E5846&lt;/uuid&gt;&lt;publications&gt;&lt;publication&gt;&lt;subtype&gt;400&lt;/subtype&gt;&lt;publisher&gt;Elsevier Inc&lt;/publisher&gt;&lt;title&gt;Variability in microRNA recovery from plasma: Comparison of five commercial kits&lt;/title&gt;&lt;url&gt;http://dx.doi.org/10.1016/j.ab.2015.07.018&lt;/url&gt;&lt;volume&gt;488&lt;/volume&gt;&lt;publication_date&gt;99201511011200000000222000&lt;/publication_date&gt;&lt;uuid&gt;CB8FDA08-6528-4DA8-818B-DF8632AD047C&lt;/uuid&gt;&lt;type&gt;400&lt;/type&gt;&lt;number&gt;C&lt;/number&gt;&lt;doi&gt;10.1016/j.ab.2015.07.018&lt;/doi&gt;&lt;startpage&gt;28&lt;/startpage&gt;&lt;endpage&gt;35&lt;/endpage&gt;&lt;bundle&gt;&lt;publication&gt;&lt;title&gt;Analytical Biochemistry&lt;/title&gt;&lt;uuid&gt;4DED41D9-2C66-4471-84BA-8118DE3C7865&lt;/uuid&gt;&lt;subtype&gt;-100&lt;/subtype&gt;&lt;publisher&gt;Elsevier Inc.&lt;/publisher&gt;&lt;type&gt;-100&lt;/type&gt;&lt;/publication&gt;&lt;/bundle&gt;&lt;authors&gt;&lt;author&gt;&lt;lastName&gt;Brunet-Vega&lt;/lastName&gt;&lt;firstName&gt;Anna&lt;/firstName&gt;&lt;/author&gt;&lt;author&gt;&lt;lastName&gt;Pericay&lt;/lastName&gt;&lt;firstName&gt;Carles&lt;/firstName&gt;&lt;/author&gt;&lt;author&gt;&lt;lastName&gt;Quílez&lt;/lastName&gt;&lt;firstName&gt;María&lt;/firstName&gt;&lt;middleNames&gt;Elisa&lt;/middleNames&gt;&lt;/author&gt;&lt;author&gt;&lt;lastName&gt;Ramírez-Lázaro&lt;/lastName&gt;&lt;firstName&gt;María&lt;/firstName&gt;&lt;middleNames&gt;José&lt;/middleNames&gt;&lt;/author&gt;&lt;author&gt;&lt;lastName&gt;Calvet&lt;/lastName&gt;&lt;firstName&gt;Xavier&lt;/firstName&gt;&lt;/author&gt;&lt;author&gt;&lt;lastName&gt;Lario&lt;/lastName&gt;&lt;firstName&gt;Sergio&lt;/firstName&gt;&lt;/author&gt;&lt;/authors&gt;&lt;/publication&gt;&lt;/publications&gt;&lt;cites&gt;&lt;/cites&gt;&lt;/citation&gt;</w:instrText>
      </w:r>
      <w:r w:rsidR="004E19A5">
        <w:rPr>
          <w:rFonts w:eastAsiaTheme="minorEastAsia"/>
        </w:rPr>
        <w:fldChar w:fldCharType="separate"/>
      </w:r>
      <w:r w:rsidR="004E19A5">
        <w:rPr>
          <w:rFonts w:eastAsiaTheme="minorEastAsia"/>
        </w:rPr>
        <w:t>(Brunet-Vega et al., 2015)</w:t>
      </w:r>
      <w:r w:rsidR="004E19A5">
        <w:rPr>
          <w:rFonts w:eastAsiaTheme="minorEastAsia"/>
        </w:rPr>
        <w:fldChar w:fldCharType="end"/>
      </w:r>
      <w:r w:rsidR="005E0138">
        <w:t xml:space="preserve">. However, in the same study the 11 </w:t>
      </w:r>
      <w:proofErr w:type="gramStart"/>
      <w:r w:rsidR="005E0138">
        <w:t>spike</w:t>
      </w:r>
      <w:proofErr w:type="gramEnd"/>
      <w:r w:rsidR="005E0138">
        <w:t xml:space="preserve"> in controls had “unsatisfactorily high” variability between samples. Importantly, </w:t>
      </w:r>
      <w:r w:rsidR="005E5026">
        <w:t>t</w:t>
      </w:r>
      <w:r w:rsidR="005E0138">
        <w:t xml:space="preserve">here was no clear best or worst kit and for this study the use of </w:t>
      </w:r>
      <w:proofErr w:type="spellStart"/>
      <w:r w:rsidR="005E0138">
        <w:t>Norgen</w:t>
      </w:r>
      <w:proofErr w:type="spellEnd"/>
      <w:r w:rsidR="005E0138">
        <w:t xml:space="preserve"> for extraction is justified.</w:t>
      </w:r>
    </w:p>
    <w:p w14:paraId="1CE83045" w14:textId="77777777" w:rsidR="001462BB" w:rsidRDefault="001462BB" w:rsidP="006F2535">
      <w:pPr>
        <w:pStyle w:val="Body"/>
      </w:pPr>
    </w:p>
    <w:p w14:paraId="6C928BFC" w14:textId="33FB0035" w:rsidR="004E19A5" w:rsidRDefault="00C775A8" w:rsidP="006F2535">
      <w:pPr>
        <w:pStyle w:val="Body"/>
        <w:rPr>
          <w:rFonts w:eastAsiaTheme="minorEastAsia"/>
        </w:rPr>
      </w:pPr>
      <w:r>
        <w:t xml:space="preserve">The </w:t>
      </w:r>
      <w:proofErr w:type="spellStart"/>
      <w:r>
        <w:t>Zymo</w:t>
      </w:r>
      <w:proofErr w:type="spellEnd"/>
      <w:r>
        <w:t xml:space="preserve"> clean and concentrator has been used to plasma miRNA samples for microRNA microarray, </w:t>
      </w:r>
      <w:proofErr w:type="spellStart"/>
      <w:r>
        <w:t>smallRNA</w:t>
      </w:r>
      <w:proofErr w:type="spellEnd"/>
      <w:r>
        <w:t xml:space="preserve"> </w:t>
      </w:r>
      <w:proofErr w:type="spellStart"/>
      <w:r>
        <w:t>Seq</w:t>
      </w:r>
      <w:proofErr w:type="spellEnd"/>
      <w:r>
        <w:t xml:space="preserve"> </w:t>
      </w:r>
      <w:r w:rsidR="009914B5">
        <w:t xml:space="preserve">and qPCR </w:t>
      </w:r>
      <w:r w:rsidR="004E19A5">
        <w:rPr>
          <w:rFonts w:eastAsiaTheme="minorEastAsia"/>
        </w:rPr>
        <w:fldChar w:fldCharType="begin"/>
      </w:r>
      <w:r w:rsidR="004E19A5">
        <w:rPr>
          <w:rFonts w:eastAsiaTheme="minorEastAsia"/>
        </w:rPr>
        <w:instrText xml:space="preserve"> ADDIN PAPERS2_CITATIONS &lt;citation&gt;&lt;priority&gt;140&lt;/priority&gt;&lt;uuid&gt;E58D6B2A-F404-4113-A9B4-29778F26D5AC&lt;/uuid&gt;&lt;publications&gt;&lt;publication&gt;&lt;subtype&gt;400&lt;/subtype&gt;&lt;title&gt;High-throughput sequencing of human plasma RNA by using thermostable group II intron reverse transcriptases&lt;/title&gt;&lt;url&gt;http://rnajournal.cshlp.org/lookup/doi/10.1261/rna.054809.115&lt;/url&gt;&lt;volume&gt;22&lt;/volume&gt;&lt;publication_date&gt;99201512161200000000222000&lt;/publication_date&gt;&lt;uuid&gt;2C8E2C8D-D201-4DCD-82E5-79432846C6DC&lt;/uuid&gt;&lt;type&gt;400&lt;/type&gt;&lt;number&gt;1&lt;/number&gt;&lt;citekey&gt;Qin:2015fh&lt;/citekey&gt;&lt;doi&gt;10.1261/rna.054809.115&lt;/doi&gt;&lt;startpage&gt;111&lt;/startpage&gt;&lt;endpage&gt;128&lt;/endpage&gt;&lt;bundle&gt;&lt;publication&gt;&lt;title&gt;Rna-a Publication of the Rna Society&lt;/title&gt;&lt;uuid&gt;F9584A59-5874-4A77-AD7D-C99CCCAF5FC7&lt;/uuid&gt;&lt;subtype&gt;-100&lt;/subtype&gt;&lt;type&gt;-100&lt;/type&gt;&lt;/publication&gt;&lt;/bundle&gt;&lt;authors&gt;&lt;author&gt;&lt;lastName&gt;Qin&lt;/lastName&gt;&lt;firstName&gt;Yidan&lt;/firstName&gt;&lt;/author&gt;&lt;author&gt;&lt;lastName&gt;Yao&lt;/lastName&gt;&lt;firstName&gt;Jun&lt;/firstName&gt;&lt;/author&gt;&lt;author&gt;&lt;lastName&gt;Wu&lt;/lastName&gt;&lt;firstName&gt;Douglas&lt;/firstName&gt;&lt;middleNames&gt;C&lt;/middleNames&gt;&lt;/author&gt;&lt;author&gt;&lt;lastName&gt;Nottingham&lt;/lastName&gt;&lt;firstName&gt;Ryan&lt;/firstName&gt;&lt;middleNames&gt;M&lt;/middleNames&gt;&lt;/author&gt;&lt;author&gt;&lt;lastName&gt;Mohr&lt;/lastName&gt;&lt;firstName&gt;Sabine&lt;/firstName&gt;&lt;/author&gt;&lt;author&gt;&lt;lastName&gt;Hunicke-Smith&lt;/lastName&gt;&lt;firstName&gt;Scott&lt;/firstName&gt;&lt;/author&gt;&lt;author&gt;&lt;lastName&gt;Lambowitz&lt;/lastName&gt;&lt;firstName&gt;Alan&lt;/firstName&gt;&lt;middleNames&gt;M&lt;/middleNames&gt;&lt;/author&gt;&lt;/authors&gt;&lt;/publication&gt;&lt;/publications&gt;&lt;cites&gt;&lt;/cites&gt;&lt;/citation&gt;</w:instrText>
      </w:r>
      <w:r w:rsidR="004E19A5">
        <w:rPr>
          <w:rFonts w:eastAsiaTheme="minorEastAsia"/>
        </w:rPr>
        <w:fldChar w:fldCharType="separate"/>
      </w:r>
      <w:r w:rsidR="004E19A5">
        <w:rPr>
          <w:rFonts w:eastAsiaTheme="minorEastAsia"/>
        </w:rPr>
        <w:t>(Qin et al., 2015)</w:t>
      </w:r>
      <w:r w:rsidR="004E19A5">
        <w:rPr>
          <w:rFonts w:eastAsiaTheme="minorEastAsia"/>
        </w:rPr>
        <w:fldChar w:fldCharType="end"/>
      </w:r>
      <w:r w:rsidR="009914B5">
        <w:rPr>
          <w:rFonts w:eastAsiaTheme="minorEastAsia"/>
        </w:rPr>
        <w:t xml:space="preserve">, </w:t>
      </w:r>
      <w:r w:rsidR="004E19A5">
        <w:rPr>
          <w:rFonts w:eastAsiaTheme="minorEastAsia"/>
        </w:rPr>
        <w:fldChar w:fldCharType="begin"/>
      </w:r>
      <w:r w:rsidR="004E19A5">
        <w:rPr>
          <w:rFonts w:eastAsiaTheme="minorEastAsia"/>
        </w:rPr>
        <w:instrText xml:space="preserve"> ADDIN PAPERS2_CITATIONS &lt;citation&gt;&lt;priority&gt;141&lt;/priority&gt;&lt;uuid&gt;2630A6EC-5932-4FD9-B9C5-BAEF6441D116&lt;/uuid&gt;&lt;publications&gt;&lt;publication&gt;&lt;subtype&gt;400&lt;/subtype&gt;&lt;title&gt;Plasma Circulating Extracellular RNAs in Left Ventricular Remodeling Post-Myocardial Infarction.&lt;/title&gt;&lt;url&gt;https://linkinghub.elsevier.com/retrieve/pii/S2352396418301701&lt;/url&gt;&lt;volume&gt;32&lt;/volume&gt;&lt;revision_date&gt;99201805071200000000222000&lt;/revision_date&gt;&lt;publication_date&gt;99201806001200000000220000&lt;/publication_date&gt;&lt;uuid&gt;F15300C5-EB30-42F4-8F85-5F1C9C4CE1C5&lt;/uuid&gt;&lt;type&gt;400&lt;/type&gt;&lt;accepted_date&gt;99201805081200000000222000&lt;/accepted_date&gt;&lt;citekey&gt;Danielson:2018cu&lt;/citekey&gt;&lt;submission_date&gt;99201712131200000000222000&lt;/submission_date&gt;&lt;doi&gt;10.1016/j.ebiom.2018.05.013&lt;/doi&gt;&lt;institution&gt;Cardiology Division and Corrigan Minehan Heart Center, Massachusetts General Hospital, Harvard Medical School, Boston, MA 02114, USA; Department of Surgery &amp;amp; Anaesthesia, University of Otago, Wellington 6242, New Zealand.&lt;/institution&gt;&lt;startpage&gt;172&lt;/startpage&gt;&lt;endpage&gt;181&lt;/endpage&gt;&lt;bundle&gt;&lt;publication&gt;&lt;title&gt;EBioMedicine&lt;/title&gt;&lt;uuid&gt;DAFCD534-56FC-4104-BA56-FF2C6C20C93E&lt;/uuid&gt;&lt;subtype&gt;-100&lt;/subtype&gt;&lt;type&gt;-100&lt;/type&gt;&lt;/publication&gt;&lt;/bundle&gt;&lt;authors&gt;&lt;author&gt;&lt;lastName&gt;Danielson&lt;/lastName&gt;&lt;firstName&gt;Kirsty&lt;/firstName&gt;&lt;middleNames&gt;M&lt;/middleNames&gt;&lt;/author&gt;&lt;author&gt;&lt;lastName&gt;Shah&lt;/lastName&gt;&lt;firstName&gt;Ravi&lt;/firstName&gt;&lt;/author&gt;&lt;author&gt;&lt;lastName&gt;Yeri&lt;/lastName&gt;&lt;firstName&gt;Ashish&lt;/firstName&gt;&lt;/author&gt;&lt;author&gt;&lt;lastName&gt;Liu&lt;/lastName&gt;&lt;firstName&gt;Xiaojun&lt;/firstName&gt;&lt;/author&gt;&lt;author&gt;&lt;lastName&gt;Camacho Garcia&lt;/lastName&gt;&lt;firstName&gt;Fernando&lt;/firstName&gt;&lt;/author&gt;&lt;author&gt;&lt;lastName&gt;Silverman&lt;/lastName&gt;&lt;firstName&gt;Michael&lt;/firstName&gt;&lt;/author&gt;&lt;author&gt;&lt;lastName&gt;Tanriverdi&lt;/lastName&gt;&lt;firstName&gt;Kahraman&lt;/firstName&gt;&lt;/author&gt;&lt;author&gt;&lt;lastName&gt;Das&lt;/lastName&gt;&lt;firstName&gt;Avash&lt;/firstName&gt;&lt;/author&gt;&lt;author&gt;&lt;lastName&gt;Xiao&lt;/lastName&gt;&lt;firstName&gt;Chunyang&lt;/firstName&gt;&lt;/author&gt;&lt;author&gt;&lt;lastName&gt;Jerosch-Herold&lt;/lastName&gt;&lt;firstName&gt;Michael&lt;/firstName&gt;&lt;/author&gt;&lt;author&gt;&lt;lastName&gt;Heydari&lt;/lastName&gt;&lt;firstName&gt;Bobak&lt;/firstName&gt;&lt;/author&gt;&lt;author&gt;&lt;lastName&gt;Abbasi&lt;/lastName&gt;&lt;firstName&gt;Siddique&lt;/firstName&gt;&lt;/author&gt;&lt;author&gt;&lt;lastName&gt;Keuren-Jensen&lt;/lastName&gt;&lt;nonDroppingParticle&gt;Van&lt;/nonDroppingParticle&gt;&lt;firstName&gt;Kendall&lt;/firstName&gt;&lt;/author&gt;&lt;author&gt;&lt;lastName&gt;Freedman&lt;/lastName&gt;&lt;firstName&gt;Jane&lt;/firstName&gt;&lt;middleNames&gt;E&lt;/middleNames&gt;&lt;/author&gt;&lt;author&gt;&lt;lastName&gt;Wang&lt;/lastName&gt;&lt;firstName&gt;Yaoyu&lt;/firstName&gt;&lt;middleNames&gt;E&lt;/middleNames&gt;&lt;/author&gt;&lt;author&gt;&lt;lastName&gt;Rosenzweig&lt;/lastName&gt;&lt;firstName&gt;Anthony&lt;/firstName&gt;&lt;/author&gt;&lt;author&gt;&lt;lastName&gt;Kwong&lt;/lastName&gt;&lt;firstName&gt;Raymond&lt;/firstName&gt;&lt;middleNames&gt;Y&lt;/middleNames&gt;&lt;/author&gt;&lt;author&gt;&lt;lastName&gt;Das&lt;/lastName&gt;&lt;firstName&gt;Saumya&lt;/firstName&gt;&lt;/author&gt;&lt;/authors&gt;&lt;/publication&gt;&lt;/publications&gt;&lt;cites&gt;&lt;/cites&gt;&lt;/citation&gt;</w:instrText>
      </w:r>
      <w:r w:rsidR="004E19A5">
        <w:rPr>
          <w:rFonts w:eastAsiaTheme="minorEastAsia"/>
        </w:rPr>
        <w:fldChar w:fldCharType="separate"/>
      </w:r>
      <w:r w:rsidR="004E19A5">
        <w:rPr>
          <w:rFonts w:eastAsiaTheme="minorEastAsia"/>
        </w:rPr>
        <w:t>(Danielson et al., 2018)</w:t>
      </w:r>
      <w:r w:rsidR="004E19A5">
        <w:rPr>
          <w:rFonts w:eastAsiaTheme="minorEastAsia"/>
        </w:rPr>
        <w:fldChar w:fldCharType="end"/>
      </w:r>
      <w:r w:rsidR="009914B5">
        <w:rPr>
          <w:rFonts w:eastAsiaTheme="minorEastAsia"/>
        </w:rPr>
        <w:t xml:space="preserve">, </w:t>
      </w:r>
      <w:r w:rsidR="004E19A5">
        <w:rPr>
          <w:rFonts w:eastAsiaTheme="minorEastAsia"/>
        </w:rPr>
        <w:fldChar w:fldCharType="begin"/>
      </w:r>
      <w:r w:rsidR="004E19A5">
        <w:rPr>
          <w:rFonts w:eastAsiaTheme="minorEastAsia"/>
        </w:rPr>
        <w:instrText xml:space="preserve"> ADDIN PAPERS2_CITATIONS &lt;citation&gt;&lt;priority&gt;142&lt;/priority&gt;&lt;uuid&gt;91A53A7D-E872-4261-9843-43FF10C1D3BB&lt;/uuid&gt;&lt;publications&gt;&lt;publication&gt;&lt;subtype&gt;400&lt;/subtype&gt;&lt;title&gt;Discovery and Verification of Extracellular miRNA Biomarkers for Non-invasive Prediction of Pre-eclampsia in Asymptomatic Women&lt;/title&gt;&lt;url&gt;https://linkinghub.elsevier.com/retrieve/pii/S2666379120300185&lt;/url&gt;&lt;volume&gt;1&lt;/volume&gt;&lt;publication_date&gt;99202005001200000000220000&lt;/publication_date&gt;&lt;uuid&gt;70E51A5D-D7ED-47B6-AA34-CACB1799EA88&lt;/uuid&gt;&lt;type&gt;400&lt;/type&gt;&lt;number&gt;2&lt;/number&gt;&lt;doi&gt;10.1016/j.xcrm.2020.100013&lt;/doi&gt;&lt;startpage&gt;100013&lt;/startpage&gt;&lt;bundle&gt;&lt;publication&gt;&lt;title&gt;Elsevier</w:instrText>
      </w:r>
    </w:p>
    <w:p w14:paraId="4B4CBD15" w14:textId="39036392" w:rsidR="001462BB" w:rsidRDefault="004E19A5" w:rsidP="006F2535">
      <w:pPr>
        <w:pStyle w:val="Body"/>
        <w:rPr>
          <w:rFonts w:eastAsiaTheme="minorEastAsia"/>
        </w:rPr>
      </w:pPr>
      <w:r>
        <w:rPr>
          <w:rFonts w:eastAsiaTheme="minorEastAsia"/>
        </w:rPr>
        <w:instrText>&lt;/title&gt;&lt;uuid&gt;45366028-1062-4D22-A200-4DE8E95CCC01&lt;/uuid&gt;&lt;subtype&gt;-100&lt;/subtype&gt;&lt;type&gt;-100&lt;/type&gt;&lt;/publication&gt;&lt;/bundle&gt;&lt;authors&gt;&lt;author&gt;&lt;lastName&gt;Srinivasan&lt;/lastName&gt;&lt;firstName&gt;S&lt;/firstName&gt;&lt;/author&gt;&lt;author&gt;&lt;lastName&gt;Treacy&lt;/lastName&gt;&lt;firstName&gt;R&lt;/firstName&gt;&lt;/author&gt;&lt;author&gt;&lt;lastName&gt;Herrero&lt;/lastName&gt;&lt;firstName&gt;T&lt;/firstName&gt;&lt;/author&gt;&lt;author&gt;&lt;lastName&gt;Reports&lt;/lastName&gt;&lt;firstName&gt;R&lt;/firstName&gt;&lt;middleNames&gt;Olsen Cell&lt;/middleNames&gt;&lt;/author&gt;&lt;author&gt;&lt;lastName&gt;2020&lt;/lastName&gt;&lt;/author&gt;&lt;/authors&gt;&lt;/publication&gt;&lt;/publications&gt;&lt;cites&gt;&lt;/cites&gt;&lt;/citation&gt;</w:instrText>
      </w:r>
      <w:r>
        <w:rPr>
          <w:rFonts w:eastAsiaTheme="minorEastAsia"/>
        </w:rPr>
        <w:fldChar w:fldCharType="separate"/>
      </w:r>
      <w:r>
        <w:rPr>
          <w:rFonts w:eastAsiaTheme="minorEastAsia"/>
        </w:rPr>
        <w:t>(Srinivasan, Treacy, Herrero, Reports, 2020, 2020b)</w:t>
      </w:r>
      <w:r>
        <w:rPr>
          <w:rFonts w:eastAsiaTheme="minorEastAsia"/>
        </w:rPr>
        <w:fldChar w:fldCharType="end"/>
      </w:r>
      <w:r w:rsidR="009914B5">
        <w:rPr>
          <w:rFonts w:eastAsiaTheme="minorEastAsia"/>
        </w:rPr>
        <w:t>.</w:t>
      </w:r>
    </w:p>
    <w:p w14:paraId="19F9509D" w14:textId="77777777" w:rsidR="001462BB" w:rsidRDefault="001462BB" w:rsidP="006F2535">
      <w:pPr>
        <w:pStyle w:val="Body"/>
        <w:rPr>
          <w:rFonts w:eastAsiaTheme="minorEastAsia"/>
        </w:rPr>
      </w:pPr>
    </w:p>
    <w:p w14:paraId="2D3B6DE5" w14:textId="713C6DA0" w:rsidR="00C775A8" w:rsidRDefault="001462BB" w:rsidP="00DB6759">
      <w:pPr>
        <w:pStyle w:val="Body"/>
      </w:pPr>
      <w:r>
        <w:rPr>
          <w:rFonts w:eastAsiaTheme="minorEastAsia"/>
        </w:rPr>
        <w:t>There have been many</w:t>
      </w:r>
      <w:r w:rsidR="000801B7">
        <w:rPr>
          <w:rFonts w:eastAsiaTheme="minorEastAsia"/>
        </w:rPr>
        <w:t xml:space="preserve"> studies demonstrating the Agilent microRNA microarray platform. </w:t>
      </w:r>
      <w:r w:rsidR="00DB6759">
        <w:rPr>
          <w:rFonts w:eastAsiaTheme="minorEastAsia"/>
        </w:rPr>
        <w:t xml:space="preserve">In particular </w:t>
      </w:r>
      <w:proofErr w:type="spellStart"/>
      <w:r w:rsidR="00DB6759">
        <w:rPr>
          <w:rFonts w:eastAsiaTheme="minorEastAsia"/>
        </w:rPr>
        <w:t>Callari</w:t>
      </w:r>
      <w:proofErr w:type="spellEnd"/>
      <w:r w:rsidR="00DB6759">
        <w:rPr>
          <w:rFonts w:eastAsiaTheme="minorEastAsia"/>
        </w:rPr>
        <w:t xml:space="preserve"> et al., demonstrated in </w:t>
      </w:r>
      <w:r w:rsidR="00E96CF9">
        <w:rPr>
          <w:rFonts w:eastAsiaTheme="minorEastAsia"/>
        </w:rPr>
        <w:t xml:space="preserve">RNA extracted from </w:t>
      </w:r>
      <w:r w:rsidR="00DB6759">
        <w:rPr>
          <w:rFonts w:eastAsiaTheme="minorEastAsia"/>
        </w:rPr>
        <w:t xml:space="preserve">350 µl of plasma reproducible results using the </w:t>
      </w:r>
      <w:proofErr w:type="spellStart"/>
      <w:r w:rsidR="00DB6759">
        <w:rPr>
          <w:rFonts w:eastAsiaTheme="minorEastAsia"/>
        </w:rPr>
        <w:t>Agilient</w:t>
      </w:r>
      <w:proofErr w:type="spellEnd"/>
      <w:r w:rsidR="00DB6759">
        <w:rPr>
          <w:rFonts w:eastAsiaTheme="minorEastAsia"/>
        </w:rPr>
        <w:t xml:space="preserve"> </w:t>
      </w:r>
      <w:r w:rsidR="005E5026">
        <w:rPr>
          <w:rFonts w:eastAsiaTheme="minorEastAsia"/>
        </w:rPr>
        <w:t>Human</w:t>
      </w:r>
      <w:r w:rsidR="00DB6759">
        <w:rPr>
          <w:rFonts w:eastAsiaTheme="minorEastAsia"/>
        </w:rPr>
        <w:t xml:space="preserve"> miRNA microarray platform</w:t>
      </w:r>
      <w:r w:rsidR="00E96CF9">
        <w:rPr>
          <w:rFonts w:eastAsiaTheme="minorEastAsia"/>
        </w:rPr>
        <w:t xml:space="preserve"> </w:t>
      </w:r>
      <w:r w:rsidR="004E19A5">
        <w:rPr>
          <w:rFonts w:eastAsiaTheme="minorEastAsia"/>
        </w:rPr>
        <w:fldChar w:fldCharType="begin"/>
      </w:r>
      <w:r w:rsidR="004E19A5">
        <w:rPr>
          <w:rFonts w:eastAsiaTheme="minorEastAsia"/>
        </w:rPr>
        <w:instrText xml:space="preserve"> ADDIN PAPERS2_CITATIONS &lt;citation&gt;&lt;priority&gt;143&lt;/priority&gt;&lt;uuid&gt;DE1985AC-E741-4419-90FB-0BFC4D148B71&lt;/uuid&gt;&lt;publications&gt;&lt;publication&gt;&lt;subtype&gt;400&lt;/subtype&gt;&lt;publisher&gt;Elsevier Inc.&lt;/publisher&gt;&lt;title&gt;Feasibility of circulating miRNA microarray analysis from archival plasma samples&lt;/title&gt;&lt;url&gt;http://dx.doi.org/10.1016/j.ab.2013.03.002&lt;/url&gt;&lt;volume&gt;437&lt;/volume&gt;&lt;publication_date&gt;99201306151200000000222000&lt;/publication_date&gt;&lt;uuid&gt;0FD9EE6A-87A7-4EBA-87C2-D95CFFF5A7C2&lt;/uuid&gt;&lt;type&gt;400&lt;/type&gt;&lt;number&gt;2&lt;/number&gt;&lt;doi&gt;10.1016/j.ab.2013.03.002&lt;/doi&gt;&lt;startpage&gt;123&lt;/startpage&gt;&lt;endpage&gt;125&lt;/endpage&gt;&lt;bundle&gt;&lt;publication&gt;&lt;title&gt;Analytical Biochemistry&lt;/title&gt;&lt;uuid&gt;4DED41D9-2C66-4471-84BA-8118DE3C7865&lt;/uuid&gt;&lt;subtype&gt;-100&lt;/subtype&gt;&lt;publisher&gt;Elsevier Inc.&lt;/publisher&gt;&lt;type&gt;-100&lt;/type&gt;&lt;/publication&gt;&lt;/bundle&gt;&lt;authors&gt;&lt;author&gt;&lt;lastName&gt;Callari&lt;/lastName&gt;&lt;firstName&gt;Maurizio&lt;/firstName&gt;&lt;/author&gt;&lt;author&gt;&lt;lastName&gt;Tiberio&lt;/lastName&gt;&lt;firstName&gt;Paola&lt;/firstName&gt;&lt;/author&gt;&lt;author&gt;&lt;lastName&gt;Cecco&lt;/lastName&gt;&lt;nonDroppingParticle&gt;De&lt;/nonDroppingParticle&gt;&lt;firstName&gt;Loris&lt;/firstName&gt;&lt;/author&gt;&lt;author&gt;&lt;lastName&gt;Cavadini&lt;/lastName&gt;&lt;firstName&gt;Elena&lt;/firstName&gt;&lt;/author&gt;&lt;author&gt;&lt;lastName&gt;Dugo&lt;/lastName&gt;&lt;firstName&gt;Matteo&lt;/firstName&gt;&lt;/author&gt;&lt;author&gt;&lt;lastName&gt;Ghimenti&lt;/lastName&gt;&lt;firstName&gt;Chiara&lt;/firstName&gt;&lt;/author&gt;&lt;author&gt;&lt;lastName&gt;Daidone&lt;/lastName&gt;&lt;firstName&gt;Maria&lt;/firstName&gt;&lt;middleNames&gt;Grazia&lt;/middleNames&gt;&lt;/author&gt;&lt;author&gt;&lt;lastName&gt;Canevari&lt;/lastName&gt;&lt;firstName&gt;Silvana&lt;/firstName&gt;&lt;/author&gt;&lt;author&gt;&lt;lastName&gt;Appierto&lt;/lastName&gt;&lt;firstName&gt;Valentina&lt;/firstName&gt;&lt;/author&gt;&lt;/authors&gt;&lt;/publication&gt;&lt;/publications&gt;&lt;cites&gt;&lt;/cites&gt;&lt;/citation&gt;</w:instrText>
      </w:r>
      <w:r w:rsidR="004E19A5">
        <w:rPr>
          <w:rFonts w:eastAsiaTheme="minorEastAsia"/>
        </w:rPr>
        <w:fldChar w:fldCharType="separate"/>
      </w:r>
      <w:r w:rsidR="004E19A5">
        <w:rPr>
          <w:rFonts w:eastAsiaTheme="minorEastAsia"/>
        </w:rPr>
        <w:t>(</w:t>
      </w:r>
      <w:proofErr w:type="spellStart"/>
      <w:r w:rsidR="004E19A5">
        <w:rPr>
          <w:rFonts w:eastAsiaTheme="minorEastAsia"/>
        </w:rPr>
        <w:t>Callari</w:t>
      </w:r>
      <w:proofErr w:type="spellEnd"/>
      <w:r w:rsidR="004E19A5">
        <w:rPr>
          <w:rFonts w:eastAsiaTheme="minorEastAsia"/>
        </w:rPr>
        <w:t xml:space="preserve"> et al., 2013)</w:t>
      </w:r>
      <w:r w:rsidR="004E19A5">
        <w:rPr>
          <w:rFonts w:eastAsiaTheme="minorEastAsia"/>
        </w:rPr>
        <w:fldChar w:fldCharType="end"/>
      </w:r>
      <w:r w:rsidR="00E96CF9">
        <w:rPr>
          <w:rFonts w:eastAsiaTheme="minorEastAsia"/>
        </w:rPr>
        <w:t>. 11 patient samples were processed in triplicate across two batches intra-batch correlation between technical replicates higher than 0.99, and inter-batch was 0.89.</w:t>
      </w:r>
    </w:p>
    <w:p w14:paraId="03B306BC" w14:textId="57A0CEDD" w:rsidR="003E59EB" w:rsidRDefault="003E59EB" w:rsidP="006F2535">
      <w:pPr>
        <w:pStyle w:val="Body"/>
      </w:pPr>
      <w:r>
        <w:t xml:space="preserve"> </w:t>
      </w:r>
    </w:p>
    <w:p w14:paraId="416DB553" w14:textId="19BBAD67" w:rsidR="000A45DA" w:rsidRDefault="00FD558A" w:rsidP="00B718C4">
      <w:pPr>
        <w:pStyle w:val="Body"/>
      </w:pPr>
      <w:r>
        <w:t xml:space="preserve">In summary, </w:t>
      </w:r>
      <w:r w:rsidR="003E59EB">
        <w:t xml:space="preserve">hindsight </w:t>
      </w:r>
      <w:r w:rsidR="00FA379B">
        <w:t xml:space="preserve">indicates </w:t>
      </w:r>
      <w:r w:rsidR="003E59EB">
        <w:t xml:space="preserve">that an exhaustive validation would have been appropriate potentially improving </w:t>
      </w:r>
      <w:r w:rsidR="00B718C4">
        <w:t>validation</w:t>
      </w:r>
      <w:r w:rsidR="0056150E">
        <w:t>. However,</w:t>
      </w:r>
      <w:r w:rsidR="00B718C4">
        <w:t xml:space="preserve"> at the outset of this project </w:t>
      </w:r>
      <w:r w:rsidR="0056150E">
        <w:t xml:space="preserve">there was </w:t>
      </w:r>
      <w:r w:rsidR="00742E7D">
        <w:t>peer-reviewed</w:t>
      </w:r>
      <w:r w:rsidR="0056150E">
        <w:t xml:space="preserve"> evidence that the systems</w:t>
      </w:r>
      <w:r w:rsidR="00FA379B">
        <w:t xml:space="preserve"> used</w:t>
      </w:r>
      <w:r w:rsidR="0056150E">
        <w:t xml:space="preserve"> work and there was no reason to doubt that it would be different in this study</w:t>
      </w:r>
      <w:r w:rsidR="00FA379B">
        <w:t xml:space="preserve"> and</w:t>
      </w:r>
      <w:r w:rsidR="00742E7D">
        <w:t xml:space="preserve"> budget constraints made exhaustive testing prohibitive.</w:t>
      </w:r>
    </w:p>
    <w:p w14:paraId="27E90D27" w14:textId="77777777" w:rsidR="004176DC" w:rsidRDefault="004176DC" w:rsidP="004176DC">
      <w:pPr>
        <w:pStyle w:val="Body"/>
      </w:pPr>
    </w:p>
    <w:p w14:paraId="4CDE1429" w14:textId="440F97EE" w:rsidR="004176DC" w:rsidRDefault="004176DC" w:rsidP="004176DC">
      <w:pPr>
        <w:pStyle w:val="Heading2"/>
        <w:numPr>
          <w:ilvl w:val="2"/>
          <w:numId w:val="7"/>
        </w:numPr>
        <w:spacing w:before="120" w:after="120"/>
      </w:pPr>
      <w:bookmarkStart w:id="330" w:name="_Toc60773969"/>
      <w:r>
        <w:lastRenderedPageBreak/>
        <w:t>Technical Variation in miRNA Expression</w:t>
      </w:r>
      <w:bookmarkEnd w:id="330"/>
    </w:p>
    <w:p w14:paraId="6F9422B0" w14:textId="22A1EACB" w:rsidR="004176DC" w:rsidRDefault="004176DC" w:rsidP="004176DC">
      <w:pPr>
        <w:pStyle w:val="Body"/>
        <w:rPr>
          <w:rFonts w:eastAsiaTheme="minorEastAsia"/>
        </w:rPr>
      </w:pPr>
      <w:r>
        <w:t xml:space="preserve">As discussed in </w:t>
      </w:r>
      <w:r>
        <w:fldChar w:fldCharType="begin"/>
      </w:r>
      <w:r>
        <w:instrText xml:space="preserve"> REF _Ref55037877 \r \h </w:instrText>
      </w:r>
      <w:r>
        <w:fldChar w:fldCharType="separate"/>
      </w:r>
      <w:r w:rsidR="00885DE4">
        <w:t>7.1.3</w:t>
      </w:r>
      <w:r>
        <w:fldChar w:fldCharType="end"/>
      </w:r>
      <w:r>
        <w:t xml:space="preserve"> </w:t>
      </w:r>
      <w:proofErr w:type="spellStart"/>
      <w:r>
        <w:rPr>
          <w:rFonts w:eastAsiaTheme="minorEastAsia"/>
        </w:rPr>
        <w:t>Callari</w:t>
      </w:r>
      <w:proofErr w:type="spellEnd"/>
      <w:r>
        <w:rPr>
          <w:rFonts w:eastAsiaTheme="minorEastAsia"/>
        </w:rPr>
        <w:t xml:space="preserve"> et al., found very low variation between technical replicates in plasma samples. Additionally, the </w:t>
      </w:r>
      <w:proofErr w:type="spellStart"/>
      <w:r>
        <w:rPr>
          <w:rFonts w:eastAsiaTheme="minorEastAsia"/>
        </w:rPr>
        <w:t>miRQC</w:t>
      </w:r>
      <w:proofErr w:type="spellEnd"/>
      <w:r>
        <w:rPr>
          <w:rFonts w:eastAsiaTheme="minorEastAsia"/>
        </w:rPr>
        <w:t xml:space="preserve"> study performed samples in replicate and found </w:t>
      </w:r>
      <w:r w:rsidR="000D4D18">
        <w:rPr>
          <w:rFonts w:eastAsiaTheme="minorEastAsia"/>
        </w:rPr>
        <w:t xml:space="preserve">the Agilent microarray to be the most </w:t>
      </w:r>
      <w:r w:rsidR="003C0707">
        <w:rPr>
          <w:rFonts w:eastAsiaTheme="minorEastAsia"/>
        </w:rPr>
        <w:t>stable amongst replicates</w:t>
      </w:r>
      <w:r w:rsidR="00ED090F">
        <w:rPr>
          <w:rFonts w:eastAsiaTheme="minorEastAsia"/>
        </w:rPr>
        <w:t>.</w:t>
      </w:r>
      <w:r w:rsidR="007118EE">
        <w:rPr>
          <w:rFonts w:eastAsiaTheme="minorEastAsia"/>
        </w:rPr>
        <w:t xml:space="preserve"> Both of these studies set out to test the variation and reproducibility of miRNA technology and both concluded the Agilent platform perform</w:t>
      </w:r>
      <w:r w:rsidR="00B6576E">
        <w:rPr>
          <w:rFonts w:eastAsiaTheme="minorEastAsia"/>
        </w:rPr>
        <w:t>ed</w:t>
      </w:r>
      <w:r w:rsidR="007118EE">
        <w:rPr>
          <w:rFonts w:eastAsiaTheme="minorEastAsia"/>
        </w:rPr>
        <w:t xml:space="preserve"> well, even on </w:t>
      </w:r>
      <w:r w:rsidR="00B6576E">
        <w:rPr>
          <w:rFonts w:eastAsiaTheme="minorEastAsia"/>
        </w:rPr>
        <w:t xml:space="preserve">RNA from </w:t>
      </w:r>
      <w:r w:rsidR="007118EE">
        <w:rPr>
          <w:rFonts w:eastAsiaTheme="minorEastAsia"/>
        </w:rPr>
        <w:t xml:space="preserve">plasma. </w:t>
      </w:r>
      <w:r w:rsidR="00E75A3D">
        <w:rPr>
          <w:rFonts w:eastAsiaTheme="minorEastAsia"/>
        </w:rPr>
        <w:t>Agilent</w:t>
      </w:r>
      <w:r w:rsidR="007118EE">
        <w:rPr>
          <w:rFonts w:eastAsiaTheme="minorEastAsia"/>
        </w:rPr>
        <w:t xml:space="preserve"> may not be as well utilised in publications as the Affymetrix platform</w:t>
      </w:r>
      <w:r w:rsidR="00263F59">
        <w:rPr>
          <w:rFonts w:eastAsiaTheme="minorEastAsia"/>
        </w:rPr>
        <w:t>,</w:t>
      </w:r>
      <w:r w:rsidR="007118EE">
        <w:rPr>
          <w:rFonts w:eastAsiaTheme="minorEastAsia"/>
        </w:rPr>
        <w:t xml:space="preserve"> but this is mostly down to the way microarrays are processed at universities. Typically, most departments or labs do not have the equipment or expertise and instead use core facilities for processing, the Affymetrix platform is most commonly used as </w:t>
      </w:r>
      <w:r w:rsidR="00C90C96">
        <w:rPr>
          <w:rFonts w:eastAsiaTheme="minorEastAsia"/>
        </w:rPr>
        <w:t xml:space="preserve">it was designed for the higher </w:t>
      </w:r>
      <w:r w:rsidR="007118EE">
        <w:rPr>
          <w:rFonts w:eastAsiaTheme="minorEastAsia"/>
        </w:rPr>
        <w:t>throughput</w:t>
      </w:r>
      <w:r w:rsidR="00C90C96">
        <w:rPr>
          <w:rFonts w:eastAsiaTheme="minorEastAsia"/>
        </w:rPr>
        <w:t xml:space="preserve"> core facilities have</w:t>
      </w:r>
      <w:r w:rsidR="007118EE">
        <w:rPr>
          <w:rFonts w:eastAsiaTheme="minorEastAsia"/>
        </w:rPr>
        <w:t>.</w:t>
      </w:r>
    </w:p>
    <w:p w14:paraId="5913B8AF" w14:textId="64A0F647" w:rsidR="00AE04C7" w:rsidRDefault="00AE04C7" w:rsidP="004176DC">
      <w:pPr>
        <w:pStyle w:val="Body"/>
        <w:rPr>
          <w:rFonts w:eastAsiaTheme="minorEastAsia"/>
        </w:rPr>
      </w:pPr>
    </w:p>
    <w:p w14:paraId="5B0831A7" w14:textId="4FCB9BBF" w:rsidR="00AE04C7" w:rsidRDefault="00AE04C7" w:rsidP="004176DC">
      <w:pPr>
        <w:pStyle w:val="Body"/>
        <w:rPr>
          <w:rFonts w:eastAsiaTheme="minorEastAsia"/>
        </w:rPr>
      </w:pPr>
      <w:r>
        <w:rPr>
          <w:rFonts w:eastAsiaTheme="minorEastAsia"/>
        </w:rPr>
        <w:t xml:space="preserve">Ideally, I would have set-up an experiment to test the variation between technical replicates between extraction methods and sample source. This was not considered </w:t>
      </w:r>
      <w:r w:rsidR="00CC71A8">
        <w:rPr>
          <w:rFonts w:eastAsiaTheme="minorEastAsia"/>
        </w:rPr>
        <w:t>at the time as it would have used</w:t>
      </w:r>
      <w:r w:rsidR="00AD7CF9">
        <w:rPr>
          <w:rFonts w:eastAsiaTheme="minorEastAsia"/>
        </w:rPr>
        <w:t xml:space="preserve"> a large number of</w:t>
      </w:r>
      <w:r w:rsidR="00CC71A8">
        <w:rPr>
          <w:rFonts w:eastAsiaTheme="minorEastAsia"/>
        </w:rPr>
        <w:t xml:space="preserve"> valuable microarrays and samples. After th</w:t>
      </w:r>
      <w:r w:rsidR="007B3424">
        <w:rPr>
          <w:rFonts w:eastAsiaTheme="minorEastAsia"/>
        </w:rPr>
        <w:t>e microarrays for this</w:t>
      </w:r>
      <w:r w:rsidR="00CC71A8">
        <w:rPr>
          <w:rFonts w:eastAsiaTheme="minorEastAsia"/>
        </w:rPr>
        <w:t xml:space="preserve"> study had concluded the Lawrie lab worked with Promega on a prototype extraction for whole blood total RNA </w:t>
      </w:r>
      <w:r w:rsidR="006C63A4">
        <w:rPr>
          <w:rFonts w:eastAsiaTheme="minorEastAsia"/>
        </w:rPr>
        <w:t xml:space="preserve">on the </w:t>
      </w:r>
      <w:r w:rsidR="00CC71A8">
        <w:rPr>
          <w:rFonts w:eastAsiaTheme="minorEastAsia"/>
        </w:rPr>
        <w:t>Maxwell</w:t>
      </w:r>
      <w:r w:rsidR="006C63A4">
        <w:rPr>
          <w:rFonts w:eastAsiaTheme="minorEastAsia"/>
        </w:rPr>
        <w:t xml:space="preserve"> 16 Robot</w:t>
      </w:r>
      <w:r w:rsidR="00E87DEE">
        <w:rPr>
          <w:rFonts w:eastAsiaTheme="minorEastAsia"/>
        </w:rPr>
        <w:t>.</w:t>
      </w:r>
      <w:r w:rsidR="00630B31">
        <w:rPr>
          <w:rFonts w:eastAsiaTheme="minorEastAsia"/>
        </w:rPr>
        <w:t xml:space="preserve"> A small experiment of two healthy volunteers extracted and processed in replicate using a manual </w:t>
      </w:r>
      <w:proofErr w:type="spellStart"/>
      <w:r w:rsidR="00630B31">
        <w:rPr>
          <w:rFonts w:eastAsiaTheme="minorEastAsia"/>
        </w:rPr>
        <w:t>Norgen</w:t>
      </w:r>
      <w:proofErr w:type="spellEnd"/>
      <w:r w:rsidR="00630B31">
        <w:rPr>
          <w:rFonts w:eastAsiaTheme="minorEastAsia"/>
        </w:rPr>
        <w:t xml:space="preserve"> Tempus RNA kit and the prototype Maxwell and hybridised to an Agilent Human miRNA microarray.</w:t>
      </w:r>
      <w:r w:rsidR="00D30603">
        <w:rPr>
          <w:rFonts w:eastAsiaTheme="minorEastAsia"/>
        </w:rPr>
        <w:t xml:space="preserve"> Each set of replicates is plotted at its mean expression</w:t>
      </w:r>
      <w:r w:rsidR="000E536B">
        <w:rPr>
          <w:rFonts w:eastAsiaTheme="minorEastAsia"/>
        </w:rPr>
        <w:t xml:space="preserve"> on the x axis by </w:t>
      </w:r>
      <w:r w:rsidR="00D30603">
        <w:rPr>
          <w:rFonts w:eastAsiaTheme="minorEastAsia"/>
        </w:rPr>
        <w:t xml:space="preserve">the difference between replicates </w:t>
      </w:r>
      <w:r w:rsidR="000E536B">
        <w:rPr>
          <w:rFonts w:eastAsiaTheme="minorEastAsia"/>
        </w:rPr>
        <w:t>on the y</w:t>
      </w:r>
      <w:r w:rsidR="00EA2DF8">
        <w:rPr>
          <w:rFonts w:eastAsiaTheme="minorEastAsia"/>
        </w:rPr>
        <w:t xml:space="preserve"> </w:t>
      </w:r>
      <w:r w:rsidR="00EA2DF8">
        <w:rPr>
          <w:rFonts w:eastAsiaTheme="minorEastAsia"/>
        </w:rPr>
        <w:fldChar w:fldCharType="begin"/>
      </w:r>
      <w:r w:rsidR="00EA2DF8">
        <w:rPr>
          <w:rFonts w:eastAsiaTheme="minorEastAsia"/>
        </w:rPr>
        <w:instrText xml:space="preserve"> REF _Ref57144459 \h </w:instrText>
      </w:r>
      <w:r w:rsidR="00EA2DF8">
        <w:rPr>
          <w:rFonts w:eastAsiaTheme="minorEastAsia"/>
        </w:rPr>
      </w:r>
      <w:r w:rsidR="00EA2DF8">
        <w:rPr>
          <w:rFonts w:eastAsiaTheme="minorEastAsia"/>
        </w:rPr>
        <w:fldChar w:fldCharType="separate"/>
      </w:r>
      <w:r w:rsidR="00885DE4">
        <w:t xml:space="preserve">Figure </w:t>
      </w:r>
      <w:r w:rsidR="00885DE4">
        <w:rPr>
          <w:noProof/>
        </w:rPr>
        <w:t>7</w:t>
      </w:r>
      <w:r w:rsidR="00885DE4">
        <w:noBreakHyphen/>
      </w:r>
      <w:r w:rsidR="00885DE4">
        <w:rPr>
          <w:noProof/>
        </w:rPr>
        <w:t>3</w:t>
      </w:r>
      <w:r w:rsidR="00EA2DF8">
        <w:rPr>
          <w:rFonts w:eastAsiaTheme="minorEastAsia"/>
        </w:rPr>
        <w:fldChar w:fldCharType="end"/>
      </w:r>
      <w:r w:rsidR="00D30603">
        <w:rPr>
          <w:rFonts w:eastAsiaTheme="minorEastAsia"/>
        </w:rPr>
        <w:t xml:space="preserve">. </w:t>
      </w:r>
      <w:r w:rsidR="000E536B">
        <w:rPr>
          <w:rFonts w:eastAsiaTheme="minorEastAsia"/>
        </w:rPr>
        <w:t xml:space="preserve">This demonstrates the </w:t>
      </w:r>
      <w:r w:rsidR="00AF72F0">
        <w:rPr>
          <w:rFonts w:eastAsiaTheme="minorEastAsia"/>
        </w:rPr>
        <w:t>difference between replicates in relation to the detected expression as there maybe relationship.</w:t>
      </w:r>
    </w:p>
    <w:p w14:paraId="6C9A8D42" w14:textId="3EFD8114" w:rsidR="00E87DEE" w:rsidRDefault="00E87DEE" w:rsidP="004176DC">
      <w:pPr>
        <w:pStyle w:val="Body"/>
        <w:rPr>
          <w:rFonts w:eastAsiaTheme="minorEastAsia"/>
        </w:rPr>
      </w:pPr>
    </w:p>
    <w:p w14:paraId="3DECF597" w14:textId="77777777" w:rsidR="00383C14" w:rsidRDefault="00A87871" w:rsidP="001C3D8A">
      <w:pPr>
        <w:pStyle w:val="Caption"/>
      </w:pPr>
      <w:r>
        <w:rPr>
          <w:noProof/>
        </w:rPr>
        <w:lastRenderedPageBreak/>
        <w:drawing>
          <wp:inline distT="0" distB="0" distL="0" distR="0" wp14:anchorId="35D4C847" wp14:editId="6C60E516">
            <wp:extent cx="5764530" cy="32023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7"/>
                    <a:stretch>
                      <a:fillRect/>
                    </a:stretch>
                  </pic:blipFill>
                  <pic:spPr>
                    <a:xfrm>
                      <a:off x="0" y="0"/>
                      <a:ext cx="5764530" cy="3202305"/>
                    </a:xfrm>
                    <a:prstGeom prst="rect">
                      <a:avLst/>
                    </a:prstGeom>
                  </pic:spPr>
                </pic:pic>
              </a:graphicData>
            </a:graphic>
          </wp:inline>
        </w:drawing>
      </w:r>
    </w:p>
    <w:p w14:paraId="3B561CE1" w14:textId="3D465E6B" w:rsidR="004176DC" w:rsidRDefault="001C3D8A" w:rsidP="001C3D8A">
      <w:pPr>
        <w:pStyle w:val="Caption"/>
      </w:pPr>
      <w:bookmarkStart w:id="331" w:name="_Ref57144459"/>
      <w:bookmarkStart w:id="332" w:name="_Toc60597219"/>
      <w:r>
        <w:t xml:space="preserve">Figure </w:t>
      </w:r>
      <w:r w:rsidR="00864CF4">
        <w:fldChar w:fldCharType="begin"/>
      </w:r>
      <w:r w:rsidR="00864CF4">
        <w:instrText xml:space="preserve"> STYLEREF 1 \s </w:instrText>
      </w:r>
      <w:r w:rsidR="00864CF4">
        <w:fldChar w:fldCharType="separate"/>
      </w:r>
      <w:r w:rsidR="00885DE4">
        <w:rPr>
          <w:noProof/>
        </w:rPr>
        <w:t>7</w:t>
      </w:r>
      <w:r w:rsidR="00864CF4">
        <w:fldChar w:fldCharType="end"/>
      </w:r>
      <w:r w:rsidR="00864CF4">
        <w:noBreakHyphen/>
      </w:r>
      <w:r w:rsidR="00864CF4">
        <w:fldChar w:fldCharType="begin"/>
      </w:r>
      <w:r w:rsidR="00864CF4">
        <w:instrText xml:space="preserve"> SEQ Figure \* ARABIC \s 1 </w:instrText>
      </w:r>
      <w:r w:rsidR="00864CF4">
        <w:fldChar w:fldCharType="separate"/>
      </w:r>
      <w:r w:rsidR="00885DE4">
        <w:rPr>
          <w:noProof/>
        </w:rPr>
        <w:t>3</w:t>
      </w:r>
      <w:r w:rsidR="00864CF4">
        <w:fldChar w:fldCharType="end"/>
      </w:r>
      <w:bookmarkEnd w:id="331"/>
      <w:r>
        <w:t xml:space="preserve"> Variance between </w:t>
      </w:r>
      <w:r w:rsidR="00150B9D">
        <w:t>replicates shown at the mean expression of each replicate for both healthy volunteers and both extraction methods.</w:t>
      </w:r>
      <w:r w:rsidR="00AD7CF9">
        <w:t xml:space="preserve"> 0.5 log fold-change is shown on the chart as a light grey line for reference.</w:t>
      </w:r>
      <w:bookmarkEnd w:id="332"/>
    </w:p>
    <w:p w14:paraId="7E0DA3CD" w14:textId="77777777" w:rsidR="001C3D8A" w:rsidRPr="001C3D8A" w:rsidRDefault="001C3D8A" w:rsidP="001C3D8A"/>
    <w:p w14:paraId="27A45631" w14:textId="51EE4220" w:rsidR="00AF72F0" w:rsidRDefault="00AF72F0" w:rsidP="004176DC">
      <w:pPr>
        <w:pStyle w:val="Body"/>
      </w:pPr>
      <w:r>
        <w:t xml:space="preserve">From the scatter plot it can be seen that the manual </w:t>
      </w:r>
      <w:proofErr w:type="spellStart"/>
      <w:r>
        <w:t>Norgen</w:t>
      </w:r>
      <w:proofErr w:type="spellEnd"/>
      <w:r>
        <w:t xml:space="preserve"> extraction displays a greater variance between replicates than the Maxwell extraction</w:t>
      </w:r>
      <w:r w:rsidR="0044164F">
        <w:t xml:space="preserve">, with some probes exceeding a 0.5 </w:t>
      </w:r>
      <w:proofErr w:type="spellStart"/>
      <w:r w:rsidR="0044164F">
        <w:t>logFC</w:t>
      </w:r>
      <w:proofErr w:type="spellEnd"/>
      <w:r w:rsidR="0044164F">
        <w:t xml:space="preserve"> difference in measurements</w:t>
      </w:r>
      <w:r>
        <w:t>.</w:t>
      </w:r>
      <w:r w:rsidR="0044164F">
        <w:t xml:space="preserve"> </w:t>
      </w:r>
      <w:proofErr w:type="gramStart"/>
      <w:r w:rsidR="0044164F">
        <w:t>Unfortunately</w:t>
      </w:r>
      <w:proofErr w:type="gramEnd"/>
      <w:r w:rsidR="0044164F">
        <w:t xml:space="preserve"> this is not in the same extraction kit used in the plasma array nor the same sample type. However, one may draw </w:t>
      </w:r>
      <w:r w:rsidR="007B3424">
        <w:t>a</w:t>
      </w:r>
      <w:r w:rsidR="004F5B74">
        <w:t xml:space="preserve"> very</w:t>
      </w:r>
      <w:r w:rsidR="0044164F">
        <w:t xml:space="preserve"> tentative conclusion that a greater technical reproducibility is achieved with the robotic extraction.</w:t>
      </w:r>
      <w:r w:rsidR="001C3D8A">
        <w:t xml:space="preserve"> Additionally, it can be seen that the variance is not related to the expression level. If a</w:t>
      </w:r>
      <w:r w:rsidR="004F5B74">
        <w:t xml:space="preserve"> heteroskedastic</w:t>
      </w:r>
      <w:r w:rsidR="001C3D8A">
        <w:t xml:space="preserve"> relationship </w:t>
      </w:r>
      <w:r w:rsidR="004F5B74">
        <w:t>was present</w:t>
      </w:r>
      <w:r w:rsidR="001C3D8A">
        <w:t xml:space="preserve"> miR</w:t>
      </w:r>
      <w:r w:rsidR="004F5B74">
        <w:t>NA</w:t>
      </w:r>
      <w:r w:rsidR="001C3D8A">
        <w:t xml:space="preserve">s </w:t>
      </w:r>
      <w:r w:rsidR="00777E0B">
        <w:t xml:space="preserve">would </w:t>
      </w:r>
      <w:r w:rsidR="004F5B74">
        <w:t>require further pre-processing to ensure accuracy of downstream analysis</w:t>
      </w:r>
      <w:r w:rsidR="00777E0B">
        <w:t>.</w:t>
      </w:r>
      <w:r w:rsidR="001C3D8A">
        <w:t xml:space="preserve"> </w:t>
      </w:r>
    </w:p>
    <w:p w14:paraId="0D5B19DC" w14:textId="77777777" w:rsidR="00AF72F0" w:rsidRDefault="00AF72F0" w:rsidP="004176DC">
      <w:pPr>
        <w:pStyle w:val="Body"/>
      </w:pPr>
    </w:p>
    <w:p w14:paraId="09E0C198" w14:textId="33E6EFB9" w:rsidR="00C06520" w:rsidRPr="006E4D0E" w:rsidRDefault="004176DC" w:rsidP="00C06520">
      <w:pPr>
        <w:pStyle w:val="Heading2"/>
        <w:numPr>
          <w:ilvl w:val="2"/>
          <w:numId w:val="7"/>
        </w:numPr>
        <w:spacing w:before="120" w:after="120"/>
      </w:pPr>
      <w:bookmarkStart w:id="333" w:name="_Toc60773970"/>
      <w:r>
        <w:lastRenderedPageBreak/>
        <w:t>Can Microarrays be Quantitative?</w:t>
      </w:r>
      <w:bookmarkEnd w:id="333"/>
    </w:p>
    <w:p w14:paraId="1D0FAB15" w14:textId="11F008C4" w:rsidR="006E4D0E" w:rsidRDefault="006E4D0E" w:rsidP="006E4D0E">
      <w:pPr>
        <w:pStyle w:val="Body"/>
      </w:pPr>
      <w:r>
        <w:t>After processing the probe intensities from a microarray experiment are transformed and returned as log</w:t>
      </w:r>
      <w:r w:rsidRPr="006E4D0E">
        <w:rPr>
          <w:vertAlign w:val="subscript"/>
        </w:rPr>
        <w:t>2</w:t>
      </w:r>
      <w:r>
        <w:t xml:space="preserve"> relative expression levels. As a continuous variable this is suggestive of a quantitative result</w:t>
      </w:r>
      <w:r w:rsidR="009838B5">
        <w:t xml:space="preserve"> and was used as such in this study</w:t>
      </w:r>
      <w:r>
        <w:t>.</w:t>
      </w:r>
      <w:r w:rsidR="00D4418B">
        <w:t xml:space="preserve"> </w:t>
      </w:r>
    </w:p>
    <w:p w14:paraId="408D0385" w14:textId="0A22E4D2" w:rsidR="00D4418B" w:rsidRDefault="00D4418B" w:rsidP="006E4D0E">
      <w:pPr>
        <w:pStyle w:val="Body"/>
      </w:pPr>
      <w:r>
        <w:br/>
      </w:r>
      <w:r w:rsidR="00A36176">
        <w:t xml:space="preserve">To understand whether a microarray has quantitative properties it needs to be compared to a known quantitative platform. </w:t>
      </w:r>
      <w:proofErr w:type="gramStart"/>
      <w:r w:rsidR="00A36176">
        <w:t>Therefore</w:t>
      </w:r>
      <w:proofErr w:type="gramEnd"/>
      <w:r w:rsidR="00A36176">
        <w:t xml:space="preserve"> </w:t>
      </w:r>
      <w:r w:rsidR="00365D1A">
        <w:t xml:space="preserve">if </w:t>
      </w:r>
      <w:r>
        <w:t xml:space="preserve">qPCR is quantitative then a microarray platform </w:t>
      </w:r>
      <w:r w:rsidR="00CF41A4">
        <w:t>can</w:t>
      </w:r>
      <w:r>
        <w:t xml:space="preserve"> be considered quantitative if it correlates with qPCR results.</w:t>
      </w:r>
    </w:p>
    <w:p w14:paraId="75673924" w14:textId="6DFC4EF6" w:rsidR="009838B5" w:rsidRDefault="009838B5" w:rsidP="006E4D0E">
      <w:pPr>
        <w:pStyle w:val="Body"/>
      </w:pPr>
    </w:p>
    <w:p w14:paraId="20A0D66B" w14:textId="57BB5530" w:rsidR="00B34E81" w:rsidRDefault="00B34E81" w:rsidP="006E4D0E">
      <w:pPr>
        <w:pStyle w:val="Body"/>
      </w:pPr>
      <w:r>
        <w:t>The Microarray Quality Control (MAQC) project</w:t>
      </w:r>
      <w:r w:rsidR="00D36972">
        <w:t xml:space="preserve"> in 2006</w:t>
      </w:r>
      <w:r>
        <w:t xml:space="preserve"> was initiated to </w:t>
      </w:r>
      <w:r w:rsidR="00D4418B">
        <w:t>investigate the reliability of microarray platforms</w:t>
      </w:r>
      <w:r w:rsidR="00D36972">
        <w:t xml:space="preserve"> </w:t>
      </w:r>
      <w:r w:rsidR="004E19A5">
        <w:rPr>
          <w:rFonts w:eastAsiaTheme="minorEastAsia"/>
        </w:rPr>
        <w:fldChar w:fldCharType="begin"/>
      </w:r>
      <w:r w:rsidR="004E19A5">
        <w:rPr>
          <w:rFonts w:eastAsiaTheme="minorEastAsia"/>
        </w:rPr>
        <w:instrText xml:space="preserve"> ADDIN PAPERS2_CITATIONS &lt;citation&gt;&lt;priority&gt;144&lt;/priority&gt;&lt;uuid&gt;4E634F46-DE7B-44F6-B56E-71B79DB1D183&lt;/uuid&gt;&lt;publications&gt;&lt;publication&gt;&lt;subtype&gt;400&lt;/subtype&gt;&lt;publisher&gt;Nat Biotechnol&lt;/publisher&gt;&lt;title&gt;The MicroArray Quality Control (MAQC) project shows inter- and intraplatform reproducibility of gene expression measurements&lt;/title&gt;&lt;url&gt;http://www.nature.com/articles/nbt1239&lt;/url&gt;&lt;volume&gt;24&lt;/volume&gt;&lt;publication_date&gt;99200609011200000000222000&lt;/publication_date&gt;&lt;uuid&gt;05B92757-748D-4D49-A622-E0EDB406174F&lt;/uuid&gt;&lt;type&gt;400&lt;/type&gt;&lt;accepted_date&gt;99200607311200000000222000&lt;/accepted_date&gt;&lt;number&gt;9&lt;/number&gt;&lt;submission_date&gt;99200606061200000000222000&lt;/submission_date&gt;&lt;doi&gt;10.1038/nbt1239&lt;/doi&gt;&lt;institution&gt;National Center for Toxicological Research, US Food and Drug Administration, Jefferson, Arkansas 72079, USA.&lt;/institution&gt;&lt;startpage&gt;1151&lt;/startpage&gt;&lt;endpage&gt;1161&lt;/endpage&gt;&lt;bundle&gt;&lt;publication&gt;&lt;title&gt;Nature Biotechnology&lt;/title&gt;&lt;uuid&gt;771EFB63-BC11-42D2-A1F0-7487D7E54C30&lt;/uuid&gt;&lt;subtype&gt;-100&lt;/subtype&gt;&lt;type&gt;-100&lt;/type&gt;&lt;/publication&gt;&lt;/bundle&gt;&lt;authors&gt;&lt;author&gt;&lt;lastName&gt;L&lt;/lastName&gt;&lt;firstName&gt;Shi&lt;/firstName&gt;&lt;/author&gt;&lt;author&gt;&lt;lastName&gt;LH&lt;/lastName&gt;&lt;firstName&gt;Reid&lt;/firstName&gt;&lt;/author&gt;&lt;author&gt;&lt;lastName&gt;WD&lt;/lastName&gt;&lt;firstName&gt;Jones&lt;/firstName&gt;&lt;/author&gt;&lt;author&gt;&lt;lastName&gt;R&lt;/lastName&gt;&lt;firstName&gt;Shippy&lt;/firstName&gt;&lt;/author&gt;&lt;author&gt;&lt;lastName&gt;JA&lt;/lastName&gt;&lt;firstName&gt;Warrington&lt;/firstName&gt;&lt;/author&gt;&lt;author&gt;&lt;lastName&gt;SC&lt;/lastName&gt;&lt;firstName&gt;Baker&lt;/firstName&gt;&lt;/author&gt;&lt;author&gt;&lt;lastName&gt;PJ&lt;/lastName&gt;&lt;firstName&gt;Collins&lt;/firstName&gt;&lt;/author&gt;&lt;author&gt;&lt;lastName&gt;Longueville F&lt;/lastName&gt;&lt;nonDroppingParticle&gt;de&lt;/nonDroppingParticle&gt;&lt;/author&gt;&lt;author&gt;&lt;lastName&gt;ES&lt;/lastName&gt;&lt;firstName&gt;Kawasaki&lt;/firstName&gt;&lt;/author&gt;&lt;author&gt;&lt;lastName&gt;KY&lt;/lastName&gt;&lt;firstName&gt;Lee&lt;/firstName&gt;&lt;/author&gt;&lt;author&gt;&lt;lastName&gt;Y&lt;/lastName&gt;&lt;firstName&gt;Luo&lt;/firstName&gt;&lt;/author&gt;&lt;author&gt;&lt;lastName&gt;YA&lt;/lastName&gt;&lt;firstName&gt;Sun&lt;/firstName&gt;&lt;/author&gt;&lt;author&gt;&lt;lastName&gt;JC&lt;/lastName&gt;&lt;firstName&gt;Willey&lt;/firstName&gt;&lt;/author&gt;&lt;author&gt;&lt;lastName&gt;RA&lt;/lastName&gt;&lt;firstName&gt;Setterquist&lt;/firstName&gt;&lt;/author&gt;&lt;author&gt;&lt;lastName&gt;GM&lt;/lastName&gt;&lt;firstName&gt;Fischer&lt;/firstName&gt;&lt;/author&gt;&lt;author&gt;&lt;lastName&gt;W&lt;/lastName&gt;&lt;firstName&gt;Tong&lt;/firstName&gt;&lt;/author&gt;&lt;author&gt;&lt;lastName&gt;YP&lt;/lastName&gt;&lt;firstName&gt;Dragan&lt;/firstName&gt;&lt;/author&gt;&lt;author&gt;&lt;lastName&gt;DJ&lt;/lastName&gt;&lt;firstName&gt;Dix&lt;/firstName&gt;&lt;/author&gt;&lt;author&gt;&lt;lastName&gt;FW&lt;/lastName&gt;&lt;firstName&gt;Frueh&lt;/firstName&gt;&lt;/author&gt;&lt;author&gt;&lt;lastName&gt;FM&lt;/lastName&gt;&lt;firstName&gt;Goodsaid&lt;/firstName&gt;&lt;/author&gt;&lt;author&gt;&lt;lastName&gt;D&lt;/lastName&gt;&lt;firstName&gt;Herman&lt;/firstName&gt;&lt;/author&gt;&lt;author&gt;&lt;lastName&gt;RV&lt;/lastName&gt;&lt;firstName&gt;Jensen&lt;/firstName&gt;&lt;/author&gt;&lt;author&gt;&lt;lastName&gt;CD&lt;/lastName&gt;&lt;firstName&gt;Johnson&lt;/firstName&gt;&lt;/author&gt;&lt;author&gt;&lt;lastName&gt;EK&lt;/lastName&gt;&lt;firstName&gt;Lobenhofer&lt;/firstName&gt;&lt;/author&gt;&lt;author&gt;&lt;lastName&gt;RK&lt;/lastName&gt;&lt;firstName&gt;Puri&lt;/firstName&gt;&lt;/author&gt;&lt;author&gt;&lt;lastName&gt;U&lt;/lastName&gt;&lt;firstName&gt;Schrf&lt;/firstName&gt;&lt;/author&gt;&lt;author&gt;&lt;lastName&gt;J&lt;/lastName&gt;&lt;firstName&gt;Thierry-Mieg&lt;/firstName&gt;&lt;/author&gt;&lt;author&gt;&lt;lastName&gt;C&lt;/lastName&gt;&lt;firstName&gt;Wang&lt;/firstName&gt;&lt;/author&gt;&lt;author&gt;&lt;lastName&gt;M&lt;/lastName&gt;&lt;firstName&gt;Wilson&lt;/firstName&gt;&lt;/author&gt;&lt;author&gt;&lt;lastName&gt;PK&lt;/lastName&gt;&lt;firstName&gt;Wolber&lt;/firstName&gt;&lt;/author&gt;&lt;author&gt;&lt;lastName&gt;L&lt;/lastName&gt;&lt;firstName&gt;Zhang&lt;/firstName&gt;&lt;/author&gt;&lt;author&gt;&lt;lastName&gt;S&lt;/lastName&gt;&lt;firstName&gt;Amur&lt;/firstName&gt;&lt;/author&gt;&lt;author&gt;&lt;lastName&gt;W&lt;/lastName&gt;&lt;firstName&gt;Bao&lt;/firstName&gt;&lt;/author&gt;&lt;author&gt;&lt;lastName&gt;CC&lt;/lastName&gt;&lt;firstName&gt;Barbacioru&lt;/firstName&gt;&lt;/author&gt;&lt;author&gt;&lt;lastName&gt;Lucas AB&lt;/lastName&gt;&lt;/author&gt;&lt;author&gt;&lt;lastName&gt;Bertholet&lt;/lastName&gt;&lt;suffix&gt;V&lt;/suffix&gt;&lt;/author&gt;&lt;author&gt;&lt;lastName&gt;C&lt;/lastName&gt;&lt;firstName&gt;Boysen&lt;/firstName&gt;&lt;/author&gt;&lt;author&gt;&lt;lastName&gt;B&lt;/lastName&gt;&lt;firstName&gt;Bromley&lt;/firstName&gt;&lt;/author&gt;&lt;author&gt;&lt;lastName&gt;D&lt;/lastName&gt;&lt;firstName&gt;Brown&lt;/firstName&gt;&lt;/author&gt;&lt;author&gt;&lt;lastName&gt;A&lt;/lastName&gt;&lt;firstName&gt;Brunner&lt;/firstName&gt;&lt;/author&gt;&lt;author&gt;&lt;lastName&gt;R&lt;/lastName&gt;&lt;firstName&gt;Canales&lt;/firstName&gt;&lt;/author&gt;&lt;author&gt;&lt;lastName&gt;XM&lt;/lastName&gt;&lt;firstName&gt;Cao&lt;/firstName&gt;&lt;/author&gt;&lt;author&gt;&lt;lastName&gt;TA&lt;/lastName&gt;&lt;firstName&gt;Cebula&lt;/firstName&gt;&lt;/author&gt;&lt;author&gt;&lt;lastName&gt;JJ&lt;/lastName&gt;&lt;firstName&gt;Chen&lt;/firstName&gt;&lt;/author&gt;&lt;author&gt;&lt;lastName&gt;J&lt;/lastName&gt;&lt;firstName&gt;Cheng&lt;/firstName&gt;&lt;/author&gt;&lt;author&gt;&lt;lastName&gt;TM&lt;/lastName&gt;&lt;firstName&gt;Chu&lt;/firstName&gt;&lt;/author&gt;&lt;author&gt;&lt;lastName&gt;E&lt;/lastName&gt;&lt;firstName&gt;Chudin&lt;/firstName&gt;&lt;/author&gt;&lt;author&gt;&lt;lastName&gt;J&lt;/lastName&gt;&lt;firstName&gt;Corson&lt;/firstName&gt;&lt;/author&gt;&lt;author&gt;&lt;lastName&gt;JC&lt;/lastName&gt;&lt;firstName&gt;Corton&lt;/firstName&gt;&lt;/author&gt;&lt;author&gt;&lt;lastName&gt;LJ&lt;/lastName&gt;&lt;firstName&gt;Croner&lt;/firstName&gt;&lt;/author&gt;&lt;author&gt;&lt;lastName&gt;C&lt;/lastName&gt;&lt;firstName&gt;Davies&lt;/firstName&gt;&lt;/author&gt;&lt;author&gt;&lt;lastName&gt;TS&lt;/lastName&gt;&lt;firstName&gt;Davison&lt;/firstName&gt;&lt;/author&gt;&lt;author&gt;&lt;lastName&gt;G&lt;/lastName&gt;&lt;firstName&gt;Delenstarr&lt;/firstName&gt;&lt;/author&gt;&lt;author&gt;&lt;lastName&gt;X&lt;/lastName&gt;&lt;firstName&gt;Deng&lt;/firstName&gt;&lt;/author&gt;&lt;author&gt;&lt;lastName&gt;D&lt;/lastName&gt;&lt;firstName&gt;Dorris&lt;/firstName&gt;&lt;/author&gt;&lt;author&gt;&lt;lastName&gt;AC&lt;/lastName&gt;&lt;firstName&gt;Eklund&lt;/firstName&gt;&lt;/author&gt;&lt;author&gt;&lt;lastName&gt;XH&lt;/lastName&gt;&lt;firstName&gt;Fan&lt;/firstName&gt;&lt;/author&gt;&lt;author&gt;&lt;lastName&gt;H&lt;/lastName&gt;&lt;firstName&gt;Fang&lt;/firstName&gt;&lt;/author&gt;&lt;author&gt;&lt;lastName&gt;S&lt;/lastName&gt;&lt;firstName&gt;Fulmer-Smentek&lt;/firstName&gt;&lt;/author&gt;&lt;author&gt;&lt;lastName&gt;JC&lt;/lastName&gt;&lt;firstName&gt;Fuscoe&lt;/firstName&gt;&lt;/author&gt;&lt;author&gt;&lt;lastName&gt;K&lt;/lastName&gt;&lt;firstName&gt;Gallagher&lt;/firstName&gt;&lt;/author&gt;&lt;author&gt;&lt;lastName&gt;W&lt;/lastName&gt;&lt;firstName&gt;Ge&lt;/firstName&gt;&lt;/author&gt;&lt;author&gt;&lt;lastName&gt;L&lt;/lastName&gt;&lt;firstName&gt;Guo&lt;/firstName&gt;&lt;/author&gt;&lt;author&gt;&lt;lastName&gt;X&lt;/lastName&gt;&lt;firstName&gt;Guo&lt;/firstName&gt;&lt;/author&gt;&lt;author&gt;&lt;lastName&gt;J&lt;/lastName&gt;&lt;firstName&gt;Hager&lt;/firstName&gt;&lt;/author&gt;&lt;author&gt;&lt;lastName&gt;PK&lt;/lastName&gt;&lt;firstName&gt;Haje&lt;/firstName&gt;&lt;/author&gt;&lt;author&gt;&lt;lastName&gt;J&lt;/lastName&gt;&lt;firstName&gt;Han&lt;/firstName&gt;&lt;/author&gt;&lt;author&gt;&lt;lastName&gt;T&lt;/lastName&gt;&lt;firstName&gt;Han&lt;/firstName&gt;&lt;/author&gt;&lt;author&gt;&lt;lastName&gt;HC&lt;/lastName&gt;&lt;firstName&gt;Harbottle&lt;/firstName&gt;&lt;/author&gt;&lt;author&gt;&lt;lastName&gt;SC&lt;/lastName&gt;&lt;firstName&gt;Harris&lt;/firstName&gt;&lt;/author&gt;&lt;author&gt;&lt;lastName&gt;E&lt;/lastName&gt;&lt;firstName&gt;Hatchwell&lt;/firstName&gt;&lt;/author&gt;&lt;author&gt;&lt;lastName&gt;CA&lt;/lastName&gt;&lt;firstName&gt;Hauser&lt;/firstName&gt;&lt;/author&gt;&lt;author&gt;&lt;lastName&gt;S&lt;/lastName&gt;&lt;firstName&gt;Hester&lt;/firstName&gt;&lt;/author&gt;&lt;author&gt;&lt;lastName&gt;H&lt;/lastName&gt;&lt;firstName&gt;Hong&lt;/firstName&gt;&lt;/author&gt;&lt;author&gt;&lt;lastName&gt;P&lt;/lastName&gt;&lt;firstName&gt;Hurban&lt;/firstName&gt;&lt;/author&gt;&lt;author&gt;&lt;lastName&gt;SA&lt;/lastName&gt;&lt;firstName&gt;Jackson&lt;/firstName&gt;&lt;/author&gt;&lt;author&gt;&lt;lastName&gt;H&lt;/lastName&gt;&lt;firstName&gt;Ji&lt;/firstName&gt;&lt;/author&gt;&lt;author&gt;&lt;lastName&gt;CR&lt;/lastName&gt;&lt;firstName&gt;Knight&lt;/firstName&gt;&lt;/author&gt;&lt;author&gt;&lt;lastName&gt;WP&lt;/lastName&gt;&lt;firstName&gt;Kuo&lt;/firstName&gt;&lt;/author&gt;&lt;author&gt;&lt;lastName&gt;JE&lt;/lastName&gt;&lt;firstName&gt;LeClerc&lt;/firstName&gt;&lt;/author&gt;&lt;author&gt;&lt;lastName&gt;S&lt;/lastName&gt;&lt;firstName&gt;Levy&lt;/firstName&gt;&lt;/author&gt;&lt;author&gt;&lt;lastName&gt;QZ&lt;/lastName&gt;&lt;firstName&gt;Li&lt;/firstName&gt;&lt;/author&gt;&lt;author&gt;&lt;lastName&gt;C&lt;/lastName&gt;&lt;firstName&gt;Liu&lt;/firstName&gt;&lt;/author&gt;&lt;author&gt;&lt;lastName&gt;Y&lt;/lastName&gt;&lt;firstName&gt;Liu&lt;/firstName&gt;&lt;/author&gt;&lt;author&gt;&lt;lastName&gt;MJ&lt;/lastName&gt;&lt;firstName&gt;Lombardi&lt;/firstName&gt;&lt;/author&gt;&lt;author&gt;&lt;lastName&gt;Y&lt;/lastName&gt;&lt;firstName&gt;Ma&lt;/firstName&gt;&lt;/author&gt;&lt;author&gt;&lt;lastName&gt;SR&lt;/lastName&gt;&lt;firstName&gt;Magnuson&lt;/firstName&gt;&lt;/author&gt;&lt;author&gt;&lt;lastName&gt;B&lt;/lastName&gt;&lt;firstName&gt;Maqsodi&lt;/firstName&gt;&lt;/author&gt;&lt;author&gt;&lt;lastName&gt;T&lt;/lastName&gt;&lt;firstName&gt;McDaniel&lt;/firstName&gt;&lt;/author&gt;&lt;author&gt;&lt;lastName&gt;N&lt;/lastName&gt;&lt;firstName&gt;Mei&lt;/firstName&gt;&lt;/author&gt;&lt;author&gt;&lt;lastName&gt;O&lt;/lastName&gt;&lt;firstName&gt;Myklebost&lt;/firstName&gt;&lt;/author&gt;&lt;author&gt;&lt;lastName&gt;B&lt;/lastName&gt;&lt;firstName&gt;Ning&lt;/firstName&gt;&lt;/author&gt;&lt;author&gt;&lt;lastName&gt;N&lt;/lastName&gt;&lt;firstName&gt;Novoradovskaya&lt;/firstName&gt;&lt;/author&gt;&lt;author&gt;&lt;lastName&gt;MS&lt;/lastName&gt;&lt;firstName&gt;Orr&lt;/firstName&gt;&lt;/author&gt;&lt;author&gt;&lt;lastName&gt;TW&lt;/lastName&gt;&lt;firstName&gt;Osborn&lt;/firstName&gt;&lt;/author&gt;&lt;author&gt;&lt;lastName&gt;A&lt;/lastName&gt;&lt;firstName&gt;Papallo&lt;/firstName&gt;&lt;/author&gt;&lt;author&gt;&lt;lastName&gt;TA&lt;/lastName&gt;&lt;firstName&gt;Patterson&lt;/firstName&gt;&lt;/author&gt;&lt;author&gt;&lt;lastName&gt;RG&lt;/lastName&gt;&lt;firstName&gt;Perkins&lt;/firstName&gt;&lt;/author&gt;&lt;author&gt;&lt;lastName&gt;EH&lt;/lastName&gt;&lt;firstName&gt;Peters&lt;/firstName&gt;&lt;/author&gt;&lt;author&gt;&lt;lastName&gt;R&lt;/lastName&gt;&lt;firstName&gt;Peterson&lt;/firstName&gt;&lt;/author&gt;&lt;author&gt;&lt;lastName&gt;KL&lt;/lastName&gt;&lt;firstName&gt;Philips&lt;/firstName&gt;&lt;/author&gt;&lt;author&gt;&lt;lastName&gt;PS&lt;/lastName&gt;&lt;firstName&gt;Pine&lt;/firstName&gt;&lt;/author&gt;&lt;author&gt;&lt;lastName&gt;L&lt;/lastName&gt;&lt;firstName&gt;Pusztai&lt;/firstName&gt;&lt;/author&gt;&lt;author&gt;&lt;lastName&gt;F&lt;/lastName&gt;&lt;firstName&gt;Qian&lt;/firstName&gt;&lt;/author&gt;&lt;author&gt;&lt;lastName&gt;H&lt;/lastName&gt;&lt;firstName&gt;Ren&lt;/firstName&gt;&lt;/author&gt;&lt;author&gt;&lt;lastName&gt;M&lt;/lastName&gt;&lt;firstName&gt;Rosen&lt;/firstName&gt;&lt;/author&gt;&lt;author&gt;&lt;lastName&gt;BA&lt;/lastName&gt;&lt;firstName&gt;Rosenzweig&lt;/firstName&gt;&lt;/author&gt;&lt;author&gt;&lt;lastName&gt;RR&lt;/lastName&gt;&lt;firstName&gt;Samaha&lt;/firstName&gt;&lt;/author&gt;&lt;author&gt;&lt;lastName&gt;M&lt;/lastName&gt;&lt;firstName&gt;Schena&lt;/firstName&gt;&lt;/author&gt;&lt;author&gt;&lt;lastName&gt;GP&lt;/lastName&gt;&lt;firstName&gt;Schroth&lt;/firstName&gt;&lt;/author&gt;&lt;author&gt;&lt;lastName&gt;S&lt;/lastName&gt;&lt;firstName&gt;Shchegrova&lt;/firstName&gt;&lt;/author&gt;&lt;author&gt;&lt;lastName&gt;DD&lt;/lastName&gt;&lt;firstName&gt;Smith&lt;/firstName&gt;&lt;/author&gt;&lt;author&gt;&lt;lastName&gt;F&lt;/lastName&gt;&lt;firstName&gt;Staedtler&lt;/firstName&gt;&lt;/author&gt;&lt;author&gt;&lt;lastName&gt;Z&lt;/lastName&gt;&lt;firstName&gt;Su&lt;/firstName&gt;&lt;/author&gt;&lt;author&gt;&lt;lastName&gt;H&lt;/lastName&gt;&lt;firstName&gt;Sun&lt;/firstName&gt;&lt;/author&gt;&lt;author&gt;&lt;lastName&gt;Z&lt;/lastName&gt;&lt;firstName&gt;Szallasi&lt;/firstName&gt;&lt;/author&gt;&lt;author&gt;&lt;lastName&gt;Z&lt;/lastName&gt;&lt;firstName&gt;Tezak&lt;/firstName&gt;&lt;/author&gt;&lt;author&gt;&lt;lastName&gt;D&lt;/lastName&gt;&lt;firstName&gt;Thierry-Mieg&lt;/firstName&gt;&lt;/author&gt;&lt;author&gt;&lt;lastName&gt;KL&lt;/lastName&gt;&lt;firstName&gt;Thompson&lt;/firstName&gt;&lt;/author&gt;&lt;author&gt;&lt;lastName&gt;I&lt;/lastName&gt;&lt;firstName&gt;Tikhonova&lt;/firstName&gt;&lt;/author&gt;&lt;author&gt;&lt;lastName&gt;Y&lt;/lastName&gt;&lt;firstName&gt;Turpaz&lt;/firstName&gt;&lt;/author&gt;&lt;author&gt;&lt;lastName&gt;B&lt;/lastName&gt;&lt;firstName&gt;Vallanat&lt;/firstName&gt;&lt;/author&gt;&lt;author&gt;&lt;lastName&gt;C&lt;/lastName&gt;&lt;nonDroppingParticle&gt;Van&lt;/nonDroppingParticle&gt;&lt;/author&gt;&lt;author&gt;&lt;lastName&gt;SJ&lt;/lastName&gt;&lt;firstName&gt;Walker&lt;/firstName&gt;&lt;/author&gt;&lt;author&gt;&lt;lastName&gt;SJ&lt;/lastName&gt;&lt;firstName&gt;Wang&lt;/firstName&gt;&lt;/author&gt;&lt;author&gt;&lt;lastName&gt;Y&lt;/lastName&gt;&lt;firstName&gt;Wang&lt;/firstName&gt;&lt;/author&gt;&lt;author&gt;&lt;lastName&gt;R&lt;/lastName&gt;&lt;firstName&gt;Wolfinger&lt;/firstName&gt;&lt;/author&gt;&lt;author&gt;&lt;lastName&gt;A&lt;/lastName&gt;&lt;firstName&gt;Wong&lt;/firstName&gt;&lt;/author&gt;&lt;author&gt;&lt;lastName&gt;J&lt;/lastName&gt;&lt;firstName&gt;Wu&lt;/firstName&gt;&lt;/author&gt;&lt;author&gt;&lt;lastName&gt;C&lt;/lastName&gt;&lt;firstName&gt;Xiao&lt;/firstName&gt;&lt;/author&gt;&lt;author&gt;&lt;lastName&gt;Q&lt;/lastName&gt;&lt;firstName&gt;Xie&lt;/firstName&gt;&lt;/author&gt;&lt;author&gt;&lt;lastName&gt;J&lt;/lastName&gt;&lt;firstName&gt;Xu&lt;/firstName&gt;&lt;/author&gt;&lt;author&gt;&lt;lastName&gt;W&lt;/lastName&gt;&lt;firstName&gt;Yang&lt;/firstName&gt;&lt;/author&gt;&lt;author&gt;&lt;lastName&gt;L&lt;/lastName&gt;&lt;firstName&gt;Zhang&lt;/firstName&gt;&lt;/author&gt;&lt;author&gt;&lt;lastName&gt;S&lt;/lastName&gt;&lt;firstName&gt;Zhong&lt;/firstName&gt;&lt;/author&gt;&lt;author&gt;&lt;lastName&gt;Y&lt;/lastName&gt;&lt;firstName&gt;Zong&lt;/firstName&gt;&lt;/author&gt;&lt;author&gt;&lt;lastName&gt;W&lt;/lastName&gt;&lt;firstName&gt;Slikker&lt;/firstName&gt;&lt;/author&gt;&lt;/authors&gt;&lt;/publication&gt;&lt;/publications&gt;&lt;cites&gt;&lt;/cites&gt;&lt;/citation&gt;</w:instrText>
      </w:r>
      <w:r w:rsidR="004E19A5">
        <w:rPr>
          <w:rFonts w:eastAsiaTheme="minorEastAsia"/>
        </w:rPr>
        <w:fldChar w:fldCharType="separate"/>
      </w:r>
      <w:r w:rsidR="004E19A5">
        <w:rPr>
          <w:rFonts w:eastAsiaTheme="minorEastAsia"/>
        </w:rPr>
        <w:t>(S. L et al., 2006)</w:t>
      </w:r>
      <w:r w:rsidR="004E19A5">
        <w:rPr>
          <w:rFonts w:eastAsiaTheme="minorEastAsia"/>
        </w:rPr>
        <w:fldChar w:fldCharType="end"/>
      </w:r>
      <w:r w:rsidR="00D4418B">
        <w:t>.</w:t>
      </w:r>
      <w:r w:rsidR="00D36972">
        <w:t xml:space="preserve"> The study systematically compared </w:t>
      </w:r>
      <w:r w:rsidR="0018499B">
        <w:t>7</w:t>
      </w:r>
      <w:r w:rsidR="00D36972">
        <w:t xml:space="preserve"> leading microarray manufacturers </w:t>
      </w:r>
      <w:r w:rsidR="00BD1BFD">
        <w:t>at</w:t>
      </w:r>
      <w:r w:rsidR="00D36972">
        <w:t xml:space="preserve"> the time</w:t>
      </w:r>
      <w:r w:rsidR="0018499B">
        <w:t xml:space="preserve"> against 1,004 </w:t>
      </w:r>
      <w:proofErr w:type="spellStart"/>
      <w:r w:rsidR="0018499B">
        <w:t>Taqman</w:t>
      </w:r>
      <w:proofErr w:type="spellEnd"/>
      <w:r w:rsidR="0018499B">
        <w:t xml:space="preserve"> qPCR. In all cases correlations of R &gt; 0.82 were found, the Agilent platform specifically had an R &gt; 0.9 in all 3 different RNA test </w:t>
      </w:r>
      <w:r w:rsidR="003F588F">
        <w:t>tissues</w:t>
      </w:r>
      <w:r w:rsidR="0018499B">
        <w:t>. Whilst the Agilent gene expression</w:t>
      </w:r>
      <w:r w:rsidR="004D5F04">
        <w:t xml:space="preserve"> arrays</w:t>
      </w:r>
      <w:r w:rsidR="0018499B">
        <w:t xml:space="preserve"> </w:t>
      </w:r>
      <w:r w:rsidR="004D5F04">
        <w:t>are</w:t>
      </w:r>
      <w:r w:rsidR="0018499B">
        <w:t xml:space="preserve"> not of the same probe design as the microRNA</w:t>
      </w:r>
      <w:r w:rsidR="004D5F04">
        <w:t xml:space="preserve"> arrays, making comparisons and evaluation difficult,</w:t>
      </w:r>
      <w:r w:rsidR="0018499B">
        <w:t xml:space="preserve"> they both use Agilent’s proprietary </w:t>
      </w:r>
      <w:proofErr w:type="spellStart"/>
      <w:r w:rsidR="0018499B">
        <w:t>Sureprint</w:t>
      </w:r>
      <w:proofErr w:type="spellEnd"/>
      <w:r w:rsidR="0018499B">
        <w:t xml:space="preserve"> technology chip to print the </w:t>
      </w:r>
      <w:r w:rsidR="00AF4AE5">
        <w:t>DNA probes on a glass wafer.</w:t>
      </w:r>
      <w:r w:rsidR="004D5F04">
        <w:t xml:space="preserve"> </w:t>
      </w:r>
    </w:p>
    <w:p w14:paraId="79119E25" w14:textId="77777777" w:rsidR="00B34E81" w:rsidRDefault="00B34E81" w:rsidP="006E4D0E">
      <w:pPr>
        <w:pStyle w:val="Body"/>
      </w:pPr>
    </w:p>
    <w:p w14:paraId="53BA32F3" w14:textId="471D35B5" w:rsidR="00D62997" w:rsidRDefault="00032B4C" w:rsidP="006E4D0E">
      <w:pPr>
        <w:pStyle w:val="Body"/>
      </w:pPr>
      <w:r>
        <w:t>Agilent miRNA microarray expression from</w:t>
      </w:r>
      <w:r w:rsidR="00B77D98">
        <w:t xml:space="preserve"> 9</w:t>
      </w:r>
      <w:r>
        <w:t xml:space="preserve"> different tissues</w:t>
      </w:r>
      <w:r w:rsidR="002A60CD">
        <w:t xml:space="preserve"> was compared to expression from</w:t>
      </w:r>
      <w:r>
        <w:t xml:space="preserve"> </w:t>
      </w:r>
      <w:proofErr w:type="spellStart"/>
      <w:r w:rsidR="002A60CD">
        <w:t>Taqman</w:t>
      </w:r>
      <w:proofErr w:type="spellEnd"/>
      <w:r w:rsidR="002A60CD">
        <w:t xml:space="preserve"> qPCR </w:t>
      </w:r>
      <w:r w:rsidR="004E19A5">
        <w:rPr>
          <w:rFonts w:eastAsiaTheme="minorEastAsia"/>
        </w:rPr>
        <w:fldChar w:fldCharType="begin"/>
      </w:r>
      <w:r w:rsidR="004E19A5">
        <w:rPr>
          <w:rFonts w:eastAsiaTheme="minorEastAsia"/>
        </w:rPr>
        <w:instrText xml:space="preserve"> ADDIN PAPERS2_CITATIONS &lt;citation&gt;&lt;priority&gt;145&lt;/priority&gt;&lt;uuid&gt;F7BC63B7-A430-4EBE-844E-7C52F8736622&lt;/uuid&gt;&lt;publications&gt;&lt;publication&gt;&lt;subtype&gt;400&lt;/subtype&gt;&lt;publisher&gt;BioMed Central&lt;/publisher&gt;&lt;title&gt;Measuring microRNAs: Comparisons of microarray and quantitative PCR measurements, and of different total RNA prep methods&lt;/title&gt;&lt;url&gt;https://bmcbiotechnol.biomedcentral.com/articles/10.1186/1472-6750-8-69&lt;/url&gt;&lt;volume&gt;8&lt;/volume&gt;&lt;publication_date&gt;99200812011200000000222000&lt;/publication_date&gt;&lt;uuid&gt;26E135BA-7A9B-4988-8147-5A40082F51C8&lt;/uuid&gt;&lt;type&gt;400&lt;/type&gt;&lt;number&gt;1&lt;/number&gt;&lt;doi&gt;10.1186/1472-6750-8-69&lt;/doi&gt;&lt;startpage&gt;1&lt;/startpage&gt;&lt;endpage&gt;16&lt;/endpage&gt;&lt;bundle&gt;&lt;publication&gt;&lt;title&gt;BMC Biotechnology&lt;/title&gt;&lt;uuid&gt;352DEA31-5BE0-4BD0-AC76-31B446459229&lt;/uuid&gt;&lt;subtype&gt;-100&lt;/subtype&gt;&lt;publisher&gt;BioMed Central&lt;/publisher&gt;&lt;type&gt;-100&lt;/type&gt;&lt;/publication&gt;&lt;/bundle&gt;&lt;authors&gt;&lt;author&gt;&lt;lastName&gt;Ach&lt;/lastName&gt;&lt;firstName&gt;Robert&lt;/firstName&gt;&lt;middleNames&gt;A&lt;/middleNames&gt;&lt;/author&gt;&lt;author&gt;&lt;lastName&gt;Wang&lt;/lastName&gt;&lt;firstName&gt;Hui&lt;/firstName&gt;&lt;/author&gt;&lt;author&gt;&lt;lastName&gt;Curry&lt;/lastName&gt;&lt;firstName&gt;Bo&lt;/firstName&gt;&lt;/author&gt;&lt;/authors&gt;&lt;/publication&gt;&lt;/publications&gt;&lt;cites&gt;&lt;/cites&gt;&lt;/citation&gt;</w:instrText>
      </w:r>
      <w:r w:rsidR="004E19A5">
        <w:rPr>
          <w:rFonts w:eastAsiaTheme="minorEastAsia"/>
        </w:rPr>
        <w:fldChar w:fldCharType="separate"/>
      </w:r>
      <w:r w:rsidR="004E19A5">
        <w:rPr>
          <w:rFonts w:eastAsiaTheme="minorEastAsia"/>
        </w:rPr>
        <w:t>(Ach, Wang, &amp; Curry, 2008)</w:t>
      </w:r>
      <w:r w:rsidR="004E19A5">
        <w:rPr>
          <w:rFonts w:eastAsiaTheme="minorEastAsia"/>
        </w:rPr>
        <w:fldChar w:fldCharType="end"/>
      </w:r>
      <w:r w:rsidR="002A60CD">
        <w:t xml:space="preserve">. </w:t>
      </w:r>
      <w:r w:rsidR="00B77D98">
        <w:t xml:space="preserve">To avoid complications with normalising miRNAs rations between tissues were calculated and directly correlated, for example the ratio of microarray expression of heart / liver was compared with the ratio of qPCR expression of heart / liver. In all </w:t>
      </w:r>
      <w:r w:rsidR="00B261D7">
        <w:t>6</w:t>
      </w:r>
      <w:r w:rsidR="00B77D98">
        <w:t>0</w:t>
      </w:r>
      <w:r w:rsidR="00B261D7">
        <w:t xml:space="preserve"> miRNAs were</w:t>
      </w:r>
      <w:r w:rsidR="00B77D98">
        <w:t xml:space="preserve"> </w:t>
      </w:r>
      <w:r w:rsidR="00B77D98">
        <w:lastRenderedPageBreak/>
        <w:t>chosen for qPCR profiling and the study found “generally excellent” correlations between the platforms with 53/60 miRNAs with an R &gt; 0.9.</w:t>
      </w:r>
    </w:p>
    <w:p w14:paraId="1A8C54DA" w14:textId="149FE24D" w:rsidR="00365D1A" w:rsidRDefault="00365D1A" w:rsidP="006E4D0E">
      <w:pPr>
        <w:pStyle w:val="Body"/>
      </w:pPr>
    </w:p>
    <w:p w14:paraId="54B952CD" w14:textId="6D4E9433" w:rsidR="00365D1A" w:rsidRDefault="00365D1A" w:rsidP="006E4D0E">
      <w:pPr>
        <w:pStyle w:val="Body"/>
      </w:pPr>
      <w:r>
        <w:t xml:space="preserve">In another study Sato et al., </w:t>
      </w:r>
      <w:r w:rsidR="000F146B">
        <w:t xml:space="preserve">compared the </w:t>
      </w:r>
      <w:proofErr w:type="spellStart"/>
      <w:r w:rsidR="000F146B">
        <w:t>Taqman</w:t>
      </w:r>
      <w:proofErr w:type="spellEnd"/>
      <w:r w:rsidR="000F146B">
        <w:t xml:space="preserve"> qPCR results of 142</w:t>
      </w:r>
      <w:r w:rsidR="003754CD">
        <w:t xml:space="preserve"> </w:t>
      </w:r>
      <w:r w:rsidR="000F146B">
        <w:t xml:space="preserve">miRNAs to multiple platforms including the Agilent platform. </w:t>
      </w:r>
      <w:r w:rsidR="007F6721">
        <w:t>Comparing all 143</w:t>
      </w:r>
      <w:r w:rsidR="00F434A8">
        <w:t xml:space="preserve"> qPCR </w:t>
      </w:r>
      <w:proofErr w:type="spellStart"/>
      <w:r w:rsidR="007F6721">
        <w:t>miRs</w:t>
      </w:r>
      <w:proofErr w:type="spellEnd"/>
      <w:r w:rsidR="007F6721">
        <w:t xml:space="preserve"> together t</w:t>
      </w:r>
      <w:r w:rsidR="000F146B">
        <w:t xml:space="preserve">hey found the </w:t>
      </w:r>
      <w:r w:rsidR="00C55A45">
        <w:t>Agilent</w:t>
      </w:r>
      <w:r w:rsidR="000F146B">
        <w:t xml:space="preserve"> miRNA microarray to have good correlation </w:t>
      </w:r>
      <w:r w:rsidR="00F434A8">
        <w:t>of</w:t>
      </w:r>
      <w:r w:rsidR="000F146B">
        <w:t xml:space="preserve"> R of 0.85. However, they noted that the slope was &lt; 1 demonstrating log-ratio compression </w:t>
      </w:r>
    </w:p>
    <w:p w14:paraId="7356ADF8" w14:textId="53C474DC" w:rsidR="00C55A45" w:rsidRDefault="004E19A5" w:rsidP="00D62CC9">
      <w:pPr>
        <w:pStyle w:val="Body"/>
      </w:pPr>
      <w:r>
        <w:rPr>
          <w:rFonts w:eastAsiaTheme="minorEastAsia"/>
        </w:rPr>
        <w:fldChar w:fldCharType="begin"/>
      </w:r>
      <w:r>
        <w:rPr>
          <w:rFonts w:eastAsiaTheme="minorEastAsia"/>
        </w:rPr>
        <w:instrText xml:space="preserve"> ADDIN PAPERS2_CITATIONS &lt;citation&gt;&lt;priority&gt;146&lt;/priority&gt;&lt;uuid&gt;FD0A197A-13E3-4F9D-9DD0-DF4225A4E58C&lt;/uuid&gt;&lt;publications&gt;&lt;publication&gt;&lt;subtype&gt;400&lt;/subtype&gt;&lt;title&gt;Intra-Platform Repeatability and Inter-Platform Comparability of MicroRNA Microarray Technology&lt;/title&gt;&lt;url&gt;https://dx.plos.org/10.1371/journal.pone.0005540&lt;/url&gt;&lt;volume&gt;4&lt;/volume&gt;&lt;publication_date&gt;99200905141200000000222000&lt;/publication_date&gt;&lt;uuid&gt;9A18C93B-2D05-4846-B1EB-5CBDB8C3C67C&lt;/uuid&gt;&lt;type&gt;400&lt;/type&gt;&lt;number&gt;5&lt;/number&gt;&lt;doi&gt;10.1371/journal.pone.0005540&lt;/doi&gt;&lt;startpage&gt;e5540&lt;/startpage&gt;&lt;bundle&gt;&lt;publication&gt;&lt;title&gt;PloS one&lt;/title&gt;&lt;uuid&gt;82F7624E-B927-496C-B434-7FDEB6B50A82&lt;/uuid&gt;&lt;subtype&gt;-100&lt;/subtype&gt;&lt;publisher&gt;Public Library of Science&lt;/publisher&gt;&lt;type&gt;-100&lt;/type&gt;&lt;url&gt;http://www.plosone.org&lt;/url&gt;&lt;/publication&gt;&lt;/bundle&gt;&lt;authors&gt;&lt;author&gt;&lt;lastName&gt;Sato&lt;/lastName&gt;&lt;firstName&gt;Fumiaki&lt;/firstName&gt;&lt;/author&gt;&lt;author&gt;&lt;lastName&gt;Tsuchiya&lt;/lastName&gt;&lt;firstName&gt;Soken&lt;/firstName&gt;&lt;/author&gt;&lt;author&gt;&lt;lastName&gt;Terasawa&lt;/lastName&gt;&lt;firstName&gt;Kazuya&lt;/firstName&gt;&lt;/author&gt;&lt;author&gt;&lt;lastName&gt;Tsujimoto&lt;/lastName&gt;&lt;firstName&gt;Gozoh&lt;/firstName&gt;&lt;/author&gt;&lt;/authors&gt;&lt;editors&gt;&lt;author&gt;&lt;lastName&gt;Selvarajoo&lt;/lastName&gt;&lt;firstName&gt;Kumar&lt;/firstName&gt;&lt;/author&gt;&lt;/editors&gt;&lt;/publication&gt;&lt;/publications&gt;&lt;cites&gt;&lt;/cites&gt;&lt;/citation&gt;</w:instrText>
      </w:r>
      <w:r>
        <w:rPr>
          <w:rFonts w:eastAsiaTheme="minorEastAsia"/>
        </w:rPr>
        <w:fldChar w:fldCharType="separate"/>
      </w:r>
      <w:r>
        <w:rPr>
          <w:rFonts w:eastAsiaTheme="minorEastAsia"/>
        </w:rPr>
        <w:t xml:space="preserve">(Sato, Tsuchiya, </w:t>
      </w:r>
      <w:proofErr w:type="spellStart"/>
      <w:r>
        <w:rPr>
          <w:rFonts w:eastAsiaTheme="minorEastAsia"/>
        </w:rPr>
        <w:t>Terasawa</w:t>
      </w:r>
      <w:proofErr w:type="spellEnd"/>
      <w:r>
        <w:rPr>
          <w:rFonts w:eastAsiaTheme="minorEastAsia"/>
        </w:rPr>
        <w:t xml:space="preserve">, &amp; </w:t>
      </w:r>
      <w:proofErr w:type="spellStart"/>
      <w:r>
        <w:rPr>
          <w:rFonts w:eastAsiaTheme="minorEastAsia"/>
        </w:rPr>
        <w:t>Tsujimoto</w:t>
      </w:r>
      <w:proofErr w:type="spellEnd"/>
      <w:r>
        <w:rPr>
          <w:rFonts w:eastAsiaTheme="minorEastAsia"/>
        </w:rPr>
        <w:t>, 2009)</w:t>
      </w:r>
      <w:r>
        <w:rPr>
          <w:rFonts w:eastAsiaTheme="minorEastAsia"/>
        </w:rPr>
        <w:fldChar w:fldCharType="end"/>
      </w:r>
      <w:r w:rsidR="007B1840">
        <w:rPr>
          <w:rFonts w:eastAsiaTheme="minorEastAsia"/>
        </w:rPr>
        <w:t>. Whilst not specifically mentioned a slope of &lt; 1 was also seen in 31 out of 36 microarray array/qPCR comparisons in Arch et al</w:t>
      </w:r>
      <w:r w:rsidR="00C55A45">
        <w:rPr>
          <w:rFonts w:eastAsiaTheme="minorEastAsia"/>
        </w:rPr>
        <w:t>.</w:t>
      </w:r>
    </w:p>
    <w:p w14:paraId="082A40A3" w14:textId="77777777" w:rsidR="00D62CC9" w:rsidRDefault="00D62CC9" w:rsidP="00D62CC9">
      <w:pPr>
        <w:pStyle w:val="Body"/>
      </w:pPr>
    </w:p>
    <w:p w14:paraId="162521CB" w14:textId="3BE6B058" w:rsidR="00E65413" w:rsidRDefault="004B72B5" w:rsidP="00C55A45">
      <w:pPr>
        <w:pStyle w:val="Body"/>
      </w:pPr>
      <w:r>
        <w:t xml:space="preserve">Whilst it is difficult to conclude whether microarrays are truly quantitative </w:t>
      </w:r>
      <w:r w:rsidR="00C55A45">
        <w:t>good correlation to the quantitative platform, qPCR, has been reported in several studies specifically looking at microRNA detection platforms.</w:t>
      </w:r>
      <w:r w:rsidR="00C836D9">
        <w:t xml:space="preserve"> However,</w:t>
      </w:r>
      <w:r w:rsidR="00C55A45">
        <w:t xml:space="preserve"> </w:t>
      </w:r>
      <w:r w:rsidR="00C836D9">
        <w:t>these studies show that m</w:t>
      </w:r>
      <w:r w:rsidR="00C55A45">
        <w:t xml:space="preserve">icroarrays </w:t>
      </w:r>
      <w:r w:rsidR="00C836D9">
        <w:t xml:space="preserve">are not directly comparable as they </w:t>
      </w:r>
      <w:r w:rsidR="00C55A45">
        <w:t>exhibit compression of dynamic range. However, it is clear that as miRNA expression increases there is a proportional increase seen in the qPCR results. Finally, the Agilent platform used in this study has consistently shown to be one of the best in performance as measured by correlation with qPCR.</w:t>
      </w:r>
    </w:p>
    <w:p w14:paraId="28497A62" w14:textId="361D6FB4" w:rsidR="004B2387" w:rsidRPr="0093022B" w:rsidRDefault="006E2BCC" w:rsidP="006E2BCC">
      <w:pPr>
        <w:tabs>
          <w:tab w:val="left" w:pos="1493"/>
        </w:tabs>
      </w:pPr>
      <w:r>
        <w:tab/>
      </w:r>
    </w:p>
    <w:p w14:paraId="0E6F90BB" w14:textId="77777777" w:rsidR="00C06520" w:rsidRDefault="00C06520" w:rsidP="00C06520">
      <w:pPr>
        <w:pStyle w:val="Heading2"/>
        <w:numPr>
          <w:ilvl w:val="2"/>
          <w:numId w:val="7"/>
        </w:numPr>
        <w:spacing w:before="120" w:after="120"/>
      </w:pPr>
      <w:bookmarkStart w:id="334" w:name="_Toc60773971"/>
      <w:r>
        <w:t>Future directions</w:t>
      </w:r>
      <w:bookmarkEnd w:id="334"/>
    </w:p>
    <w:p w14:paraId="6910055C" w14:textId="2993CF60" w:rsidR="00C06520" w:rsidRDefault="00C06520" w:rsidP="00C06520">
      <w:pPr>
        <w:pStyle w:val="Body"/>
      </w:pPr>
      <w:r>
        <w:t>Even within a single diagnosis it is clear that the miRNA expression is very heterogenous. To address this, I would plan to use a smaller, but more phenotypically similar discovery cohort for discovery. Firstly, a smaller cohort would ease the financial cost of using NGS (</w:t>
      </w:r>
      <w:proofErr w:type="spellStart"/>
      <w:r>
        <w:t>smallRNA</w:t>
      </w:r>
      <w:proofErr w:type="spellEnd"/>
      <w:r>
        <w:t xml:space="preserve"> SEQ). Secondly, it should follow that a more </w:t>
      </w:r>
      <w:r>
        <w:lastRenderedPageBreak/>
        <w:t xml:space="preserve">phenotypically similar cohort should have less </w:t>
      </w:r>
      <w:r w:rsidR="00CE6013">
        <w:t>patient-to-patient</w:t>
      </w:r>
      <w:r>
        <w:t xml:space="preserve"> variation, helping identification of differentially expressed miRNAs. Alternatively, I would seek to utilise a discovery technology that matched the validation </w:t>
      </w:r>
      <w:r w:rsidR="004A4144">
        <w:t>this reduces the technical differences and reduces technical complexity between discovery and validation.</w:t>
      </w:r>
      <w:r>
        <w:t xml:space="preserve"> </w:t>
      </w:r>
      <w:r w:rsidR="004A4144">
        <w:t xml:space="preserve">Fortunately, in miRNA discovery </w:t>
      </w:r>
      <w:proofErr w:type="spellStart"/>
      <w:r>
        <w:t>Taqman</w:t>
      </w:r>
      <w:proofErr w:type="spellEnd"/>
      <w:r>
        <w:t xml:space="preserve"> TLDA qPCR arrays </w:t>
      </w:r>
      <w:r w:rsidR="004A4144">
        <w:t>exist for this very purpose.</w:t>
      </w:r>
      <w:r>
        <w:t xml:space="preserve"> </w:t>
      </w:r>
      <w:r w:rsidR="004A4144">
        <w:t xml:space="preserve">However, they only interrogate about a quarter of known or potential miRNAs. A strategy here may be to use TLDA arrays on a pilot feasibility study before expanding to a larger microarray or </w:t>
      </w:r>
      <w:proofErr w:type="spellStart"/>
      <w:r w:rsidR="004A4144">
        <w:t>smallRNA</w:t>
      </w:r>
      <w:proofErr w:type="spellEnd"/>
      <w:r w:rsidR="004A4144">
        <w:t xml:space="preserve"> SEQ study.</w:t>
      </w:r>
    </w:p>
    <w:p w14:paraId="26AA99CD" w14:textId="18C1705B" w:rsidR="00C06520" w:rsidRDefault="00C06520" w:rsidP="00C06520">
      <w:pPr>
        <w:pStyle w:val="Body"/>
      </w:pPr>
    </w:p>
    <w:p w14:paraId="50000CAE" w14:textId="008ABC7A" w:rsidR="00847EF6" w:rsidRDefault="00847EF6" w:rsidP="00C06520">
      <w:pPr>
        <w:pStyle w:val="Body"/>
      </w:pPr>
      <w:r>
        <w:t>Many studies use global mRNA expression results in combination with global miRNA to identify target genes. Identifying an inverse relationship is supportive. however, this requires a confidence is the microarrays quantitative behaviour of the experiments.</w:t>
      </w:r>
    </w:p>
    <w:p w14:paraId="3230E4AC" w14:textId="77777777" w:rsidR="00847EF6" w:rsidRDefault="00847EF6" w:rsidP="00C06520">
      <w:pPr>
        <w:pStyle w:val="Body"/>
      </w:pPr>
    </w:p>
    <w:p w14:paraId="79DB1F37" w14:textId="664FDF34" w:rsidR="00C06520" w:rsidRDefault="00C06520" w:rsidP="00C06520">
      <w:pPr>
        <w:pStyle w:val="Body"/>
      </w:pPr>
      <w:r>
        <w:t xml:space="preserve">When this study began a manual column-based miRNA extraction from plasma was the only available option. However, the Lawrie lab now has a robotic, magnetic bead based, nucleic acid processor the Maxwell 16 (Promega, Maddison WI). With columns manual miRNA extraction was limited to &lt;8 samples per batch to keep extraction times to a minimum in an effort to preserve RNA integrity. However, the Maxwell system runs easily with up to 16 samples per batch. Utilizing robotic extraction also reduces batch to batch variation and in small scale tests on plasma this has shown clean and amplifiable miRNA (data not shown). Furthermore, to reduce batch effects block randomisation should be used throughout, from extraction batches, discovery batches and validation batches. Block randomisation can reduce batch effects from affecting </w:t>
      </w:r>
      <w:r>
        <w:lastRenderedPageBreak/>
        <w:t xml:space="preserve">the experimental outcome. If batch effects are present with a block randomisation design any these can be identified during exploratory data analysing and even corrected for by modelling the effect and correcting for it </w:t>
      </w:r>
      <w:r w:rsidR="00095567">
        <w:rPr>
          <w:rFonts w:eastAsiaTheme="minorHAnsi"/>
          <w:lang w:val="en-US"/>
        </w:rPr>
        <w:fldChar w:fldCharType="begin"/>
      </w:r>
      <w:r w:rsidR="004E19A5">
        <w:rPr>
          <w:rFonts w:eastAsiaTheme="minorHAnsi"/>
          <w:lang w:val="en-US"/>
        </w:rPr>
        <w:instrText xml:space="preserve"> ADDIN PAPERS2_CITATIONS &lt;citation&gt;&lt;priority&gt;95&lt;/priority&gt;&lt;uuid&gt;65230720-4840-4CDE-B3C7-BB0401E1A5D2&lt;/uuid&gt;&lt;publications&gt;&lt;publication&gt;&lt;subtype&gt;400&lt;/subtype&gt;&lt;title&gt;BatchQC: interactive software for evaluating sample and batch effects in genomic data.&lt;/title&gt;&lt;url&gt;http://eutils.ncbi.nlm.nih.gov/entrez/eutils/elink.fcgi?dbfrom=pubmed&amp;amp;id=27540268&amp;amp;retmode=ref&amp;amp;cmd=prlinks&lt;/url&gt;&lt;volume&gt;32&lt;/volume&gt;&lt;revision_date&gt;99201608101200000000222000&lt;/revision_date&gt;&lt;publication_date&gt;99201612151200000000222000&lt;/publication_date&gt;&lt;uuid&gt;8811CCF6-D6E5-404D-A39B-7043EA087F3A&lt;/uuid&gt;&lt;type&gt;400&lt;/type&gt;&lt;accepted_date&gt;99201608101200000000222000&lt;/accepted_date&gt;&lt;number&gt;24&lt;/number&gt;&lt;submission_date&gt;99201604031200000000222000&lt;/submission_date&gt;&lt;doi&gt;10.1093/bioinformatics/btw538&lt;/doi&gt;&lt;institution&gt;Department of Biostatistics, Boston University, Boston, MA.&lt;/institution&gt;&lt;startpage&gt;3836&lt;/startpage&gt;&lt;endpage&gt;3838&lt;/endpage&gt;&lt;bundle&gt;&lt;publication&gt;&lt;title&gt;Bioinformatics (Oxford, England)&lt;/title&gt;&lt;uuid&gt;F2EBB207-3075-4FEA-B074-5D42CC9E9892&lt;/uuid&gt;&lt;subtype&gt;-100&lt;/subtype&gt;&lt;publisher&gt;Oxford University Press&lt;/publisher&gt;&lt;type&gt;-100&lt;/type&gt;&lt;/publication&gt;&lt;/bundle&gt;&lt;authors&gt;&lt;author&gt;&lt;lastName&gt;Manimaran&lt;/lastName&gt;&lt;firstName&gt;Solaiappan&lt;/firstName&gt;&lt;/author&gt;&lt;author&gt;&lt;lastName&gt;Selby&lt;/lastName&gt;&lt;firstName&gt;Heather&lt;/firstName&gt;&lt;middleNames&gt;Marie&lt;/middleNames&gt;&lt;/author&gt;&lt;author&gt;&lt;lastName&gt;Okrah&lt;/lastName&gt;&lt;firstName&gt;Kwame&lt;/firstName&gt;&lt;/author&gt;&lt;author&gt;&lt;lastName&gt;Ruberman&lt;/lastName&gt;&lt;firstName&gt;Claire&lt;/firstName&gt;&lt;/author&gt;&lt;author&gt;&lt;lastName&gt;Leek&lt;/lastName&gt;&lt;firstName&gt;Jeffrey&lt;/firstName&gt;&lt;middleNames&gt;T&lt;/middleNames&gt;&lt;/author&gt;&lt;author&gt;&lt;lastName&gt;Quackenbush&lt;/lastName&gt;&lt;firstName&gt;John&lt;/firstName&gt;&lt;/author&gt;&lt;author&gt;&lt;lastName&gt;Haibe-Kains&lt;/lastName&gt;&lt;firstName&gt;Benjamin&lt;/firstName&gt;&lt;/author&gt;&lt;author&gt;&lt;lastName&gt;Bravo&lt;/lastName&gt;&lt;firstName&gt;Hector&lt;/firstName&gt;&lt;middleNames&gt;Corrada&lt;/middleNames&gt;&lt;/author&gt;&lt;author&gt;&lt;lastName&gt;Johnson&lt;/lastName&gt;&lt;firstName&gt;W&lt;/firstName&gt;&lt;middleNames&gt;Evan&lt;/middleNames&gt;&lt;/author&gt;&lt;/authors&gt;&lt;/publication&gt;&lt;/publications&gt;&lt;cites&gt;&lt;/cites&gt;&lt;/citation&gt;</w:instrText>
      </w:r>
      <w:r w:rsidR="00095567">
        <w:rPr>
          <w:rFonts w:eastAsiaTheme="minorHAnsi"/>
          <w:lang w:val="en-US"/>
        </w:rPr>
        <w:fldChar w:fldCharType="separate"/>
      </w:r>
      <w:r w:rsidR="00095567">
        <w:rPr>
          <w:rFonts w:eastAsiaTheme="minorEastAsia"/>
          <w:lang w:val="en-US"/>
        </w:rPr>
        <w:t>(</w:t>
      </w:r>
      <w:proofErr w:type="spellStart"/>
      <w:r w:rsidR="00095567">
        <w:rPr>
          <w:rFonts w:eastAsiaTheme="minorEastAsia"/>
          <w:lang w:val="en-US"/>
        </w:rPr>
        <w:t>Manimaran</w:t>
      </w:r>
      <w:proofErr w:type="spellEnd"/>
      <w:r w:rsidR="00095567">
        <w:rPr>
          <w:rFonts w:eastAsiaTheme="minorEastAsia"/>
          <w:lang w:val="en-US"/>
        </w:rPr>
        <w:t xml:space="preserve"> et al., 2016)</w:t>
      </w:r>
      <w:r w:rsidR="00095567">
        <w:rPr>
          <w:rFonts w:eastAsiaTheme="minorHAnsi"/>
          <w:lang w:val="en-US"/>
        </w:rPr>
        <w:fldChar w:fldCharType="end"/>
      </w:r>
      <w:r>
        <w:rPr>
          <w:rFonts w:eastAsiaTheme="minorHAnsi"/>
          <w:lang w:val="en-US"/>
        </w:rPr>
        <w:t xml:space="preserve">, </w:t>
      </w:r>
      <w:r w:rsidR="00095567">
        <w:rPr>
          <w:rFonts w:eastAsiaTheme="minorHAnsi"/>
          <w:lang w:val="en-US"/>
        </w:rPr>
        <w:fldChar w:fldCharType="begin"/>
      </w:r>
      <w:r w:rsidR="004E19A5">
        <w:rPr>
          <w:rFonts w:eastAsiaTheme="minorHAnsi"/>
          <w:lang w:val="en-US"/>
        </w:rPr>
        <w:instrText xml:space="preserve"> ADDIN PAPERS2_CITATIONS &lt;citation&gt;&lt;priority&gt;96&lt;/priority&gt;&lt;uuid&gt;FA948CAD-693D-416F-A9C6-A894B745BA2A&lt;/uuid&gt;&lt;publications&gt;&lt;publication&gt;&lt;subtype&gt;400&lt;/subtype&gt;&lt;title&gt;The sva package for removing batch effects and other unwanted variation in high-throughput experiments.&lt;/title&gt;&lt;url&gt;http://eutils.ncbi.nlm.nih.gov/entrez/eutils/elink.fcgi?dbfrom=pubmed&amp;amp;id=22257669&amp;amp;retmode=ref&amp;amp;cmd=prlinks&lt;/url&gt;&lt;volume&gt;28&lt;/volume&gt;&lt;publication_date&gt;99201203151200000000222000&lt;/publication_date&gt;&lt;uuid&gt;0223AB5E-9BFD-4800-BCB1-4F559F7761E3&lt;/uuid&gt;&lt;type&gt;400&lt;/type&gt;&lt;number&gt;6&lt;/number&gt;&lt;doi&gt;10.1093/bioinformatics/bts034&lt;/doi&gt;&lt;institution&gt;Department of Biostatistics, JHU Bloomberg School of Public Health, Baltimore, MD, USA. jleek@jhsph.edu&lt;/institution&gt;&lt;startpage&gt;882&lt;/startpage&gt;&lt;endpage&gt;883&lt;/endpage&gt;&lt;bundle&gt;&lt;publication&gt;&lt;title&gt;Bioinformatics (Oxford, England)&lt;/title&gt;&lt;uuid&gt;F2EBB207-3075-4FEA-B074-5D42CC9E9892&lt;/uuid&gt;&lt;subtype&gt;-100&lt;/subtype&gt;&lt;publisher&gt;Oxford University Press&lt;/publisher&gt;&lt;type&gt;-100&lt;/type&gt;&lt;/publication&gt;&lt;/bundle&gt;&lt;authors&gt;&lt;author&gt;&lt;lastName&gt;Leek&lt;/lastName&gt;&lt;firstName&gt;Jeffrey&lt;/firstName&gt;&lt;middleNames&gt;T&lt;/middleNames&gt;&lt;/author&gt;&lt;author&gt;&lt;lastName&gt;Johnson&lt;/lastName&gt;&lt;firstName&gt;W&lt;/firstName&gt;&lt;middleNames&gt;Evan&lt;/middleNames&gt;&lt;/author&gt;&lt;author&gt;&lt;lastName&gt;Parker&lt;/lastName&gt;&lt;firstName&gt;Hilary&lt;/firstName&gt;&lt;middleNames&gt;S&lt;/middleNames&gt;&lt;/author&gt;&lt;author&gt;&lt;lastName&gt;Jaffe&lt;/lastName&gt;&lt;firstName&gt;Andrew&lt;/firstName&gt;&lt;middleNames&gt;E&lt;/middleNames&gt;&lt;/author&gt;&lt;author&gt;&lt;lastName&gt;Storey&lt;/lastName&gt;&lt;firstName&gt;John&lt;/firstName&gt;&lt;middleNames&gt;D&lt;/middleNames&gt;&lt;/author&gt;&lt;/authors&gt;&lt;/publication&gt;&lt;/publications&gt;&lt;cites&gt;&lt;/cites&gt;&lt;/citation&gt;</w:instrText>
      </w:r>
      <w:r w:rsidR="00095567">
        <w:rPr>
          <w:rFonts w:eastAsiaTheme="minorHAnsi"/>
          <w:lang w:val="en-US"/>
        </w:rPr>
        <w:fldChar w:fldCharType="separate"/>
      </w:r>
      <w:r w:rsidR="00095567">
        <w:rPr>
          <w:rFonts w:eastAsiaTheme="minorEastAsia"/>
          <w:lang w:val="en-US"/>
        </w:rPr>
        <w:t xml:space="preserve">(Leek, Johnson, Parker, Jaffe, &amp; </w:t>
      </w:r>
      <w:proofErr w:type="spellStart"/>
      <w:r w:rsidR="00095567">
        <w:rPr>
          <w:rFonts w:eastAsiaTheme="minorEastAsia"/>
          <w:lang w:val="en-US"/>
        </w:rPr>
        <w:t>Storey</w:t>
      </w:r>
      <w:proofErr w:type="spellEnd"/>
      <w:r w:rsidR="00095567">
        <w:rPr>
          <w:rFonts w:eastAsiaTheme="minorEastAsia"/>
          <w:lang w:val="en-US"/>
        </w:rPr>
        <w:t>, 2012)</w:t>
      </w:r>
      <w:r w:rsidR="00095567">
        <w:rPr>
          <w:rFonts w:eastAsiaTheme="minorHAnsi"/>
          <w:lang w:val="en-US"/>
        </w:rPr>
        <w:fldChar w:fldCharType="end"/>
      </w:r>
      <w:r>
        <w:t>.</w:t>
      </w:r>
    </w:p>
    <w:p w14:paraId="664987B3" w14:textId="77777777" w:rsidR="00C06520" w:rsidRDefault="00C06520" w:rsidP="00C06520">
      <w:pPr>
        <w:pStyle w:val="Body"/>
      </w:pPr>
    </w:p>
    <w:p w14:paraId="223C99B0" w14:textId="6BC28EF0" w:rsidR="00C06520" w:rsidRDefault="00C06520" w:rsidP="00E4064F">
      <w:pPr>
        <w:pStyle w:val="Body"/>
      </w:pPr>
      <w:r>
        <w:t>In a future study I would first try to verify miRNA identified using selection methods from the discovery experiment, such as differential expression and feature selection techniques. This would almost certainly lead to greater than 10 miRNAs to be tested in the verification experiment. However, this has a better chance of leading identification of miRNA targets for validation in a larger cohort. The miRNAs tested in the verification experiment would be tested for concordance identifying miRNAs that show correlation with the discovery platform and ideally group differences. Results from either verification or validation experiment could then be confidently tested for multivariate diagnostic potential.</w:t>
      </w:r>
    </w:p>
    <w:p w14:paraId="789F74EA" w14:textId="77777777" w:rsidR="00E4064F" w:rsidRDefault="00E4064F" w:rsidP="00E4064F">
      <w:pPr>
        <w:pStyle w:val="Body"/>
        <w:tabs>
          <w:tab w:val="left" w:pos="6753"/>
        </w:tabs>
      </w:pPr>
      <w:r>
        <w:tab/>
      </w:r>
    </w:p>
    <w:p w14:paraId="18553E0E" w14:textId="77777777" w:rsidR="00E4064F" w:rsidRDefault="00E4064F" w:rsidP="00E4064F">
      <w:pPr>
        <w:pStyle w:val="Body"/>
      </w:pPr>
      <w:r>
        <w:t xml:space="preserve">  </w:t>
      </w:r>
    </w:p>
    <w:p w14:paraId="193A5B1B" w14:textId="77777777" w:rsidR="00E4064F" w:rsidRDefault="00E4064F" w:rsidP="00E4064F">
      <w:pPr>
        <w:pStyle w:val="Body"/>
        <w:rPr>
          <w:b/>
        </w:rPr>
      </w:pPr>
    </w:p>
    <w:p w14:paraId="6EC5E13D" w14:textId="77777777" w:rsidR="00E4064F" w:rsidRDefault="00E4064F" w:rsidP="00E4064F">
      <w:pPr>
        <w:pStyle w:val="Body"/>
        <w:rPr>
          <w:b/>
        </w:rPr>
      </w:pPr>
    </w:p>
    <w:p w14:paraId="385ED779" w14:textId="77777777" w:rsidR="00E4064F" w:rsidRPr="00021E0E" w:rsidRDefault="00E4064F" w:rsidP="00E4064F">
      <w:pPr>
        <w:pStyle w:val="Body"/>
        <w:rPr>
          <w:b/>
        </w:rPr>
      </w:pPr>
    </w:p>
    <w:p w14:paraId="297D0F9B" w14:textId="77777777" w:rsidR="00E4064F" w:rsidRPr="00281C6A" w:rsidRDefault="00E4064F" w:rsidP="00E4064F">
      <w:pPr>
        <w:pStyle w:val="Body"/>
      </w:pPr>
    </w:p>
    <w:p w14:paraId="7CE7D440" w14:textId="42263E65" w:rsidR="00D30DD8" w:rsidRDefault="00D30DD8">
      <w:pPr>
        <w:rPr>
          <w:rFonts w:ascii="TUOS Blake" w:eastAsia="TUOS Blake" w:hAnsi="TUOS Blake" w:cs="TUOS Blake"/>
          <w:color w:val="000000"/>
          <w:bdr w:val="nil"/>
        </w:rPr>
      </w:pPr>
      <w:r>
        <w:br w:type="page"/>
      </w:r>
    </w:p>
    <w:p w14:paraId="30E7D2AB" w14:textId="70377107" w:rsidR="00095567" w:rsidRDefault="00677042" w:rsidP="00677042">
      <w:pPr>
        <w:pStyle w:val="Heading1"/>
        <w:numPr>
          <w:ilvl w:val="0"/>
          <w:numId w:val="7"/>
        </w:numPr>
        <w:spacing w:before="120" w:after="120"/>
      </w:pPr>
      <w:bookmarkStart w:id="335" w:name="_Toc60773972"/>
      <w:r>
        <w:lastRenderedPageBreak/>
        <w:t>References</w:t>
      </w:r>
      <w:bookmarkEnd w:id="335"/>
    </w:p>
    <w:p w14:paraId="2A5D90D4" w14:textId="77777777" w:rsidR="008F2642" w:rsidRPr="008F2642" w:rsidRDefault="008F2642" w:rsidP="008F26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lang w:val="en-US"/>
        </w:rPr>
      </w:pPr>
    </w:p>
    <w:p w14:paraId="568B9229" w14:textId="0E53B221"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A, A., B, K., S, H., M, G., &amp; SJ, M. (2017a). miR-199a-5p and miR-495 target GRP78 within UPR pathway of lung cancer. </w:t>
      </w:r>
      <w:r>
        <w:rPr>
          <w:rFonts w:ascii="TUOS Blake" w:eastAsiaTheme="minorEastAsia" w:hAnsi="TUOS Blake" w:cs="TUOS Blake"/>
          <w:i/>
          <w:iCs/>
        </w:rPr>
        <w:t>Gene</w:t>
      </w:r>
      <w:r>
        <w:rPr>
          <w:rFonts w:ascii="TUOS Blake" w:eastAsiaTheme="minorEastAsia" w:hAnsi="TUOS Blake" w:cs="TUOS Blake"/>
        </w:rPr>
        <w:t xml:space="preserve">, </w:t>
      </w:r>
      <w:r>
        <w:rPr>
          <w:rFonts w:ascii="TUOS Blake" w:eastAsiaTheme="minorEastAsia" w:hAnsi="TUOS Blake" w:cs="TUOS Blake"/>
          <w:i/>
          <w:iCs/>
        </w:rPr>
        <w:t>620</w:t>
      </w:r>
      <w:r>
        <w:rPr>
          <w:rFonts w:ascii="TUOS Blake" w:eastAsiaTheme="minorEastAsia" w:hAnsi="TUOS Blake" w:cs="TUOS Blake"/>
        </w:rPr>
        <w:t xml:space="preserve">, 15–22. </w:t>
      </w:r>
      <w:hyperlink r:id="rId38" w:history="1">
        <w:r w:rsidR="001636D4" w:rsidRPr="000D4288">
          <w:rPr>
            <w:rStyle w:val="Hyperlink"/>
            <w:rFonts w:ascii="TUOS Blake" w:eastAsiaTheme="minorEastAsia" w:hAnsi="TUOS Blake" w:cs="TUOS Blake"/>
          </w:rPr>
          <w:t>http://doi.org/10.1016/j.gene.2017.03.032</w:t>
        </w:r>
      </w:hyperlink>
    </w:p>
    <w:p w14:paraId="5D88919B" w14:textId="77777777" w:rsidR="001636D4" w:rsidRDefault="001636D4"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37317CB" w14:textId="3E44C44C"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A, P.-R., T, K., MM, M., A, S., A, B., G, M., &amp; G, S. (2017b). Transcriptomic profiling of platelet senescence and platelet extracellular vesicles. </w:t>
      </w:r>
      <w:r>
        <w:rPr>
          <w:rFonts w:ascii="TUOS Blake" w:eastAsiaTheme="minorEastAsia" w:hAnsi="TUOS Blake" w:cs="TUOS Blake"/>
          <w:i/>
          <w:iCs/>
        </w:rPr>
        <w:t>Transfusion</w:t>
      </w:r>
      <w:r>
        <w:rPr>
          <w:rFonts w:ascii="TUOS Blake" w:eastAsiaTheme="minorEastAsia" w:hAnsi="TUOS Blake" w:cs="TUOS Blake"/>
        </w:rPr>
        <w:t xml:space="preserve">, </w:t>
      </w:r>
      <w:r>
        <w:rPr>
          <w:rFonts w:ascii="TUOS Blake" w:eastAsiaTheme="minorEastAsia" w:hAnsi="TUOS Blake" w:cs="TUOS Blake"/>
          <w:i/>
          <w:iCs/>
        </w:rPr>
        <w:t>57</w:t>
      </w:r>
      <w:r>
        <w:rPr>
          <w:rFonts w:ascii="TUOS Blake" w:eastAsiaTheme="minorEastAsia" w:hAnsi="TUOS Blake" w:cs="TUOS Blake"/>
        </w:rPr>
        <w:t xml:space="preserve">(1), 144–156. </w:t>
      </w:r>
      <w:hyperlink r:id="rId39" w:history="1">
        <w:r w:rsidR="001636D4" w:rsidRPr="000D4288">
          <w:rPr>
            <w:rStyle w:val="Hyperlink"/>
            <w:rFonts w:ascii="TUOS Blake" w:eastAsiaTheme="minorEastAsia" w:hAnsi="TUOS Blake" w:cs="TUOS Blake"/>
          </w:rPr>
          <w:t>http://doi.org/10.1111/trf.13896</w:t>
        </w:r>
      </w:hyperlink>
    </w:p>
    <w:p w14:paraId="65B94A53" w14:textId="77777777" w:rsidR="001636D4" w:rsidRDefault="001636D4"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164ABFA" w14:textId="0FF344FB"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Abbas, A. R., </w:t>
      </w:r>
      <w:proofErr w:type="spellStart"/>
      <w:r>
        <w:rPr>
          <w:rFonts w:ascii="TUOS Blake" w:eastAsiaTheme="minorEastAsia" w:hAnsi="TUOS Blake" w:cs="TUOS Blake"/>
        </w:rPr>
        <w:t>Wolslegel</w:t>
      </w:r>
      <w:proofErr w:type="spellEnd"/>
      <w:r>
        <w:rPr>
          <w:rFonts w:ascii="TUOS Blake" w:eastAsiaTheme="minorEastAsia" w:hAnsi="TUOS Blake" w:cs="TUOS Blake"/>
        </w:rPr>
        <w:t xml:space="preserve">, K., </w:t>
      </w:r>
      <w:proofErr w:type="spellStart"/>
      <w:r>
        <w:rPr>
          <w:rFonts w:ascii="TUOS Blake" w:eastAsiaTheme="minorEastAsia" w:hAnsi="TUOS Blake" w:cs="TUOS Blake"/>
        </w:rPr>
        <w:t>Seshasayee</w:t>
      </w:r>
      <w:proofErr w:type="spellEnd"/>
      <w:r>
        <w:rPr>
          <w:rFonts w:ascii="TUOS Blake" w:eastAsiaTheme="minorEastAsia" w:hAnsi="TUOS Blake" w:cs="TUOS Blake"/>
        </w:rPr>
        <w:t xml:space="preserve">, D., </w:t>
      </w:r>
      <w:proofErr w:type="spellStart"/>
      <w:r>
        <w:rPr>
          <w:rFonts w:ascii="TUOS Blake" w:eastAsiaTheme="minorEastAsia" w:hAnsi="TUOS Blake" w:cs="TUOS Blake"/>
        </w:rPr>
        <w:t>Modrusan</w:t>
      </w:r>
      <w:proofErr w:type="spellEnd"/>
      <w:r>
        <w:rPr>
          <w:rFonts w:ascii="TUOS Blake" w:eastAsiaTheme="minorEastAsia" w:hAnsi="TUOS Blake" w:cs="TUOS Blake"/>
        </w:rPr>
        <w:t xml:space="preserve">, Z., &amp; Clark, H. F. (2009). Deconvolution of Blood Microarray Data Identifies Cellular Activation Patterns in Systemic Lupus Erythematosus. </w:t>
      </w:r>
      <w:proofErr w:type="spellStart"/>
      <w:r>
        <w:rPr>
          <w:rFonts w:ascii="TUOS Blake" w:eastAsiaTheme="minorEastAsia" w:hAnsi="TUOS Blake" w:cs="TUOS Blake"/>
          <w:i/>
          <w:iCs/>
        </w:rPr>
        <w:t>PloS</w:t>
      </w:r>
      <w:proofErr w:type="spellEnd"/>
      <w:r>
        <w:rPr>
          <w:rFonts w:ascii="TUOS Blake" w:eastAsiaTheme="minorEastAsia" w:hAnsi="TUOS Blake" w:cs="TUOS Blake"/>
          <w:i/>
          <w:iCs/>
        </w:rPr>
        <w:t xml:space="preserve"> One</w:t>
      </w:r>
      <w:r>
        <w:rPr>
          <w:rFonts w:ascii="TUOS Blake" w:eastAsiaTheme="minorEastAsia" w:hAnsi="TUOS Blake" w:cs="TUOS Blake"/>
        </w:rPr>
        <w:t xml:space="preserve">, </w:t>
      </w:r>
      <w:r>
        <w:rPr>
          <w:rFonts w:ascii="TUOS Blake" w:eastAsiaTheme="minorEastAsia" w:hAnsi="TUOS Blake" w:cs="TUOS Blake"/>
          <w:i/>
          <w:iCs/>
        </w:rPr>
        <w:t>4</w:t>
      </w:r>
      <w:r>
        <w:rPr>
          <w:rFonts w:ascii="TUOS Blake" w:eastAsiaTheme="minorEastAsia" w:hAnsi="TUOS Blake" w:cs="TUOS Blake"/>
        </w:rPr>
        <w:t xml:space="preserve">(7), e6098. </w:t>
      </w:r>
      <w:hyperlink r:id="rId40" w:history="1">
        <w:r w:rsidR="001636D4" w:rsidRPr="000D4288">
          <w:rPr>
            <w:rStyle w:val="Hyperlink"/>
            <w:rFonts w:ascii="TUOS Blake" w:eastAsiaTheme="minorEastAsia" w:hAnsi="TUOS Blake" w:cs="TUOS Blake"/>
          </w:rPr>
          <w:t>http://doi.org/10.1371/journal.pone.0006098</w:t>
        </w:r>
      </w:hyperlink>
    </w:p>
    <w:p w14:paraId="6D5380FC" w14:textId="77777777" w:rsidR="001636D4" w:rsidRDefault="001636D4"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7E265881" w14:textId="3013A679"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Ach, R. A., Wang, H., &amp; Curry, B. (2008). Measuring microRNAs: Comparisons of microarray and quantitative PCR measurements, and of different total RNA prep methods. </w:t>
      </w:r>
      <w:r>
        <w:rPr>
          <w:rFonts w:ascii="TUOS Blake" w:eastAsiaTheme="minorEastAsia" w:hAnsi="TUOS Blake" w:cs="TUOS Blake"/>
          <w:i/>
          <w:iCs/>
        </w:rPr>
        <w:t>BMC Biotechnology</w:t>
      </w:r>
      <w:r>
        <w:rPr>
          <w:rFonts w:ascii="TUOS Blake" w:eastAsiaTheme="minorEastAsia" w:hAnsi="TUOS Blake" w:cs="TUOS Blake"/>
        </w:rPr>
        <w:t xml:space="preserve">, </w:t>
      </w:r>
      <w:r>
        <w:rPr>
          <w:rFonts w:ascii="TUOS Blake" w:eastAsiaTheme="minorEastAsia" w:hAnsi="TUOS Blake" w:cs="TUOS Blake"/>
          <w:i/>
          <w:iCs/>
        </w:rPr>
        <w:t>8</w:t>
      </w:r>
      <w:r>
        <w:rPr>
          <w:rFonts w:ascii="TUOS Blake" w:eastAsiaTheme="minorEastAsia" w:hAnsi="TUOS Blake" w:cs="TUOS Blake"/>
        </w:rPr>
        <w:t xml:space="preserve">(1), 1–16. </w:t>
      </w:r>
      <w:hyperlink r:id="rId41" w:history="1">
        <w:r w:rsidR="001636D4" w:rsidRPr="000D4288">
          <w:rPr>
            <w:rStyle w:val="Hyperlink"/>
            <w:rFonts w:ascii="TUOS Blake" w:eastAsiaTheme="minorEastAsia" w:hAnsi="TUOS Blake" w:cs="TUOS Blake"/>
          </w:rPr>
          <w:t>http://doi.org/10.1186/1472-6750-8-69</w:t>
        </w:r>
      </w:hyperlink>
    </w:p>
    <w:p w14:paraId="512DE5CC" w14:textId="77777777" w:rsidR="001636D4" w:rsidRDefault="001636D4"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201E4008" w14:textId="662376E2"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Akaike, H. (1974). A new look at the statistical model identification. </w:t>
      </w:r>
      <w:r>
        <w:rPr>
          <w:rFonts w:ascii="TUOS Blake" w:eastAsiaTheme="minorEastAsia" w:hAnsi="TUOS Blake" w:cs="TUOS Blake"/>
          <w:i/>
          <w:iCs/>
        </w:rPr>
        <w:t>IEEE Transactions on Automatic Control</w:t>
      </w:r>
      <w:r>
        <w:rPr>
          <w:rFonts w:ascii="TUOS Blake" w:eastAsiaTheme="minorEastAsia" w:hAnsi="TUOS Blake" w:cs="TUOS Blake"/>
        </w:rPr>
        <w:t xml:space="preserve">, </w:t>
      </w:r>
      <w:r>
        <w:rPr>
          <w:rFonts w:ascii="TUOS Blake" w:eastAsiaTheme="minorEastAsia" w:hAnsi="TUOS Blake" w:cs="TUOS Blake"/>
          <w:i/>
          <w:iCs/>
        </w:rPr>
        <w:t>19</w:t>
      </w:r>
      <w:r>
        <w:rPr>
          <w:rFonts w:ascii="TUOS Blake" w:eastAsiaTheme="minorEastAsia" w:hAnsi="TUOS Blake" w:cs="TUOS Blake"/>
        </w:rPr>
        <w:t xml:space="preserve">(6), 716–723. </w:t>
      </w:r>
      <w:hyperlink r:id="rId42" w:history="1">
        <w:r w:rsidR="001636D4" w:rsidRPr="000D4288">
          <w:rPr>
            <w:rStyle w:val="Hyperlink"/>
            <w:rFonts w:ascii="TUOS Blake" w:eastAsiaTheme="minorEastAsia" w:hAnsi="TUOS Blake" w:cs="TUOS Blake"/>
          </w:rPr>
          <w:t>http://doi.org/10.1109/TAC.1974.1100705</w:t>
        </w:r>
      </w:hyperlink>
    </w:p>
    <w:p w14:paraId="283159BA" w14:textId="77777777" w:rsidR="001636D4" w:rsidRDefault="001636D4"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38B2D6D" w14:textId="5FB96851"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Allcock</w:t>
      </w:r>
      <w:proofErr w:type="spellEnd"/>
      <w:r>
        <w:rPr>
          <w:rFonts w:ascii="TUOS Blake" w:eastAsiaTheme="minorEastAsia" w:hAnsi="TUOS Blake" w:cs="TUOS Blake"/>
        </w:rPr>
        <w:t xml:space="preserve">, R. J., Forrest, I., </w:t>
      </w:r>
      <w:proofErr w:type="spellStart"/>
      <w:r>
        <w:rPr>
          <w:rFonts w:ascii="TUOS Blake" w:eastAsiaTheme="minorEastAsia" w:hAnsi="TUOS Blake" w:cs="TUOS Blake"/>
        </w:rPr>
        <w:t>Corris</w:t>
      </w:r>
      <w:proofErr w:type="spellEnd"/>
      <w:r>
        <w:rPr>
          <w:rFonts w:ascii="TUOS Blake" w:eastAsiaTheme="minorEastAsia" w:hAnsi="TUOS Blake" w:cs="TUOS Blake"/>
        </w:rPr>
        <w:t xml:space="preserve">, P. A., Crook, P. R., &amp; Griffiths, I. D. (2004). A study of the prevalence of systemic sclerosis in northeast England. </w:t>
      </w:r>
      <w:r>
        <w:rPr>
          <w:rFonts w:ascii="TUOS Blake" w:eastAsiaTheme="minorEastAsia" w:hAnsi="TUOS Blake" w:cs="TUOS Blake"/>
          <w:i/>
          <w:iCs/>
        </w:rPr>
        <w:t>Rheumatology (Oxford, England)</w:t>
      </w:r>
      <w:r>
        <w:rPr>
          <w:rFonts w:ascii="TUOS Blake" w:eastAsiaTheme="minorEastAsia" w:hAnsi="TUOS Blake" w:cs="TUOS Blake"/>
        </w:rPr>
        <w:t xml:space="preserve">, </w:t>
      </w:r>
      <w:r>
        <w:rPr>
          <w:rFonts w:ascii="TUOS Blake" w:eastAsiaTheme="minorEastAsia" w:hAnsi="TUOS Blake" w:cs="TUOS Blake"/>
          <w:i/>
          <w:iCs/>
        </w:rPr>
        <w:t>43</w:t>
      </w:r>
      <w:r>
        <w:rPr>
          <w:rFonts w:ascii="TUOS Blake" w:eastAsiaTheme="minorEastAsia" w:hAnsi="TUOS Blake" w:cs="TUOS Blake"/>
        </w:rPr>
        <w:t xml:space="preserve">(5), 596–602. </w:t>
      </w:r>
      <w:hyperlink r:id="rId43" w:history="1">
        <w:r w:rsidR="001636D4" w:rsidRPr="000D4288">
          <w:rPr>
            <w:rStyle w:val="Hyperlink"/>
            <w:rFonts w:ascii="TUOS Blake" w:eastAsiaTheme="minorEastAsia" w:hAnsi="TUOS Blake" w:cs="TUOS Blake"/>
          </w:rPr>
          <w:t>http://doi.org/10.1093/rheumatology/keh124</w:t>
        </w:r>
      </w:hyperlink>
    </w:p>
    <w:p w14:paraId="572EAEDB" w14:textId="77777777" w:rsidR="001636D4" w:rsidRDefault="001636D4"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D5A831E" w14:textId="2C770226"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Augustine, D. X., Coates-Bradshaw, L. D., Willis, J., Harkness, A., Ring, L., </w:t>
      </w:r>
      <w:proofErr w:type="spellStart"/>
      <w:r>
        <w:rPr>
          <w:rFonts w:ascii="TUOS Blake" w:eastAsiaTheme="minorEastAsia" w:hAnsi="TUOS Blake" w:cs="TUOS Blake"/>
        </w:rPr>
        <w:t>Grapsa</w:t>
      </w:r>
      <w:proofErr w:type="spellEnd"/>
      <w:r>
        <w:rPr>
          <w:rFonts w:ascii="TUOS Blake" w:eastAsiaTheme="minorEastAsia" w:hAnsi="TUOS Blake" w:cs="TUOS Blake"/>
        </w:rPr>
        <w:t xml:space="preserve">, J., et al. (2018). Echocardiographic assessment of pulmonary hypertension: a guideline protocol from the British Society of Echocardiography. </w:t>
      </w:r>
      <w:r>
        <w:rPr>
          <w:rFonts w:ascii="TUOS Blake" w:eastAsiaTheme="minorEastAsia" w:hAnsi="TUOS Blake" w:cs="TUOS Blake"/>
          <w:i/>
          <w:iCs/>
        </w:rPr>
        <w:t>Echo Research and Practice</w:t>
      </w:r>
      <w:r>
        <w:rPr>
          <w:rFonts w:ascii="TUOS Blake" w:eastAsiaTheme="minorEastAsia" w:hAnsi="TUOS Blake" w:cs="TUOS Blake"/>
        </w:rPr>
        <w:t xml:space="preserve">, </w:t>
      </w:r>
      <w:r>
        <w:rPr>
          <w:rFonts w:ascii="TUOS Blake" w:eastAsiaTheme="minorEastAsia" w:hAnsi="TUOS Blake" w:cs="TUOS Blake"/>
          <w:i/>
          <w:iCs/>
        </w:rPr>
        <w:t>5</w:t>
      </w:r>
      <w:r>
        <w:rPr>
          <w:rFonts w:ascii="TUOS Blake" w:eastAsiaTheme="minorEastAsia" w:hAnsi="TUOS Blake" w:cs="TUOS Blake"/>
        </w:rPr>
        <w:t xml:space="preserve">(3), G11–G24. </w:t>
      </w:r>
      <w:hyperlink r:id="rId44" w:history="1">
        <w:r w:rsidR="005F360A" w:rsidRPr="000D4288">
          <w:rPr>
            <w:rStyle w:val="Hyperlink"/>
            <w:rFonts w:ascii="TUOS Blake" w:eastAsiaTheme="minorEastAsia" w:hAnsi="TUOS Blake" w:cs="TUOS Blake"/>
          </w:rPr>
          <w:t>http://doi.org/10.1530/ERP-17-0071</w:t>
        </w:r>
      </w:hyperlink>
    </w:p>
    <w:p w14:paraId="15ABFC6F" w14:textId="77777777" w:rsidR="005F360A" w:rsidRDefault="005F360A"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2464EB8B" w14:textId="1FF3FEBA"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AVOUAC, J., AIRÒ, P., MEUNE, C., Beretta, L., DIEUDE, P., CARAMASCHI, P., et al. (2010). Prevalence of pulmonary hypertension in systemic sclerosis in European Caucasians and </w:t>
      </w:r>
      <w:proofErr w:type="spellStart"/>
      <w:r>
        <w:rPr>
          <w:rFonts w:ascii="TUOS Blake" w:eastAsiaTheme="minorEastAsia" w:hAnsi="TUOS Blake" w:cs="TUOS Blake"/>
        </w:rPr>
        <w:t>metaanalysis</w:t>
      </w:r>
      <w:proofErr w:type="spellEnd"/>
      <w:r>
        <w:rPr>
          <w:rFonts w:ascii="TUOS Blake" w:eastAsiaTheme="minorEastAsia" w:hAnsi="TUOS Blake" w:cs="TUOS Blake"/>
        </w:rPr>
        <w:t xml:space="preserve"> of 5 studies. </w:t>
      </w:r>
      <w:r>
        <w:rPr>
          <w:rFonts w:ascii="TUOS Blake" w:eastAsiaTheme="minorEastAsia" w:hAnsi="TUOS Blake" w:cs="TUOS Blake"/>
          <w:i/>
          <w:iCs/>
        </w:rPr>
        <w:t>The Journal of Rheumatology</w:t>
      </w:r>
      <w:r>
        <w:rPr>
          <w:rFonts w:ascii="TUOS Blake" w:eastAsiaTheme="minorEastAsia" w:hAnsi="TUOS Blake" w:cs="TUOS Blake"/>
        </w:rPr>
        <w:t xml:space="preserve">, </w:t>
      </w:r>
      <w:r>
        <w:rPr>
          <w:rFonts w:ascii="TUOS Blake" w:eastAsiaTheme="minorEastAsia" w:hAnsi="TUOS Blake" w:cs="TUOS Blake"/>
          <w:i/>
          <w:iCs/>
        </w:rPr>
        <w:t>37</w:t>
      </w:r>
      <w:r>
        <w:rPr>
          <w:rFonts w:ascii="TUOS Blake" w:eastAsiaTheme="minorEastAsia" w:hAnsi="TUOS Blake" w:cs="TUOS Blake"/>
        </w:rPr>
        <w:t xml:space="preserve">(11), 2290–2298. </w:t>
      </w:r>
      <w:hyperlink r:id="rId45" w:history="1">
        <w:r w:rsidR="005F360A" w:rsidRPr="000D4288">
          <w:rPr>
            <w:rStyle w:val="Hyperlink"/>
            <w:rFonts w:ascii="TUOS Blake" w:eastAsiaTheme="minorEastAsia" w:hAnsi="TUOS Blake" w:cs="TUOS Blake"/>
          </w:rPr>
          <w:t>http://doi.org/10.3899/jrheum.100245</w:t>
        </w:r>
      </w:hyperlink>
    </w:p>
    <w:p w14:paraId="70B752ED" w14:textId="77777777" w:rsidR="005F360A" w:rsidRDefault="005F360A"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EACFE93" w14:textId="415EEDD5"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Benjamini</w:t>
      </w:r>
      <w:proofErr w:type="spellEnd"/>
      <w:r>
        <w:rPr>
          <w:rFonts w:ascii="TUOS Blake" w:eastAsiaTheme="minorEastAsia" w:hAnsi="TUOS Blake" w:cs="TUOS Blake"/>
        </w:rPr>
        <w:t xml:space="preserve">, Y., &amp; Hochberg, Y. (2010). Controlling the False Discovery Rate: A Practical and Powerful Approach to Multiple Testing. </w:t>
      </w:r>
      <w:r>
        <w:rPr>
          <w:rFonts w:ascii="TUOS Blake" w:eastAsiaTheme="minorEastAsia" w:hAnsi="TUOS Blake" w:cs="TUOS Blake"/>
          <w:i/>
          <w:iCs/>
        </w:rPr>
        <w:t>Journal of the Royal Statistical Society Series B</w:t>
      </w:r>
      <w:r>
        <w:rPr>
          <w:rFonts w:ascii="TUOS Blake" w:eastAsiaTheme="minorEastAsia" w:hAnsi="TUOS Blake" w:cs="TUOS Blake"/>
        </w:rPr>
        <w:t>, 1–13</w:t>
      </w:r>
      <w:r w:rsidR="005F360A">
        <w:rPr>
          <w:rFonts w:ascii="TUOS Blake" w:eastAsiaTheme="minorEastAsia" w:hAnsi="TUOS Blake" w:cs="TUOS Blake"/>
        </w:rPr>
        <w:t>.</w:t>
      </w:r>
    </w:p>
    <w:p w14:paraId="606FF034" w14:textId="77777777" w:rsidR="005F360A" w:rsidRDefault="005F360A"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DAF2764" w14:textId="5D897FF1"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Bentley, D. R., Balasubramanian, S., </w:t>
      </w:r>
      <w:proofErr w:type="spellStart"/>
      <w:r>
        <w:rPr>
          <w:rFonts w:ascii="TUOS Blake" w:eastAsiaTheme="minorEastAsia" w:hAnsi="TUOS Blake" w:cs="TUOS Blake"/>
        </w:rPr>
        <w:t>Swerdlow</w:t>
      </w:r>
      <w:proofErr w:type="spellEnd"/>
      <w:r>
        <w:rPr>
          <w:rFonts w:ascii="TUOS Blake" w:eastAsiaTheme="minorEastAsia" w:hAnsi="TUOS Blake" w:cs="TUOS Blake"/>
        </w:rPr>
        <w:t xml:space="preserve">, H. P., Smith, G. P., Milton, J., Brown, C. G., et al. (2008). Accurate whole human genome sequencing using reversible terminator chemistry. </w:t>
      </w:r>
      <w:r>
        <w:rPr>
          <w:rFonts w:ascii="TUOS Blake" w:eastAsiaTheme="minorEastAsia" w:hAnsi="TUOS Blake" w:cs="TUOS Blake"/>
          <w:i/>
          <w:iCs/>
        </w:rPr>
        <w:t>Nature</w:t>
      </w:r>
      <w:r>
        <w:rPr>
          <w:rFonts w:ascii="TUOS Blake" w:eastAsiaTheme="minorEastAsia" w:hAnsi="TUOS Blake" w:cs="TUOS Blake"/>
        </w:rPr>
        <w:t xml:space="preserve">, </w:t>
      </w:r>
      <w:r>
        <w:rPr>
          <w:rFonts w:ascii="TUOS Blake" w:eastAsiaTheme="minorEastAsia" w:hAnsi="TUOS Blake" w:cs="TUOS Blake"/>
          <w:i/>
          <w:iCs/>
        </w:rPr>
        <w:t>456</w:t>
      </w:r>
      <w:r>
        <w:rPr>
          <w:rFonts w:ascii="TUOS Blake" w:eastAsiaTheme="minorEastAsia" w:hAnsi="TUOS Blake" w:cs="TUOS Blake"/>
        </w:rPr>
        <w:t xml:space="preserve">(7218), 53–59. </w:t>
      </w:r>
      <w:hyperlink r:id="rId46" w:history="1">
        <w:r w:rsidR="005F360A" w:rsidRPr="000D4288">
          <w:rPr>
            <w:rStyle w:val="Hyperlink"/>
            <w:rFonts w:ascii="TUOS Blake" w:eastAsiaTheme="minorEastAsia" w:hAnsi="TUOS Blake" w:cs="TUOS Blake"/>
          </w:rPr>
          <w:t>http://doi.org/10.1038/nature07517</w:t>
        </w:r>
      </w:hyperlink>
    </w:p>
    <w:p w14:paraId="59013412" w14:textId="77777777" w:rsidR="005F360A" w:rsidRDefault="005F360A"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238706F0" w14:textId="43EB6B26"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Bertero</w:t>
      </w:r>
      <w:proofErr w:type="spellEnd"/>
      <w:r>
        <w:rPr>
          <w:rFonts w:ascii="TUOS Blake" w:eastAsiaTheme="minorEastAsia" w:hAnsi="TUOS Blake" w:cs="TUOS Blake"/>
        </w:rPr>
        <w:t xml:space="preserve">, T., </w:t>
      </w:r>
      <w:proofErr w:type="spellStart"/>
      <w:r>
        <w:rPr>
          <w:rFonts w:ascii="TUOS Blake" w:eastAsiaTheme="minorEastAsia" w:hAnsi="TUOS Blake" w:cs="TUOS Blake"/>
        </w:rPr>
        <w:t>Cottrill</w:t>
      </w:r>
      <w:proofErr w:type="spellEnd"/>
      <w:r>
        <w:rPr>
          <w:rFonts w:ascii="TUOS Blake" w:eastAsiaTheme="minorEastAsia" w:hAnsi="TUOS Blake" w:cs="TUOS Blake"/>
        </w:rPr>
        <w:t xml:space="preserve">, K., </w:t>
      </w:r>
      <w:proofErr w:type="spellStart"/>
      <w:r>
        <w:rPr>
          <w:rFonts w:ascii="TUOS Blake" w:eastAsiaTheme="minorEastAsia" w:hAnsi="TUOS Blake" w:cs="TUOS Blake"/>
        </w:rPr>
        <w:t>Krauszman</w:t>
      </w:r>
      <w:proofErr w:type="spellEnd"/>
      <w:r>
        <w:rPr>
          <w:rFonts w:ascii="TUOS Blake" w:eastAsiaTheme="minorEastAsia" w:hAnsi="TUOS Blake" w:cs="TUOS Blake"/>
        </w:rPr>
        <w:t xml:space="preserve">, A., Lu, Y., </w:t>
      </w:r>
      <w:proofErr w:type="spellStart"/>
      <w:r>
        <w:rPr>
          <w:rFonts w:ascii="TUOS Blake" w:eastAsiaTheme="minorEastAsia" w:hAnsi="TUOS Blake" w:cs="TUOS Blake"/>
        </w:rPr>
        <w:t>Annis</w:t>
      </w:r>
      <w:proofErr w:type="spellEnd"/>
      <w:r>
        <w:rPr>
          <w:rFonts w:ascii="TUOS Blake" w:eastAsiaTheme="minorEastAsia" w:hAnsi="TUOS Blake" w:cs="TUOS Blake"/>
        </w:rPr>
        <w:t xml:space="preserve">, S., Hale, A., et al. (2015). The MicroRNA-130/301 Family Controls Vasoconstriction in Pulmonary Hypertension. </w:t>
      </w:r>
      <w:r>
        <w:rPr>
          <w:rFonts w:ascii="TUOS Blake" w:eastAsiaTheme="minorEastAsia" w:hAnsi="TUOS Blake" w:cs="TUOS Blake"/>
          <w:i/>
          <w:iCs/>
        </w:rPr>
        <w:lastRenderedPageBreak/>
        <w:t>Journal of Biological Chemistry</w:t>
      </w:r>
      <w:r>
        <w:rPr>
          <w:rFonts w:ascii="TUOS Blake" w:eastAsiaTheme="minorEastAsia" w:hAnsi="TUOS Blake" w:cs="TUOS Blake"/>
        </w:rPr>
        <w:t xml:space="preserve">, </w:t>
      </w:r>
      <w:r>
        <w:rPr>
          <w:rFonts w:ascii="TUOS Blake" w:eastAsiaTheme="minorEastAsia" w:hAnsi="TUOS Blake" w:cs="TUOS Blake"/>
          <w:i/>
          <w:iCs/>
        </w:rPr>
        <w:t>290</w:t>
      </w:r>
      <w:r>
        <w:rPr>
          <w:rFonts w:ascii="TUOS Blake" w:eastAsiaTheme="minorEastAsia" w:hAnsi="TUOS Blake" w:cs="TUOS Blake"/>
        </w:rPr>
        <w:t xml:space="preserve">(4), 2069–2085. </w:t>
      </w:r>
      <w:hyperlink r:id="rId47" w:history="1">
        <w:r w:rsidR="005F360A" w:rsidRPr="000D4288">
          <w:rPr>
            <w:rStyle w:val="Hyperlink"/>
            <w:rFonts w:ascii="TUOS Blake" w:eastAsiaTheme="minorEastAsia" w:hAnsi="TUOS Blake" w:cs="TUOS Blake"/>
          </w:rPr>
          <w:t>http://doi.org/10.1074/jbc.M114.617845</w:t>
        </w:r>
      </w:hyperlink>
    </w:p>
    <w:p w14:paraId="7621B62B" w14:textId="77777777" w:rsidR="005F360A" w:rsidRDefault="005F360A"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E21F657" w14:textId="0227B9C0"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Bhattacharyya, S., </w:t>
      </w:r>
      <w:proofErr w:type="spellStart"/>
      <w:r>
        <w:rPr>
          <w:rFonts w:ascii="TUOS Blake" w:eastAsiaTheme="minorEastAsia" w:hAnsi="TUOS Blake" w:cs="TUOS Blake"/>
        </w:rPr>
        <w:t>Balakathiresan</w:t>
      </w:r>
      <w:proofErr w:type="spellEnd"/>
      <w:r>
        <w:rPr>
          <w:rFonts w:ascii="TUOS Blake" w:eastAsiaTheme="minorEastAsia" w:hAnsi="TUOS Blake" w:cs="TUOS Blake"/>
        </w:rPr>
        <w:t xml:space="preserve">, N. S., </w:t>
      </w:r>
      <w:proofErr w:type="spellStart"/>
      <w:r>
        <w:rPr>
          <w:rFonts w:ascii="TUOS Blake" w:eastAsiaTheme="minorEastAsia" w:hAnsi="TUOS Blake" w:cs="TUOS Blake"/>
        </w:rPr>
        <w:t>Dalgard</w:t>
      </w:r>
      <w:proofErr w:type="spellEnd"/>
      <w:r>
        <w:rPr>
          <w:rFonts w:ascii="TUOS Blake" w:eastAsiaTheme="minorEastAsia" w:hAnsi="TUOS Blake" w:cs="TUOS Blake"/>
        </w:rPr>
        <w:t xml:space="preserve">, C., </w:t>
      </w:r>
      <w:proofErr w:type="spellStart"/>
      <w:r>
        <w:rPr>
          <w:rFonts w:ascii="TUOS Blake" w:eastAsiaTheme="minorEastAsia" w:hAnsi="TUOS Blake" w:cs="TUOS Blake"/>
        </w:rPr>
        <w:t>Gutti</w:t>
      </w:r>
      <w:proofErr w:type="spellEnd"/>
      <w:r>
        <w:rPr>
          <w:rFonts w:ascii="TUOS Blake" w:eastAsiaTheme="minorEastAsia" w:hAnsi="TUOS Blake" w:cs="TUOS Blake"/>
        </w:rPr>
        <w:t xml:space="preserve">, U., Armistead, D., </w:t>
      </w:r>
      <w:proofErr w:type="spellStart"/>
      <w:r>
        <w:rPr>
          <w:rFonts w:ascii="TUOS Blake" w:eastAsiaTheme="minorEastAsia" w:hAnsi="TUOS Blake" w:cs="TUOS Blake"/>
        </w:rPr>
        <w:t>Jozwik</w:t>
      </w:r>
      <w:proofErr w:type="spellEnd"/>
      <w:r>
        <w:rPr>
          <w:rFonts w:ascii="TUOS Blake" w:eastAsiaTheme="minorEastAsia" w:hAnsi="TUOS Blake" w:cs="TUOS Blake"/>
        </w:rPr>
        <w:t xml:space="preserve">, C., et al. (2011). Elevated miR-155 promotes inflammation in cystic fibrosis by driving hyperexpression of interleukin-8. </w:t>
      </w:r>
      <w:r>
        <w:rPr>
          <w:rFonts w:ascii="TUOS Blake" w:eastAsiaTheme="minorEastAsia" w:hAnsi="TUOS Blake" w:cs="TUOS Blake"/>
          <w:i/>
          <w:iCs/>
        </w:rPr>
        <w:t>Journal of Biological Chemistry</w:t>
      </w:r>
      <w:r>
        <w:rPr>
          <w:rFonts w:ascii="TUOS Blake" w:eastAsiaTheme="minorEastAsia" w:hAnsi="TUOS Blake" w:cs="TUOS Blake"/>
        </w:rPr>
        <w:t xml:space="preserve">, </w:t>
      </w:r>
      <w:r>
        <w:rPr>
          <w:rFonts w:ascii="TUOS Blake" w:eastAsiaTheme="minorEastAsia" w:hAnsi="TUOS Blake" w:cs="TUOS Blake"/>
          <w:i/>
          <w:iCs/>
        </w:rPr>
        <w:t>286</w:t>
      </w:r>
      <w:r>
        <w:rPr>
          <w:rFonts w:ascii="TUOS Blake" w:eastAsiaTheme="minorEastAsia" w:hAnsi="TUOS Blake" w:cs="TUOS Blake"/>
        </w:rPr>
        <w:t xml:space="preserve">(13), 11604–11615. </w:t>
      </w:r>
      <w:hyperlink r:id="rId48" w:history="1">
        <w:r w:rsidR="005F360A" w:rsidRPr="000D4288">
          <w:rPr>
            <w:rStyle w:val="Hyperlink"/>
            <w:rFonts w:ascii="TUOS Blake" w:eastAsiaTheme="minorEastAsia" w:hAnsi="TUOS Blake" w:cs="TUOS Blake"/>
          </w:rPr>
          <w:t>http://doi.org/10.1074/jbc.M110.198390</w:t>
        </w:r>
      </w:hyperlink>
    </w:p>
    <w:p w14:paraId="2942E324" w14:textId="77777777" w:rsidR="005F360A" w:rsidRDefault="005F360A"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7F41037" w14:textId="71BECB13"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Billings, C. G., </w:t>
      </w:r>
      <w:proofErr w:type="spellStart"/>
      <w:r>
        <w:rPr>
          <w:rFonts w:ascii="TUOS Blake" w:eastAsiaTheme="minorEastAsia" w:hAnsi="TUOS Blake" w:cs="TUOS Blake"/>
        </w:rPr>
        <w:t>Hurdman</w:t>
      </w:r>
      <w:proofErr w:type="spellEnd"/>
      <w:r>
        <w:rPr>
          <w:rFonts w:ascii="TUOS Blake" w:eastAsiaTheme="minorEastAsia" w:hAnsi="TUOS Blake" w:cs="TUOS Blake"/>
        </w:rPr>
        <w:t xml:space="preserve">, J. A., </w:t>
      </w:r>
      <w:proofErr w:type="spellStart"/>
      <w:r>
        <w:rPr>
          <w:rFonts w:ascii="TUOS Blake" w:eastAsiaTheme="minorEastAsia" w:hAnsi="TUOS Blake" w:cs="TUOS Blake"/>
        </w:rPr>
        <w:t>Condliffe</w:t>
      </w:r>
      <w:proofErr w:type="spellEnd"/>
      <w:r>
        <w:rPr>
          <w:rFonts w:ascii="TUOS Blake" w:eastAsiaTheme="minorEastAsia" w:hAnsi="TUOS Blake" w:cs="TUOS Blake"/>
        </w:rPr>
        <w:t xml:space="preserve">, R., Elliot, C. A., Smith, I. A., Austin, M., et al. (2017). Incremental </w:t>
      </w:r>
      <w:proofErr w:type="gramStart"/>
      <w:r>
        <w:rPr>
          <w:rFonts w:ascii="TUOS Blake" w:eastAsiaTheme="minorEastAsia" w:hAnsi="TUOS Blake" w:cs="TUOS Blake"/>
        </w:rPr>
        <w:t>shuttle</w:t>
      </w:r>
      <w:proofErr w:type="gramEnd"/>
      <w:r>
        <w:rPr>
          <w:rFonts w:ascii="TUOS Blake" w:eastAsiaTheme="minorEastAsia" w:hAnsi="TUOS Blake" w:cs="TUOS Blake"/>
        </w:rPr>
        <w:t xml:space="preserve"> walk test distance and autonomic dysfunction predict survival in pulmonary arterial hypertension. </w:t>
      </w:r>
      <w:r>
        <w:rPr>
          <w:rFonts w:ascii="TUOS Blake" w:eastAsiaTheme="minorEastAsia" w:hAnsi="TUOS Blake" w:cs="TUOS Blake"/>
          <w:i/>
          <w:iCs/>
        </w:rPr>
        <w:t>The Journal of Heart and Lung Transplantation</w:t>
      </w:r>
      <w:r>
        <w:rPr>
          <w:rFonts w:ascii="TUOS Blake" w:eastAsiaTheme="minorEastAsia" w:hAnsi="TUOS Blake" w:cs="TUOS Blake"/>
        </w:rPr>
        <w:t xml:space="preserve">, </w:t>
      </w:r>
      <w:r>
        <w:rPr>
          <w:rFonts w:ascii="TUOS Blake" w:eastAsiaTheme="minorEastAsia" w:hAnsi="TUOS Blake" w:cs="TUOS Blake"/>
          <w:i/>
          <w:iCs/>
        </w:rPr>
        <w:t>36</w:t>
      </w:r>
      <w:r>
        <w:rPr>
          <w:rFonts w:ascii="TUOS Blake" w:eastAsiaTheme="minorEastAsia" w:hAnsi="TUOS Blake" w:cs="TUOS Blake"/>
        </w:rPr>
        <w:t xml:space="preserve">(8), 871–879. </w:t>
      </w:r>
      <w:hyperlink r:id="rId49" w:history="1">
        <w:r w:rsidR="005F360A" w:rsidRPr="000D4288">
          <w:rPr>
            <w:rStyle w:val="Hyperlink"/>
            <w:rFonts w:ascii="TUOS Blake" w:eastAsiaTheme="minorEastAsia" w:hAnsi="TUOS Blake" w:cs="TUOS Blake"/>
          </w:rPr>
          <w:t>http://doi.org/10.1016/j.healun.2017.04.008</w:t>
        </w:r>
      </w:hyperlink>
    </w:p>
    <w:p w14:paraId="2C96FC1C" w14:textId="77777777" w:rsidR="005F360A" w:rsidRDefault="005F360A"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791EF90D" w14:textId="36567642"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Breiman</w:t>
      </w:r>
      <w:proofErr w:type="spellEnd"/>
      <w:r>
        <w:rPr>
          <w:rFonts w:ascii="TUOS Blake" w:eastAsiaTheme="minorEastAsia" w:hAnsi="TUOS Blake" w:cs="TUOS Blake"/>
        </w:rPr>
        <w:t xml:space="preserve">, L. (2001). Random Forests. </w:t>
      </w:r>
      <w:r>
        <w:rPr>
          <w:rFonts w:ascii="TUOS Blake" w:eastAsiaTheme="minorEastAsia" w:hAnsi="TUOS Blake" w:cs="TUOS Blake"/>
          <w:i/>
          <w:iCs/>
        </w:rPr>
        <w:t>Machine Learning</w:t>
      </w:r>
      <w:r>
        <w:rPr>
          <w:rFonts w:ascii="TUOS Blake" w:eastAsiaTheme="minorEastAsia" w:hAnsi="TUOS Blake" w:cs="TUOS Blake"/>
        </w:rPr>
        <w:t xml:space="preserve">, </w:t>
      </w:r>
      <w:r>
        <w:rPr>
          <w:rFonts w:ascii="TUOS Blake" w:eastAsiaTheme="minorEastAsia" w:hAnsi="TUOS Blake" w:cs="TUOS Blake"/>
          <w:i/>
          <w:iCs/>
        </w:rPr>
        <w:t>45</w:t>
      </w:r>
      <w:r>
        <w:rPr>
          <w:rFonts w:ascii="TUOS Blake" w:eastAsiaTheme="minorEastAsia" w:hAnsi="TUOS Blake" w:cs="TUOS Blake"/>
        </w:rPr>
        <w:t xml:space="preserve">(1), 5–32. </w:t>
      </w:r>
      <w:hyperlink r:id="rId50" w:history="1">
        <w:r w:rsidR="005F360A" w:rsidRPr="000D4288">
          <w:rPr>
            <w:rStyle w:val="Hyperlink"/>
            <w:rFonts w:ascii="TUOS Blake" w:eastAsiaTheme="minorEastAsia" w:hAnsi="TUOS Blake" w:cs="TUOS Blake"/>
          </w:rPr>
          <w:t>http://doi.org/10.1023/A:1010933404324</w:t>
        </w:r>
      </w:hyperlink>
    </w:p>
    <w:p w14:paraId="6ABAA9DC" w14:textId="77777777" w:rsidR="005F360A" w:rsidRDefault="005F360A"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4455738" w14:textId="2E039094"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Breiman</w:t>
      </w:r>
      <w:proofErr w:type="spellEnd"/>
      <w:r>
        <w:rPr>
          <w:rFonts w:ascii="TUOS Blake" w:eastAsiaTheme="minorEastAsia" w:hAnsi="TUOS Blake" w:cs="TUOS Blake"/>
        </w:rPr>
        <w:t xml:space="preserve">, L., Friedman, J. H., </w:t>
      </w:r>
      <w:proofErr w:type="spellStart"/>
      <w:r>
        <w:rPr>
          <w:rFonts w:ascii="TUOS Blake" w:eastAsiaTheme="minorEastAsia" w:hAnsi="TUOS Blake" w:cs="TUOS Blake"/>
        </w:rPr>
        <w:t>Olshen</w:t>
      </w:r>
      <w:proofErr w:type="spellEnd"/>
      <w:r>
        <w:rPr>
          <w:rFonts w:ascii="TUOS Blake" w:eastAsiaTheme="minorEastAsia" w:hAnsi="TUOS Blake" w:cs="TUOS Blake"/>
        </w:rPr>
        <w:t xml:space="preserve">, R. A., &amp; Stone, C. J. (1984). Classification and Regression Trees, Belmont, California: Wadsworth. </w:t>
      </w:r>
      <w:r>
        <w:rPr>
          <w:rFonts w:ascii="TUOS Blake" w:eastAsiaTheme="minorEastAsia" w:hAnsi="TUOS Blake" w:cs="TUOS Blake"/>
          <w:i/>
          <w:iCs/>
        </w:rPr>
        <w:t>Biometrics</w:t>
      </w:r>
      <w:r>
        <w:rPr>
          <w:rFonts w:ascii="TUOS Blake" w:eastAsiaTheme="minorEastAsia" w:hAnsi="TUOS Blake" w:cs="TUOS Blake"/>
        </w:rPr>
        <w:t>.</w:t>
      </w:r>
    </w:p>
    <w:p w14:paraId="59CE45FF" w14:textId="77777777" w:rsidR="005F360A" w:rsidRDefault="005F360A"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632FBD9B" w14:textId="560485F6"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Brunet-Vega, A., </w:t>
      </w:r>
      <w:proofErr w:type="spellStart"/>
      <w:r>
        <w:rPr>
          <w:rFonts w:ascii="TUOS Blake" w:eastAsiaTheme="minorEastAsia" w:hAnsi="TUOS Blake" w:cs="TUOS Blake"/>
        </w:rPr>
        <w:t>Pericay</w:t>
      </w:r>
      <w:proofErr w:type="spellEnd"/>
      <w:r>
        <w:rPr>
          <w:rFonts w:ascii="TUOS Blake" w:eastAsiaTheme="minorEastAsia" w:hAnsi="TUOS Blake" w:cs="TUOS Blake"/>
        </w:rPr>
        <w:t xml:space="preserve">, C., </w:t>
      </w:r>
      <w:proofErr w:type="spellStart"/>
      <w:r>
        <w:rPr>
          <w:rFonts w:ascii="TUOS Blake" w:eastAsiaTheme="minorEastAsia" w:hAnsi="TUOS Blake" w:cs="TUOS Blake"/>
        </w:rPr>
        <w:t>Quílez</w:t>
      </w:r>
      <w:proofErr w:type="spellEnd"/>
      <w:r>
        <w:rPr>
          <w:rFonts w:ascii="TUOS Blake" w:eastAsiaTheme="minorEastAsia" w:hAnsi="TUOS Blake" w:cs="TUOS Blake"/>
        </w:rPr>
        <w:t>, M. E., Ramírez-</w:t>
      </w:r>
      <w:proofErr w:type="spellStart"/>
      <w:r>
        <w:rPr>
          <w:rFonts w:ascii="TUOS Blake" w:eastAsiaTheme="minorEastAsia" w:hAnsi="TUOS Blake" w:cs="TUOS Blake"/>
        </w:rPr>
        <w:t>Lázaro</w:t>
      </w:r>
      <w:proofErr w:type="spellEnd"/>
      <w:r>
        <w:rPr>
          <w:rFonts w:ascii="TUOS Blake" w:eastAsiaTheme="minorEastAsia" w:hAnsi="TUOS Blake" w:cs="TUOS Blake"/>
        </w:rPr>
        <w:t xml:space="preserve">, M. J., </w:t>
      </w:r>
      <w:proofErr w:type="spellStart"/>
      <w:r>
        <w:rPr>
          <w:rFonts w:ascii="TUOS Blake" w:eastAsiaTheme="minorEastAsia" w:hAnsi="TUOS Blake" w:cs="TUOS Blake"/>
        </w:rPr>
        <w:t>Calvet</w:t>
      </w:r>
      <w:proofErr w:type="spellEnd"/>
      <w:r>
        <w:rPr>
          <w:rFonts w:ascii="TUOS Blake" w:eastAsiaTheme="minorEastAsia" w:hAnsi="TUOS Blake" w:cs="TUOS Blake"/>
        </w:rPr>
        <w:t xml:space="preserve">, X., &amp; Lario, S. (2015). Variability in microRNA recovery from plasma: Comparison of five commercial kits. </w:t>
      </w:r>
      <w:r>
        <w:rPr>
          <w:rFonts w:ascii="TUOS Blake" w:eastAsiaTheme="minorEastAsia" w:hAnsi="TUOS Blake" w:cs="TUOS Blake"/>
          <w:i/>
          <w:iCs/>
        </w:rPr>
        <w:t>Analytical Biochemistry</w:t>
      </w:r>
      <w:r>
        <w:rPr>
          <w:rFonts w:ascii="TUOS Blake" w:eastAsiaTheme="minorEastAsia" w:hAnsi="TUOS Blake" w:cs="TUOS Blake"/>
        </w:rPr>
        <w:t xml:space="preserve">, </w:t>
      </w:r>
      <w:r>
        <w:rPr>
          <w:rFonts w:ascii="TUOS Blake" w:eastAsiaTheme="minorEastAsia" w:hAnsi="TUOS Blake" w:cs="TUOS Blake"/>
          <w:i/>
          <w:iCs/>
        </w:rPr>
        <w:t>488</w:t>
      </w:r>
      <w:r>
        <w:rPr>
          <w:rFonts w:ascii="TUOS Blake" w:eastAsiaTheme="minorEastAsia" w:hAnsi="TUOS Blake" w:cs="TUOS Blake"/>
        </w:rPr>
        <w:t xml:space="preserve">(C), 28–35. </w:t>
      </w:r>
      <w:hyperlink r:id="rId51" w:history="1">
        <w:r w:rsidR="005F360A" w:rsidRPr="000D4288">
          <w:rPr>
            <w:rStyle w:val="Hyperlink"/>
            <w:rFonts w:ascii="TUOS Blake" w:eastAsiaTheme="minorEastAsia" w:hAnsi="TUOS Blake" w:cs="TUOS Blake"/>
          </w:rPr>
          <w:t>http://doi.org/10.1016/j.ab.2015.07.018</w:t>
        </w:r>
      </w:hyperlink>
    </w:p>
    <w:p w14:paraId="58869044" w14:textId="77777777" w:rsidR="005F360A" w:rsidRDefault="005F360A"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989E157" w14:textId="4AEF8C51"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Budas</w:t>
      </w:r>
      <w:proofErr w:type="spellEnd"/>
      <w:r>
        <w:rPr>
          <w:rFonts w:ascii="TUOS Blake" w:eastAsiaTheme="minorEastAsia" w:hAnsi="TUOS Blake" w:cs="TUOS Blake"/>
        </w:rPr>
        <w:t xml:space="preserve">, G. R., Boehm, M., </w:t>
      </w:r>
      <w:proofErr w:type="spellStart"/>
      <w:r>
        <w:rPr>
          <w:rFonts w:ascii="TUOS Blake" w:eastAsiaTheme="minorEastAsia" w:hAnsi="TUOS Blake" w:cs="TUOS Blake"/>
        </w:rPr>
        <w:t>Kojonazarov</w:t>
      </w:r>
      <w:proofErr w:type="spellEnd"/>
      <w:r>
        <w:rPr>
          <w:rFonts w:ascii="TUOS Blake" w:eastAsiaTheme="minorEastAsia" w:hAnsi="TUOS Blake" w:cs="TUOS Blake"/>
        </w:rPr>
        <w:t xml:space="preserve">, B., Viswanathan, G., Tian, X., </w:t>
      </w:r>
      <w:proofErr w:type="spellStart"/>
      <w:r>
        <w:rPr>
          <w:rFonts w:ascii="TUOS Blake" w:eastAsiaTheme="minorEastAsia" w:hAnsi="TUOS Blake" w:cs="TUOS Blake"/>
        </w:rPr>
        <w:t>Veeroju</w:t>
      </w:r>
      <w:proofErr w:type="spellEnd"/>
      <w:r>
        <w:rPr>
          <w:rFonts w:ascii="TUOS Blake" w:eastAsiaTheme="minorEastAsia" w:hAnsi="TUOS Blake" w:cs="TUOS Blake"/>
        </w:rPr>
        <w:t xml:space="preserve">, S., et al. (2018). ASK1 Inhibition Halts Disease Progression in Preclinical Models of Pulmonary Arterial Hypertension. </w:t>
      </w:r>
      <w:r>
        <w:rPr>
          <w:rFonts w:ascii="TUOS Blake" w:eastAsiaTheme="minorEastAsia" w:hAnsi="TUOS Blake" w:cs="TUOS Blake"/>
          <w:i/>
          <w:iCs/>
        </w:rPr>
        <w:t>American Journal of Respiratory and Critical Care Medicine</w:t>
      </w:r>
      <w:r>
        <w:rPr>
          <w:rFonts w:ascii="TUOS Blake" w:eastAsiaTheme="minorEastAsia" w:hAnsi="TUOS Blake" w:cs="TUOS Blake"/>
        </w:rPr>
        <w:t xml:space="preserve">, </w:t>
      </w:r>
      <w:r>
        <w:rPr>
          <w:rFonts w:ascii="TUOS Blake" w:eastAsiaTheme="minorEastAsia" w:hAnsi="TUOS Blake" w:cs="TUOS Blake"/>
          <w:i/>
          <w:iCs/>
        </w:rPr>
        <w:t>197</w:t>
      </w:r>
      <w:r>
        <w:rPr>
          <w:rFonts w:ascii="TUOS Blake" w:eastAsiaTheme="minorEastAsia" w:hAnsi="TUOS Blake" w:cs="TUOS Blake"/>
        </w:rPr>
        <w:t xml:space="preserve">(3), 373–385. </w:t>
      </w:r>
      <w:hyperlink r:id="rId52" w:history="1">
        <w:r w:rsidR="00612721" w:rsidRPr="000D4288">
          <w:rPr>
            <w:rStyle w:val="Hyperlink"/>
            <w:rFonts w:ascii="TUOS Blake" w:eastAsiaTheme="minorEastAsia" w:hAnsi="TUOS Blake" w:cs="TUOS Blake"/>
          </w:rPr>
          <w:t>http://doi.org/10.1164/rccm.201703-0502OC</w:t>
        </w:r>
      </w:hyperlink>
    </w:p>
    <w:p w14:paraId="5C0404CA"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79968E02" w14:textId="3FFDDA2A"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Callari</w:t>
      </w:r>
      <w:proofErr w:type="spellEnd"/>
      <w:r>
        <w:rPr>
          <w:rFonts w:ascii="TUOS Blake" w:eastAsiaTheme="minorEastAsia" w:hAnsi="TUOS Blake" w:cs="TUOS Blake"/>
        </w:rPr>
        <w:t xml:space="preserve">, M., </w:t>
      </w:r>
      <w:proofErr w:type="spellStart"/>
      <w:r>
        <w:rPr>
          <w:rFonts w:ascii="TUOS Blake" w:eastAsiaTheme="minorEastAsia" w:hAnsi="TUOS Blake" w:cs="TUOS Blake"/>
        </w:rPr>
        <w:t>Tiberio</w:t>
      </w:r>
      <w:proofErr w:type="spellEnd"/>
      <w:r>
        <w:rPr>
          <w:rFonts w:ascii="TUOS Blake" w:eastAsiaTheme="minorEastAsia" w:hAnsi="TUOS Blake" w:cs="TUOS Blake"/>
        </w:rPr>
        <w:t xml:space="preserve">, P., De </w:t>
      </w:r>
      <w:proofErr w:type="spellStart"/>
      <w:r>
        <w:rPr>
          <w:rFonts w:ascii="TUOS Blake" w:eastAsiaTheme="minorEastAsia" w:hAnsi="TUOS Blake" w:cs="TUOS Blake"/>
        </w:rPr>
        <w:t>Cecco</w:t>
      </w:r>
      <w:proofErr w:type="spellEnd"/>
      <w:r>
        <w:rPr>
          <w:rFonts w:ascii="TUOS Blake" w:eastAsiaTheme="minorEastAsia" w:hAnsi="TUOS Blake" w:cs="TUOS Blake"/>
        </w:rPr>
        <w:t xml:space="preserve">, L., Cavadini, E., </w:t>
      </w:r>
      <w:proofErr w:type="spellStart"/>
      <w:r>
        <w:rPr>
          <w:rFonts w:ascii="TUOS Blake" w:eastAsiaTheme="minorEastAsia" w:hAnsi="TUOS Blake" w:cs="TUOS Blake"/>
        </w:rPr>
        <w:t>Dugo</w:t>
      </w:r>
      <w:proofErr w:type="spellEnd"/>
      <w:r>
        <w:rPr>
          <w:rFonts w:ascii="TUOS Blake" w:eastAsiaTheme="minorEastAsia" w:hAnsi="TUOS Blake" w:cs="TUOS Blake"/>
        </w:rPr>
        <w:t xml:space="preserve">, M., </w:t>
      </w:r>
      <w:proofErr w:type="spellStart"/>
      <w:r>
        <w:rPr>
          <w:rFonts w:ascii="TUOS Blake" w:eastAsiaTheme="minorEastAsia" w:hAnsi="TUOS Blake" w:cs="TUOS Blake"/>
        </w:rPr>
        <w:t>Ghimenti</w:t>
      </w:r>
      <w:proofErr w:type="spellEnd"/>
      <w:r>
        <w:rPr>
          <w:rFonts w:ascii="TUOS Blake" w:eastAsiaTheme="minorEastAsia" w:hAnsi="TUOS Blake" w:cs="TUOS Blake"/>
        </w:rPr>
        <w:t xml:space="preserve">, C., et al. (2013). Feasibility of circulating miRNA microarray analysis from archival plasma samples. </w:t>
      </w:r>
      <w:r>
        <w:rPr>
          <w:rFonts w:ascii="TUOS Blake" w:eastAsiaTheme="minorEastAsia" w:hAnsi="TUOS Blake" w:cs="TUOS Blake"/>
          <w:i/>
          <w:iCs/>
        </w:rPr>
        <w:t>Analytical Biochemistry</w:t>
      </w:r>
      <w:r>
        <w:rPr>
          <w:rFonts w:ascii="TUOS Blake" w:eastAsiaTheme="minorEastAsia" w:hAnsi="TUOS Blake" w:cs="TUOS Blake"/>
        </w:rPr>
        <w:t xml:space="preserve">, </w:t>
      </w:r>
      <w:r>
        <w:rPr>
          <w:rFonts w:ascii="TUOS Blake" w:eastAsiaTheme="minorEastAsia" w:hAnsi="TUOS Blake" w:cs="TUOS Blake"/>
          <w:i/>
          <w:iCs/>
        </w:rPr>
        <w:t>437</w:t>
      </w:r>
      <w:r>
        <w:rPr>
          <w:rFonts w:ascii="TUOS Blake" w:eastAsiaTheme="minorEastAsia" w:hAnsi="TUOS Blake" w:cs="TUOS Blake"/>
        </w:rPr>
        <w:t xml:space="preserve">(2), 123–125. </w:t>
      </w:r>
      <w:hyperlink r:id="rId53" w:history="1">
        <w:r w:rsidR="00612721" w:rsidRPr="000D4288">
          <w:rPr>
            <w:rStyle w:val="Hyperlink"/>
            <w:rFonts w:ascii="TUOS Blake" w:eastAsiaTheme="minorEastAsia" w:hAnsi="TUOS Blake" w:cs="TUOS Blake"/>
          </w:rPr>
          <w:t>http://doi.org/10.1016/j.ab.2013.03.002</w:t>
        </w:r>
      </w:hyperlink>
    </w:p>
    <w:p w14:paraId="4B720B29"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1FD2E6E7" w14:textId="47635F41"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Caserta, S., Kern, F., Cohen, J., </w:t>
      </w:r>
      <w:proofErr w:type="spellStart"/>
      <w:r>
        <w:rPr>
          <w:rFonts w:ascii="TUOS Blake" w:eastAsiaTheme="minorEastAsia" w:hAnsi="TUOS Blake" w:cs="TUOS Blake"/>
        </w:rPr>
        <w:t>Drage</w:t>
      </w:r>
      <w:proofErr w:type="spellEnd"/>
      <w:r>
        <w:rPr>
          <w:rFonts w:ascii="TUOS Blake" w:eastAsiaTheme="minorEastAsia" w:hAnsi="TUOS Blake" w:cs="TUOS Blake"/>
        </w:rPr>
        <w:t xml:space="preserve">, S., Newbury, S. F., &amp; Llewelyn, M. J. (2016). Circulating Plasma microRNAs can differentiate Human Sepsis and Systemic Inflammatory Response Syndrome (SIRS). </w:t>
      </w:r>
      <w:r>
        <w:rPr>
          <w:rFonts w:ascii="TUOS Blake" w:eastAsiaTheme="minorEastAsia" w:hAnsi="TUOS Blake" w:cs="TUOS Blake"/>
          <w:i/>
          <w:iCs/>
        </w:rPr>
        <w:t>Scientific Reports</w:t>
      </w:r>
      <w:r>
        <w:rPr>
          <w:rFonts w:ascii="TUOS Blake" w:eastAsiaTheme="minorEastAsia" w:hAnsi="TUOS Blake" w:cs="TUOS Blake"/>
        </w:rPr>
        <w:t xml:space="preserve">, </w:t>
      </w:r>
      <w:r>
        <w:rPr>
          <w:rFonts w:ascii="TUOS Blake" w:eastAsiaTheme="minorEastAsia" w:hAnsi="TUOS Blake" w:cs="TUOS Blake"/>
          <w:i/>
          <w:iCs/>
        </w:rPr>
        <w:t>6</w:t>
      </w:r>
      <w:r>
        <w:rPr>
          <w:rFonts w:ascii="TUOS Blake" w:eastAsiaTheme="minorEastAsia" w:hAnsi="TUOS Blake" w:cs="TUOS Blake"/>
        </w:rPr>
        <w:t xml:space="preserve">, 28006. </w:t>
      </w:r>
      <w:hyperlink r:id="rId54" w:history="1">
        <w:r w:rsidR="00612721" w:rsidRPr="000D4288">
          <w:rPr>
            <w:rStyle w:val="Hyperlink"/>
            <w:rFonts w:ascii="TUOS Blake" w:eastAsiaTheme="minorEastAsia" w:hAnsi="TUOS Blake" w:cs="TUOS Blake"/>
          </w:rPr>
          <w:t>http://doi.org/10.1038/srep28006</w:t>
        </w:r>
      </w:hyperlink>
    </w:p>
    <w:p w14:paraId="1549BCD4"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78F0EF46" w14:textId="64295FBB"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Cheng, C., Wang, Q., You, W., Chen, M., &amp; Xia, J. (2014). MiRNAs as Biomarkers of Myocardial Infarction: A Meta-Analysis. </w:t>
      </w:r>
      <w:proofErr w:type="spellStart"/>
      <w:r>
        <w:rPr>
          <w:rFonts w:ascii="TUOS Blake" w:eastAsiaTheme="minorEastAsia" w:hAnsi="TUOS Blake" w:cs="TUOS Blake"/>
          <w:i/>
          <w:iCs/>
        </w:rPr>
        <w:t>PloS</w:t>
      </w:r>
      <w:proofErr w:type="spellEnd"/>
      <w:r>
        <w:rPr>
          <w:rFonts w:ascii="TUOS Blake" w:eastAsiaTheme="minorEastAsia" w:hAnsi="TUOS Blake" w:cs="TUOS Blake"/>
          <w:i/>
          <w:iCs/>
        </w:rPr>
        <w:t xml:space="preserve"> One</w:t>
      </w:r>
      <w:r>
        <w:rPr>
          <w:rFonts w:ascii="TUOS Blake" w:eastAsiaTheme="minorEastAsia" w:hAnsi="TUOS Blake" w:cs="TUOS Blake"/>
        </w:rPr>
        <w:t xml:space="preserve">, </w:t>
      </w:r>
      <w:r>
        <w:rPr>
          <w:rFonts w:ascii="TUOS Blake" w:eastAsiaTheme="minorEastAsia" w:hAnsi="TUOS Blake" w:cs="TUOS Blake"/>
          <w:i/>
          <w:iCs/>
        </w:rPr>
        <w:t>9</w:t>
      </w:r>
      <w:r>
        <w:rPr>
          <w:rFonts w:ascii="TUOS Blake" w:eastAsiaTheme="minorEastAsia" w:hAnsi="TUOS Blake" w:cs="TUOS Blake"/>
        </w:rPr>
        <w:t xml:space="preserve">(2), e88566. </w:t>
      </w:r>
      <w:hyperlink r:id="rId55" w:history="1">
        <w:r w:rsidR="00612721" w:rsidRPr="000D4288">
          <w:rPr>
            <w:rStyle w:val="Hyperlink"/>
            <w:rFonts w:ascii="TUOS Blake" w:eastAsiaTheme="minorEastAsia" w:hAnsi="TUOS Blake" w:cs="TUOS Blake"/>
          </w:rPr>
          <w:t>http://doi.org/10.1371/journal.pone.0088566</w:t>
        </w:r>
      </w:hyperlink>
    </w:p>
    <w:p w14:paraId="19DCAF2F"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E185BF2" w14:textId="65BCC966"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Chester, A. H., Yacoub, M. H., &amp; Moncada, S. (2017). Nitric oxide and pulmonary arterial hypertension. </w:t>
      </w:r>
      <w:r>
        <w:rPr>
          <w:rFonts w:ascii="TUOS Blake" w:eastAsiaTheme="minorEastAsia" w:hAnsi="TUOS Blake" w:cs="TUOS Blake"/>
          <w:i/>
          <w:iCs/>
        </w:rPr>
        <w:t>Global Cardiology Science &amp; Practice</w:t>
      </w:r>
      <w:r>
        <w:rPr>
          <w:rFonts w:ascii="TUOS Blake" w:eastAsiaTheme="minorEastAsia" w:hAnsi="TUOS Blake" w:cs="TUOS Blake"/>
        </w:rPr>
        <w:t xml:space="preserve">, </w:t>
      </w:r>
      <w:r>
        <w:rPr>
          <w:rFonts w:ascii="TUOS Blake" w:eastAsiaTheme="minorEastAsia" w:hAnsi="TUOS Blake" w:cs="TUOS Blake"/>
          <w:i/>
          <w:iCs/>
        </w:rPr>
        <w:t>2017</w:t>
      </w:r>
      <w:r>
        <w:rPr>
          <w:rFonts w:ascii="TUOS Blake" w:eastAsiaTheme="minorEastAsia" w:hAnsi="TUOS Blake" w:cs="TUOS Blake"/>
        </w:rPr>
        <w:t xml:space="preserve">(2), 14. </w:t>
      </w:r>
      <w:hyperlink r:id="rId56" w:history="1">
        <w:r w:rsidR="00612721" w:rsidRPr="000D4288">
          <w:rPr>
            <w:rStyle w:val="Hyperlink"/>
            <w:rFonts w:ascii="TUOS Blake" w:eastAsiaTheme="minorEastAsia" w:hAnsi="TUOS Blake" w:cs="TUOS Blake"/>
          </w:rPr>
          <w:t>http://doi.org/10.21542/gcsp.2017.14</w:t>
        </w:r>
      </w:hyperlink>
    </w:p>
    <w:p w14:paraId="1C48C5C2"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178C3526" w14:textId="1EC921A9"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Chun, H. J., Bonnet, S., &amp; Chan, S. Y. (2017). Translational Advances in the Field of Pulmonary Hypertension. Translating MicroRNA Biology in Pulmonary </w:t>
      </w:r>
      <w:r>
        <w:rPr>
          <w:rFonts w:ascii="TUOS Blake" w:eastAsiaTheme="minorEastAsia" w:hAnsi="TUOS Blake" w:cs="TUOS Blake"/>
        </w:rPr>
        <w:lastRenderedPageBreak/>
        <w:t>Hypertension. It Will Take More Than “</w:t>
      </w:r>
      <w:proofErr w:type="spellStart"/>
      <w:r>
        <w:rPr>
          <w:rFonts w:ascii="TUOS Blake" w:eastAsiaTheme="minorEastAsia" w:hAnsi="TUOS Blake" w:cs="TUOS Blake"/>
        </w:rPr>
        <w:t>miR</w:t>
      </w:r>
      <w:proofErr w:type="spellEnd"/>
      <w:r>
        <w:rPr>
          <w:rFonts w:ascii="TUOS Blake" w:eastAsiaTheme="minorEastAsia" w:hAnsi="TUOS Blake" w:cs="TUOS Blake"/>
        </w:rPr>
        <w:t xml:space="preserve">” Words. </w:t>
      </w:r>
      <w:r>
        <w:rPr>
          <w:rFonts w:ascii="TUOS Blake" w:eastAsiaTheme="minorEastAsia" w:hAnsi="TUOS Blake" w:cs="TUOS Blake"/>
          <w:i/>
          <w:iCs/>
        </w:rPr>
        <w:t>American Journal of Respiratory and Critical Care Medicine</w:t>
      </w:r>
      <w:r>
        <w:rPr>
          <w:rFonts w:ascii="TUOS Blake" w:eastAsiaTheme="minorEastAsia" w:hAnsi="TUOS Blake" w:cs="TUOS Blake"/>
        </w:rPr>
        <w:t xml:space="preserve">, </w:t>
      </w:r>
      <w:r>
        <w:rPr>
          <w:rFonts w:ascii="TUOS Blake" w:eastAsiaTheme="minorEastAsia" w:hAnsi="TUOS Blake" w:cs="TUOS Blake"/>
          <w:i/>
          <w:iCs/>
        </w:rPr>
        <w:t>195</w:t>
      </w:r>
      <w:r>
        <w:rPr>
          <w:rFonts w:ascii="TUOS Blake" w:eastAsiaTheme="minorEastAsia" w:hAnsi="TUOS Blake" w:cs="TUOS Blake"/>
        </w:rPr>
        <w:t xml:space="preserve">(2), 167–178. </w:t>
      </w:r>
      <w:hyperlink r:id="rId57" w:history="1">
        <w:r w:rsidR="00612721" w:rsidRPr="000D4288">
          <w:rPr>
            <w:rStyle w:val="Hyperlink"/>
            <w:rFonts w:ascii="TUOS Blake" w:eastAsiaTheme="minorEastAsia" w:hAnsi="TUOS Blake" w:cs="TUOS Blake"/>
          </w:rPr>
          <w:t>http://doi.org/10.1164/rccm.201604-0886PP</w:t>
        </w:r>
      </w:hyperlink>
    </w:p>
    <w:p w14:paraId="5E569CB8"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78DFAB4C" w14:textId="04026BAB"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Coghlan, J. G., Denton, C. P., </w:t>
      </w:r>
      <w:proofErr w:type="spellStart"/>
      <w:r>
        <w:rPr>
          <w:rFonts w:ascii="TUOS Blake" w:eastAsiaTheme="minorEastAsia" w:hAnsi="TUOS Blake" w:cs="TUOS Blake"/>
        </w:rPr>
        <w:t>Grünig</w:t>
      </w:r>
      <w:proofErr w:type="spellEnd"/>
      <w:r>
        <w:rPr>
          <w:rFonts w:ascii="TUOS Blake" w:eastAsiaTheme="minorEastAsia" w:hAnsi="TUOS Blake" w:cs="TUOS Blake"/>
        </w:rPr>
        <w:t xml:space="preserve">, E., Bonderman, D., Distler, O., Khanna, D., et al. (2014). 23687283. </w:t>
      </w:r>
      <w:r>
        <w:rPr>
          <w:rFonts w:ascii="TUOS Blake" w:eastAsiaTheme="minorEastAsia" w:hAnsi="TUOS Blake" w:cs="TUOS Blake"/>
          <w:i/>
          <w:iCs/>
        </w:rPr>
        <w:t>Annals of the Rheumatic Diseases</w:t>
      </w:r>
      <w:r>
        <w:rPr>
          <w:rFonts w:ascii="TUOS Blake" w:eastAsiaTheme="minorEastAsia" w:hAnsi="TUOS Blake" w:cs="TUOS Blake"/>
        </w:rPr>
        <w:t xml:space="preserve">, </w:t>
      </w:r>
      <w:r>
        <w:rPr>
          <w:rFonts w:ascii="TUOS Blake" w:eastAsiaTheme="minorEastAsia" w:hAnsi="TUOS Blake" w:cs="TUOS Blake"/>
          <w:i/>
          <w:iCs/>
        </w:rPr>
        <w:t>73</w:t>
      </w:r>
      <w:r>
        <w:rPr>
          <w:rFonts w:ascii="TUOS Blake" w:eastAsiaTheme="minorEastAsia" w:hAnsi="TUOS Blake" w:cs="TUOS Blake"/>
        </w:rPr>
        <w:t xml:space="preserve">(7), 1340–1349. </w:t>
      </w:r>
      <w:hyperlink r:id="rId58" w:history="1">
        <w:r w:rsidR="00612721" w:rsidRPr="000D4288">
          <w:rPr>
            <w:rStyle w:val="Hyperlink"/>
            <w:rFonts w:ascii="TUOS Blake" w:eastAsiaTheme="minorEastAsia" w:hAnsi="TUOS Blake" w:cs="TUOS Blake"/>
          </w:rPr>
          <w:t>http://doi.org/10.1136/annrheumdis-2013-203301</w:t>
        </w:r>
      </w:hyperlink>
    </w:p>
    <w:p w14:paraId="64EDF666"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7BB812A" w14:textId="202EC5DA"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Cooper, S., &amp; </w:t>
      </w:r>
      <w:proofErr w:type="spellStart"/>
      <w:r>
        <w:rPr>
          <w:rFonts w:ascii="TUOS Blake" w:eastAsiaTheme="minorEastAsia" w:hAnsi="TUOS Blake" w:cs="TUOS Blake"/>
        </w:rPr>
        <w:t>Linch</w:t>
      </w:r>
      <w:proofErr w:type="spellEnd"/>
      <w:r>
        <w:rPr>
          <w:rFonts w:ascii="TUOS Blake" w:eastAsiaTheme="minorEastAsia" w:hAnsi="TUOS Blake" w:cs="TUOS Blake"/>
        </w:rPr>
        <w:t xml:space="preserve">, M. (2016). Prostate cancer. </w:t>
      </w:r>
      <w:r>
        <w:rPr>
          <w:rFonts w:ascii="TUOS Blake" w:eastAsiaTheme="minorEastAsia" w:hAnsi="TUOS Blake" w:cs="TUOS Blake"/>
          <w:i/>
          <w:iCs/>
        </w:rPr>
        <w:t>InnovAiT: Education and Inspiration for General Practice</w:t>
      </w:r>
      <w:r>
        <w:rPr>
          <w:rFonts w:ascii="TUOS Blake" w:eastAsiaTheme="minorEastAsia" w:hAnsi="TUOS Blake" w:cs="TUOS Blake"/>
        </w:rPr>
        <w:t xml:space="preserve">, </w:t>
      </w:r>
      <w:r>
        <w:rPr>
          <w:rFonts w:ascii="TUOS Blake" w:eastAsiaTheme="minorEastAsia" w:hAnsi="TUOS Blake" w:cs="TUOS Blake"/>
          <w:i/>
          <w:iCs/>
        </w:rPr>
        <w:t>9</w:t>
      </w:r>
      <w:r>
        <w:rPr>
          <w:rFonts w:ascii="TUOS Blake" w:eastAsiaTheme="minorEastAsia" w:hAnsi="TUOS Blake" w:cs="TUOS Blake"/>
        </w:rPr>
        <w:t xml:space="preserve">(5), 275–283. </w:t>
      </w:r>
      <w:hyperlink r:id="rId59" w:history="1">
        <w:r w:rsidR="00612721" w:rsidRPr="000D4288">
          <w:rPr>
            <w:rStyle w:val="Hyperlink"/>
            <w:rFonts w:ascii="TUOS Blake" w:eastAsiaTheme="minorEastAsia" w:hAnsi="TUOS Blake" w:cs="TUOS Blake"/>
          </w:rPr>
          <w:t>http://doi.org/10.1177/1755738016639070</w:t>
        </w:r>
      </w:hyperlink>
    </w:p>
    <w:p w14:paraId="6BE24DC7"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2F56FA28" w14:textId="7F75148E"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Courboulin</w:t>
      </w:r>
      <w:proofErr w:type="spellEnd"/>
      <w:r>
        <w:rPr>
          <w:rFonts w:ascii="TUOS Blake" w:eastAsiaTheme="minorEastAsia" w:hAnsi="TUOS Blake" w:cs="TUOS Blake"/>
        </w:rPr>
        <w:t xml:space="preserve">, A., Paulin, R., </w:t>
      </w:r>
      <w:proofErr w:type="spellStart"/>
      <w:r>
        <w:rPr>
          <w:rFonts w:ascii="TUOS Blake" w:eastAsiaTheme="minorEastAsia" w:hAnsi="TUOS Blake" w:cs="TUOS Blake"/>
        </w:rPr>
        <w:t>Giguere</w:t>
      </w:r>
      <w:proofErr w:type="spellEnd"/>
      <w:r>
        <w:rPr>
          <w:rFonts w:ascii="TUOS Blake" w:eastAsiaTheme="minorEastAsia" w:hAnsi="TUOS Blake" w:cs="TUOS Blake"/>
        </w:rPr>
        <w:t xml:space="preserve">, N. J., </w:t>
      </w:r>
      <w:proofErr w:type="spellStart"/>
      <w:r>
        <w:rPr>
          <w:rFonts w:ascii="TUOS Blake" w:eastAsiaTheme="minorEastAsia" w:hAnsi="TUOS Blake" w:cs="TUOS Blake"/>
        </w:rPr>
        <w:t>Saksouk</w:t>
      </w:r>
      <w:proofErr w:type="spellEnd"/>
      <w:r>
        <w:rPr>
          <w:rFonts w:ascii="TUOS Blake" w:eastAsiaTheme="minorEastAsia" w:hAnsi="TUOS Blake" w:cs="TUOS Blake"/>
        </w:rPr>
        <w:t xml:space="preserve">, N., Perreault, T., Meloche, J., et al. (2011). Role for miR-204 in human pulmonary arterial hypertension. - PubMed - NCBI. </w:t>
      </w:r>
      <w:r>
        <w:rPr>
          <w:rFonts w:ascii="TUOS Blake" w:eastAsiaTheme="minorEastAsia" w:hAnsi="TUOS Blake" w:cs="TUOS Blake"/>
          <w:i/>
          <w:iCs/>
        </w:rPr>
        <w:t>Journal of Experimental Medicine</w:t>
      </w:r>
      <w:r>
        <w:rPr>
          <w:rFonts w:ascii="TUOS Blake" w:eastAsiaTheme="minorEastAsia" w:hAnsi="TUOS Blake" w:cs="TUOS Blake"/>
        </w:rPr>
        <w:t xml:space="preserve">, </w:t>
      </w:r>
      <w:r>
        <w:rPr>
          <w:rFonts w:ascii="TUOS Blake" w:eastAsiaTheme="minorEastAsia" w:hAnsi="TUOS Blake" w:cs="TUOS Blake"/>
          <w:i/>
          <w:iCs/>
        </w:rPr>
        <w:t>208</w:t>
      </w:r>
      <w:r>
        <w:rPr>
          <w:rFonts w:ascii="TUOS Blake" w:eastAsiaTheme="minorEastAsia" w:hAnsi="TUOS Blake" w:cs="TUOS Blake"/>
        </w:rPr>
        <w:t xml:space="preserve">(3), 535–548. </w:t>
      </w:r>
      <w:hyperlink r:id="rId60" w:history="1">
        <w:r w:rsidR="00612721" w:rsidRPr="000D4288">
          <w:rPr>
            <w:rStyle w:val="Hyperlink"/>
            <w:rFonts w:ascii="TUOS Blake" w:eastAsiaTheme="minorEastAsia" w:hAnsi="TUOS Blake" w:cs="TUOS Blake"/>
          </w:rPr>
          <w:t>http://doi.org/10.1084/jem.20101812</w:t>
        </w:r>
      </w:hyperlink>
    </w:p>
    <w:p w14:paraId="0065CCA4"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6C79877" w14:textId="36A42C34"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Danielson, K. M., Shah, R., </w:t>
      </w:r>
      <w:proofErr w:type="spellStart"/>
      <w:r>
        <w:rPr>
          <w:rFonts w:ascii="TUOS Blake" w:eastAsiaTheme="minorEastAsia" w:hAnsi="TUOS Blake" w:cs="TUOS Blake"/>
        </w:rPr>
        <w:t>Yeri</w:t>
      </w:r>
      <w:proofErr w:type="spellEnd"/>
      <w:r>
        <w:rPr>
          <w:rFonts w:ascii="TUOS Blake" w:eastAsiaTheme="minorEastAsia" w:hAnsi="TUOS Blake" w:cs="TUOS Blake"/>
        </w:rPr>
        <w:t xml:space="preserve">, A., Liu, X., Camacho Garcia, F., Silverman, M., et al. (2018). Plasma Circulating Extracellular RNAs in Left Ventricular </w:t>
      </w:r>
      <w:proofErr w:type="spellStart"/>
      <w:r>
        <w:rPr>
          <w:rFonts w:ascii="TUOS Blake" w:eastAsiaTheme="minorEastAsia" w:hAnsi="TUOS Blake" w:cs="TUOS Blake"/>
        </w:rPr>
        <w:t>Remodeling</w:t>
      </w:r>
      <w:proofErr w:type="spellEnd"/>
      <w:r>
        <w:rPr>
          <w:rFonts w:ascii="TUOS Blake" w:eastAsiaTheme="minorEastAsia" w:hAnsi="TUOS Blake" w:cs="TUOS Blake"/>
        </w:rPr>
        <w:t xml:space="preserve"> Post-Myocardial Infarction. </w:t>
      </w:r>
      <w:proofErr w:type="spellStart"/>
      <w:r>
        <w:rPr>
          <w:rFonts w:ascii="TUOS Blake" w:eastAsiaTheme="minorEastAsia" w:hAnsi="TUOS Blake" w:cs="TUOS Blake"/>
          <w:i/>
          <w:iCs/>
        </w:rPr>
        <w:t>EBioMedicine</w:t>
      </w:r>
      <w:proofErr w:type="spellEnd"/>
      <w:r>
        <w:rPr>
          <w:rFonts w:ascii="TUOS Blake" w:eastAsiaTheme="minorEastAsia" w:hAnsi="TUOS Blake" w:cs="TUOS Blake"/>
        </w:rPr>
        <w:t xml:space="preserve">, </w:t>
      </w:r>
      <w:r>
        <w:rPr>
          <w:rFonts w:ascii="TUOS Blake" w:eastAsiaTheme="minorEastAsia" w:hAnsi="TUOS Blake" w:cs="TUOS Blake"/>
          <w:i/>
          <w:iCs/>
        </w:rPr>
        <w:t>32</w:t>
      </w:r>
      <w:r>
        <w:rPr>
          <w:rFonts w:ascii="TUOS Blake" w:eastAsiaTheme="minorEastAsia" w:hAnsi="TUOS Blake" w:cs="TUOS Blake"/>
        </w:rPr>
        <w:t xml:space="preserve">, 172–181. </w:t>
      </w:r>
      <w:hyperlink r:id="rId61" w:history="1">
        <w:r w:rsidR="00612721" w:rsidRPr="000D4288">
          <w:rPr>
            <w:rStyle w:val="Hyperlink"/>
            <w:rFonts w:ascii="TUOS Blake" w:eastAsiaTheme="minorEastAsia" w:hAnsi="TUOS Blake" w:cs="TUOS Blake"/>
          </w:rPr>
          <w:t>http://doi.org/10.1016/j.ebiom.2018.05.013</w:t>
        </w:r>
      </w:hyperlink>
    </w:p>
    <w:p w14:paraId="786FBD71"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2230CF18" w14:textId="017077E9"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Donati</w:t>
      </w:r>
      <w:proofErr w:type="spellEnd"/>
      <w:r>
        <w:rPr>
          <w:rFonts w:ascii="TUOS Blake" w:eastAsiaTheme="minorEastAsia" w:hAnsi="TUOS Blake" w:cs="TUOS Blake"/>
        </w:rPr>
        <w:t xml:space="preserve">, S., </w:t>
      </w:r>
      <w:proofErr w:type="spellStart"/>
      <w:r>
        <w:rPr>
          <w:rFonts w:ascii="TUOS Blake" w:eastAsiaTheme="minorEastAsia" w:hAnsi="TUOS Blake" w:cs="TUOS Blake"/>
        </w:rPr>
        <w:t>Ciuffi</w:t>
      </w:r>
      <w:proofErr w:type="spellEnd"/>
      <w:r>
        <w:rPr>
          <w:rFonts w:ascii="TUOS Blake" w:eastAsiaTheme="minorEastAsia" w:hAnsi="TUOS Blake" w:cs="TUOS Blake"/>
        </w:rPr>
        <w:t xml:space="preserve">, S., &amp; Brandi, M. L. (2019). Human Circulating miRNAs Real-time </w:t>
      </w:r>
      <w:proofErr w:type="spellStart"/>
      <w:r>
        <w:rPr>
          <w:rFonts w:ascii="TUOS Blake" w:eastAsiaTheme="minorEastAsia" w:hAnsi="TUOS Blake" w:cs="TUOS Blake"/>
        </w:rPr>
        <w:t>qRT</w:t>
      </w:r>
      <w:proofErr w:type="spellEnd"/>
      <w:r>
        <w:rPr>
          <w:rFonts w:ascii="TUOS Blake" w:eastAsiaTheme="minorEastAsia" w:hAnsi="TUOS Blake" w:cs="TUOS Blake"/>
        </w:rPr>
        <w:t xml:space="preserve">-PCR-based Analysis: An Overview of Endogenous Reference Genes Used for Data Normalization. </w:t>
      </w:r>
      <w:r>
        <w:rPr>
          <w:rFonts w:ascii="TUOS Blake" w:eastAsiaTheme="minorEastAsia" w:hAnsi="TUOS Blake" w:cs="TUOS Blake"/>
          <w:i/>
          <w:iCs/>
        </w:rPr>
        <w:t>International Journal of Molecular Sciences</w:t>
      </w:r>
      <w:r>
        <w:rPr>
          <w:rFonts w:ascii="TUOS Blake" w:eastAsiaTheme="minorEastAsia" w:hAnsi="TUOS Blake" w:cs="TUOS Blake"/>
        </w:rPr>
        <w:t xml:space="preserve">, </w:t>
      </w:r>
      <w:r>
        <w:rPr>
          <w:rFonts w:ascii="TUOS Blake" w:eastAsiaTheme="minorEastAsia" w:hAnsi="TUOS Blake" w:cs="TUOS Blake"/>
          <w:i/>
          <w:iCs/>
        </w:rPr>
        <w:t>20</w:t>
      </w:r>
      <w:r>
        <w:rPr>
          <w:rFonts w:ascii="TUOS Blake" w:eastAsiaTheme="minorEastAsia" w:hAnsi="TUOS Blake" w:cs="TUOS Blake"/>
        </w:rPr>
        <w:t xml:space="preserve">(18), 4353–19. </w:t>
      </w:r>
      <w:hyperlink r:id="rId62" w:history="1">
        <w:r w:rsidR="00612721" w:rsidRPr="000D4288">
          <w:rPr>
            <w:rStyle w:val="Hyperlink"/>
            <w:rFonts w:ascii="TUOS Blake" w:eastAsiaTheme="minorEastAsia" w:hAnsi="TUOS Blake" w:cs="TUOS Blake"/>
          </w:rPr>
          <w:t>http://doi.org/10.3390/ijms20184353</w:t>
        </w:r>
      </w:hyperlink>
    </w:p>
    <w:p w14:paraId="6F85CD12"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5859898" w14:textId="1DC903BC"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Dorin</w:t>
      </w:r>
      <w:proofErr w:type="spellEnd"/>
      <w:r>
        <w:rPr>
          <w:rFonts w:ascii="TUOS Blake" w:eastAsiaTheme="minorEastAsia" w:hAnsi="TUOS Blake" w:cs="TUOS Blake"/>
        </w:rPr>
        <w:t xml:space="preserve">, J. R., Dickinson, P., Alton, E. W., Smith, S. N., Geddes, D. M., Stevenson, B. J., et al. (1992). Cystic fibrosis in the mouse by targeted insertional mutagenesis. </w:t>
      </w:r>
      <w:r>
        <w:rPr>
          <w:rFonts w:ascii="TUOS Blake" w:eastAsiaTheme="minorEastAsia" w:hAnsi="TUOS Blake" w:cs="TUOS Blake"/>
          <w:i/>
          <w:iCs/>
        </w:rPr>
        <w:t>Nature</w:t>
      </w:r>
      <w:r>
        <w:rPr>
          <w:rFonts w:ascii="TUOS Blake" w:eastAsiaTheme="minorEastAsia" w:hAnsi="TUOS Blake" w:cs="TUOS Blake"/>
        </w:rPr>
        <w:t xml:space="preserve">, </w:t>
      </w:r>
      <w:r>
        <w:rPr>
          <w:rFonts w:ascii="TUOS Blake" w:eastAsiaTheme="minorEastAsia" w:hAnsi="TUOS Blake" w:cs="TUOS Blake"/>
          <w:i/>
          <w:iCs/>
        </w:rPr>
        <w:t>359</w:t>
      </w:r>
      <w:r>
        <w:rPr>
          <w:rFonts w:ascii="TUOS Blake" w:eastAsiaTheme="minorEastAsia" w:hAnsi="TUOS Blake" w:cs="TUOS Blake"/>
        </w:rPr>
        <w:t xml:space="preserve">(6392), 211–215. </w:t>
      </w:r>
      <w:hyperlink r:id="rId63" w:history="1">
        <w:r w:rsidR="00612721" w:rsidRPr="000D4288">
          <w:rPr>
            <w:rStyle w:val="Hyperlink"/>
            <w:rFonts w:ascii="TUOS Blake" w:eastAsiaTheme="minorEastAsia" w:hAnsi="TUOS Blake" w:cs="TUOS Blake"/>
          </w:rPr>
          <w:t>http://doi.org/10.1038/359211a0</w:t>
        </w:r>
      </w:hyperlink>
    </w:p>
    <w:p w14:paraId="7FFA206C"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13BE6FF" w14:textId="2C9ECDC8"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El-</w:t>
      </w:r>
      <w:proofErr w:type="spellStart"/>
      <w:r>
        <w:rPr>
          <w:rFonts w:ascii="TUOS Blake" w:eastAsiaTheme="minorEastAsia" w:hAnsi="TUOS Blake" w:cs="TUOS Blake"/>
        </w:rPr>
        <w:t>Mogy</w:t>
      </w:r>
      <w:proofErr w:type="spellEnd"/>
      <w:r>
        <w:rPr>
          <w:rFonts w:ascii="TUOS Blake" w:eastAsiaTheme="minorEastAsia" w:hAnsi="TUOS Blake" w:cs="TUOS Blake"/>
        </w:rPr>
        <w:t xml:space="preserve">, M., Lam, B., Haj-Ahmad, T. A., McGowan, S., Yu, D., </w:t>
      </w:r>
      <w:proofErr w:type="spellStart"/>
      <w:r>
        <w:rPr>
          <w:rFonts w:ascii="TUOS Blake" w:eastAsiaTheme="minorEastAsia" w:hAnsi="TUOS Blake" w:cs="TUOS Blake"/>
        </w:rPr>
        <w:t>Nosal</w:t>
      </w:r>
      <w:proofErr w:type="spellEnd"/>
      <w:r>
        <w:rPr>
          <w:rFonts w:ascii="TUOS Blake" w:eastAsiaTheme="minorEastAsia" w:hAnsi="TUOS Blake" w:cs="TUOS Blake"/>
        </w:rPr>
        <w:t xml:space="preserve">, L., et al. (2018). Diversity and signature of small RNA in different bodily fluids using next generation sequencing. </w:t>
      </w:r>
      <w:r>
        <w:rPr>
          <w:rFonts w:ascii="TUOS Blake" w:eastAsiaTheme="minorEastAsia" w:hAnsi="TUOS Blake" w:cs="TUOS Blake"/>
          <w:i/>
          <w:iCs/>
        </w:rPr>
        <w:t>BMC Genomics</w:t>
      </w:r>
      <w:r>
        <w:rPr>
          <w:rFonts w:ascii="TUOS Blake" w:eastAsiaTheme="minorEastAsia" w:hAnsi="TUOS Blake" w:cs="TUOS Blake"/>
        </w:rPr>
        <w:t xml:space="preserve">, </w:t>
      </w:r>
      <w:r>
        <w:rPr>
          <w:rFonts w:ascii="TUOS Blake" w:eastAsiaTheme="minorEastAsia" w:hAnsi="TUOS Blake" w:cs="TUOS Blake"/>
          <w:i/>
          <w:iCs/>
        </w:rPr>
        <w:t>19</w:t>
      </w:r>
      <w:r>
        <w:rPr>
          <w:rFonts w:ascii="TUOS Blake" w:eastAsiaTheme="minorEastAsia" w:hAnsi="TUOS Blake" w:cs="TUOS Blake"/>
        </w:rPr>
        <w:t xml:space="preserve">(1), 1229. </w:t>
      </w:r>
      <w:hyperlink r:id="rId64" w:history="1">
        <w:r w:rsidR="00612721" w:rsidRPr="000D4288">
          <w:rPr>
            <w:rStyle w:val="Hyperlink"/>
            <w:rFonts w:ascii="TUOS Blake" w:eastAsiaTheme="minorEastAsia" w:hAnsi="TUOS Blake" w:cs="TUOS Blake"/>
          </w:rPr>
          <w:t>http://doi.org/10.1186/s12864-018-4785-8</w:t>
        </w:r>
      </w:hyperlink>
    </w:p>
    <w:p w14:paraId="143E580A"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62198E11" w14:textId="269DFFC8"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Fijalkowska</w:t>
      </w:r>
      <w:proofErr w:type="spellEnd"/>
      <w:r>
        <w:rPr>
          <w:rFonts w:ascii="TUOS Blake" w:eastAsiaTheme="minorEastAsia" w:hAnsi="TUOS Blake" w:cs="TUOS Blake"/>
        </w:rPr>
        <w:t xml:space="preserve">, A., </w:t>
      </w:r>
      <w:proofErr w:type="spellStart"/>
      <w:r>
        <w:rPr>
          <w:rFonts w:ascii="TUOS Blake" w:eastAsiaTheme="minorEastAsia" w:hAnsi="TUOS Blake" w:cs="TUOS Blake"/>
        </w:rPr>
        <w:t>Kurzyna</w:t>
      </w:r>
      <w:proofErr w:type="spellEnd"/>
      <w:r>
        <w:rPr>
          <w:rFonts w:ascii="TUOS Blake" w:eastAsiaTheme="minorEastAsia" w:hAnsi="TUOS Blake" w:cs="TUOS Blake"/>
        </w:rPr>
        <w:t xml:space="preserve">, M., </w:t>
      </w:r>
      <w:proofErr w:type="spellStart"/>
      <w:r>
        <w:rPr>
          <w:rFonts w:ascii="TUOS Blake" w:eastAsiaTheme="minorEastAsia" w:hAnsi="TUOS Blake" w:cs="TUOS Blake"/>
        </w:rPr>
        <w:t>Torbicki</w:t>
      </w:r>
      <w:proofErr w:type="spellEnd"/>
      <w:r>
        <w:rPr>
          <w:rFonts w:ascii="TUOS Blake" w:eastAsiaTheme="minorEastAsia" w:hAnsi="TUOS Blake" w:cs="TUOS Blake"/>
        </w:rPr>
        <w:t xml:space="preserve">, A., </w:t>
      </w:r>
      <w:proofErr w:type="spellStart"/>
      <w:r>
        <w:rPr>
          <w:rFonts w:ascii="TUOS Blake" w:eastAsiaTheme="minorEastAsia" w:hAnsi="TUOS Blake" w:cs="TUOS Blake"/>
        </w:rPr>
        <w:t>Szewczyk</w:t>
      </w:r>
      <w:proofErr w:type="spellEnd"/>
      <w:r>
        <w:rPr>
          <w:rFonts w:ascii="TUOS Blake" w:eastAsiaTheme="minorEastAsia" w:hAnsi="TUOS Blake" w:cs="TUOS Blake"/>
        </w:rPr>
        <w:t xml:space="preserve">, G., </w:t>
      </w:r>
      <w:proofErr w:type="spellStart"/>
      <w:r>
        <w:rPr>
          <w:rFonts w:ascii="TUOS Blake" w:eastAsiaTheme="minorEastAsia" w:hAnsi="TUOS Blake" w:cs="TUOS Blake"/>
        </w:rPr>
        <w:t>Florczyk</w:t>
      </w:r>
      <w:proofErr w:type="spellEnd"/>
      <w:r>
        <w:rPr>
          <w:rFonts w:ascii="TUOS Blake" w:eastAsiaTheme="minorEastAsia" w:hAnsi="TUOS Blake" w:cs="TUOS Blake"/>
        </w:rPr>
        <w:t xml:space="preserve">, M., </w:t>
      </w:r>
      <w:proofErr w:type="spellStart"/>
      <w:r>
        <w:rPr>
          <w:rFonts w:ascii="TUOS Blake" w:eastAsiaTheme="minorEastAsia" w:hAnsi="TUOS Blake" w:cs="TUOS Blake"/>
        </w:rPr>
        <w:t>Pruszczyk</w:t>
      </w:r>
      <w:proofErr w:type="spellEnd"/>
      <w:r>
        <w:rPr>
          <w:rFonts w:ascii="TUOS Blake" w:eastAsiaTheme="minorEastAsia" w:hAnsi="TUOS Blake" w:cs="TUOS Blake"/>
        </w:rPr>
        <w:t xml:space="preserve">, P., &amp; </w:t>
      </w:r>
      <w:proofErr w:type="spellStart"/>
      <w:r>
        <w:rPr>
          <w:rFonts w:ascii="TUOS Blake" w:eastAsiaTheme="minorEastAsia" w:hAnsi="TUOS Blake" w:cs="TUOS Blake"/>
        </w:rPr>
        <w:t>Szturmowicz</w:t>
      </w:r>
      <w:proofErr w:type="spellEnd"/>
      <w:r>
        <w:rPr>
          <w:rFonts w:ascii="TUOS Blake" w:eastAsiaTheme="minorEastAsia" w:hAnsi="TUOS Blake" w:cs="TUOS Blake"/>
        </w:rPr>
        <w:t xml:space="preserve">, M. (2006). Serum N-terminal brain natriuretic peptide as a prognostic parameter in patients with pulmonary hypertension. </w:t>
      </w:r>
      <w:r>
        <w:rPr>
          <w:rFonts w:ascii="TUOS Blake" w:eastAsiaTheme="minorEastAsia" w:hAnsi="TUOS Blake" w:cs="TUOS Blake"/>
          <w:i/>
          <w:iCs/>
        </w:rPr>
        <w:t>Chest</w:t>
      </w:r>
      <w:r>
        <w:rPr>
          <w:rFonts w:ascii="TUOS Blake" w:eastAsiaTheme="minorEastAsia" w:hAnsi="TUOS Blake" w:cs="TUOS Blake"/>
        </w:rPr>
        <w:t xml:space="preserve">, </w:t>
      </w:r>
      <w:r>
        <w:rPr>
          <w:rFonts w:ascii="TUOS Blake" w:eastAsiaTheme="minorEastAsia" w:hAnsi="TUOS Blake" w:cs="TUOS Blake"/>
          <w:i/>
          <w:iCs/>
        </w:rPr>
        <w:t>129</w:t>
      </w:r>
      <w:r>
        <w:rPr>
          <w:rFonts w:ascii="TUOS Blake" w:eastAsiaTheme="minorEastAsia" w:hAnsi="TUOS Blake" w:cs="TUOS Blake"/>
        </w:rPr>
        <w:t xml:space="preserve">(5), 1313–1321. </w:t>
      </w:r>
      <w:hyperlink r:id="rId65" w:history="1">
        <w:r w:rsidR="00612721" w:rsidRPr="000D4288">
          <w:rPr>
            <w:rStyle w:val="Hyperlink"/>
            <w:rFonts w:ascii="TUOS Blake" w:eastAsiaTheme="minorEastAsia" w:hAnsi="TUOS Blake" w:cs="TUOS Blake"/>
          </w:rPr>
          <w:t>http://doi.org/10.1378/chest.129.5.1313</w:t>
        </w:r>
      </w:hyperlink>
    </w:p>
    <w:p w14:paraId="0910F04B"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96BFC51" w14:textId="293D09F4"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Flynt, A. S., &amp; Lai, E. C. (2008). Biological principles of microRNA-mediated regulation: shared themes amid diversity. </w:t>
      </w:r>
      <w:r>
        <w:rPr>
          <w:rFonts w:ascii="TUOS Blake" w:eastAsiaTheme="minorEastAsia" w:hAnsi="TUOS Blake" w:cs="TUOS Blake"/>
          <w:i/>
          <w:iCs/>
        </w:rPr>
        <w:t>Nature Reviews Genetics</w:t>
      </w:r>
      <w:r>
        <w:rPr>
          <w:rFonts w:ascii="TUOS Blake" w:eastAsiaTheme="minorEastAsia" w:hAnsi="TUOS Blake" w:cs="TUOS Blake"/>
        </w:rPr>
        <w:t xml:space="preserve">, </w:t>
      </w:r>
      <w:r>
        <w:rPr>
          <w:rFonts w:ascii="TUOS Blake" w:eastAsiaTheme="minorEastAsia" w:hAnsi="TUOS Blake" w:cs="TUOS Blake"/>
          <w:i/>
          <w:iCs/>
        </w:rPr>
        <w:t>9</w:t>
      </w:r>
      <w:r>
        <w:rPr>
          <w:rFonts w:ascii="TUOS Blake" w:eastAsiaTheme="minorEastAsia" w:hAnsi="TUOS Blake" w:cs="TUOS Blake"/>
        </w:rPr>
        <w:t xml:space="preserve">(11), 831–842. </w:t>
      </w:r>
      <w:hyperlink r:id="rId66" w:history="1">
        <w:r w:rsidR="00612721" w:rsidRPr="000D4288">
          <w:rPr>
            <w:rStyle w:val="Hyperlink"/>
            <w:rFonts w:ascii="TUOS Blake" w:eastAsiaTheme="minorEastAsia" w:hAnsi="TUOS Blake" w:cs="TUOS Blake"/>
          </w:rPr>
          <w:t>http://doi.org/10.1038/nrg2455</w:t>
        </w:r>
      </w:hyperlink>
    </w:p>
    <w:p w14:paraId="0D04FC7E"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EBB769C" w14:textId="46E0BA8A"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Furuse</w:t>
      </w:r>
      <w:proofErr w:type="spellEnd"/>
      <w:r>
        <w:rPr>
          <w:rFonts w:ascii="TUOS Blake" w:eastAsiaTheme="minorEastAsia" w:hAnsi="TUOS Blake" w:cs="TUOS Blake"/>
        </w:rPr>
        <w:t xml:space="preserve">, Y., </w:t>
      </w:r>
      <w:proofErr w:type="spellStart"/>
      <w:r>
        <w:rPr>
          <w:rFonts w:ascii="TUOS Blake" w:eastAsiaTheme="minorEastAsia" w:hAnsi="TUOS Blake" w:cs="TUOS Blake"/>
        </w:rPr>
        <w:t>Finethy</w:t>
      </w:r>
      <w:proofErr w:type="spellEnd"/>
      <w:r>
        <w:rPr>
          <w:rFonts w:ascii="TUOS Blake" w:eastAsiaTheme="minorEastAsia" w:hAnsi="TUOS Blake" w:cs="TUOS Blake"/>
        </w:rPr>
        <w:t xml:space="preserve">, R., Saka, H. A., </w:t>
      </w:r>
      <w:proofErr w:type="spellStart"/>
      <w:r>
        <w:rPr>
          <w:rFonts w:ascii="TUOS Blake" w:eastAsiaTheme="minorEastAsia" w:hAnsi="TUOS Blake" w:cs="TUOS Blake"/>
        </w:rPr>
        <w:t>Xet</w:t>
      </w:r>
      <w:proofErr w:type="spellEnd"/>
      <w:r>
        <w:rPr>
          <w:rFonts w:ascii="TUOS Blake" w:eastAsiaTheme="minorEastAsia" w:hAnsi="TUOS Blake" w:cs="TUOS Blake"/>
        </w:rPr>
        <w:t xml:space="preserve">-Mull, A. M., Sisk, D. M., Smith, K. L. J., et al. (2014). Search for MicroRNAs Expressed by Intracellular Bacterial Pathogens in Infected Mammalian Cells. </w:t>
      </w:r>
      <w:proofErr w:type="spellStart"/>
      <w:r>
        <w:rPr>
          <w:rFonts w:ascii="TUOS Blake" w:eastAsiaTheme="minorEastAsia" w:hAnsi="TUOS Blake" w:cs="TUOS Blake"/>
          <w:i/>
          <w:iCs/>
        </w:rPr>
        <w:t>PloS</w:t>
      </w:r>
      <w:proofErr w:type="spellEnd"/>
      <w:r>
        <w:rPr>
          <w:rFonts w:ascii="TUOS Blake" w:eastAsiaTheme="minorEastAsia" w:hAnsi="TUOS Blake" w:cs="TUOS Blake"/>
          <w:i/>
          <w:iCs/>
        </w:rPr>
        <w:t xml:space="preserve"> One</w:t>
      </w:r>
      <w:r>
        <w:rPr>
          <w:rFonts w:ascii="TUOS Blake" w:eastAsiaTheme="minorEastAsia" w:hAnsi="TUOS Blake" w:cs="TUOS Blake"/>
        </w:rPr>
        <w:t xml:space="preserve">, </w:t>
      </w:r>
      <w:r>
        <w:rPr>
          <w:rFonts w:ascii="TUOS Blake" w:eastAsiaTheme="minorEastAsia" w:hAnsi="TUOS Blake" w:cs="TUOS Blake"/>
          <w:i/>
          <w:iCs/>
        </w:rPr>
        <w:t>9</w:t>
      </w:r>
      <w:r>
        <w:rPr>
          <w:rFonts w:ascii="TUOS Blake" w:eastAsiaTheme="minorEastAsia" w:hAnsi="TUOS Blake" w:cs="TUOS Blake"/>
        </w:rPr>
        <w:t xml:space="preserve">(9), e106434. </w:t>
      </w:r>
      <w:hyperlink r:id="rId67" w:history="1">
        <w:r w:rsidR="00612721" w:rsidRPr="000D4288">
          <w:rPr>
            <w:rStyle w:val="Hyperlink"/>
            <w:rFonts w:ascii="TUOS Blake" w:eastAsiaTheme="minorEastAsia" w:hAnsi="TUOS Blake" w:cs="TUOS Blake"/>
          </w:rPr>
          <w:t>http://doi.org/10.1371/journal.pone.0106434</w:t>
        </w:r>
      </w:hyperlink>
    </w:p>
    <w:p w14:paraId="74E20715"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8C20794" w14:textId="132367B4"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Galiè</w:t>
      </w:r>
      <w:proofErr w:type="spellEnd"/>
      <w:r>
        <w:rPr>
          <w:rFonts w:ascii="TUOS Blake" w:eastAsiaTheme="minorEastAsia" w:hAnsi="TUOS Blake" w:cs="TUOS Blake"/>
        </w:rPr>
        <w:t xml:space="preserve">, N., </w:t>
      </w:r>
      <w:proofErr w:type="spellStart"/>
      <w:r>
        <w:rPr>
          <w:rFonts w:ascii="TUOS Blake" w:eastAsiaTheme="minorEastAsia" w:hAnsi="TUOS Blake" w:cs="TUOS Blake"/>
        </w:rPr>
        <w:t>Hoeper</w:t>
      </w:r>
      <w:proofErr w:type="spellEnd"/>
      <w:r>
        <w:rPr>
          <w:rFonts w:ascii="TUOS Blake" w:eastAsiaTheme="minorEastAsia" w:hAnsi="TUOS Blake" w:cs="TUOS Blake"/>
        </w:rPr>
        <w:t xml:space="preserve">, M. M., Humbert, M., </w:t>
      </w:r>
      <w:proofErr w:type="spellStart"/>
      <w:r>
        <w:rPr>
          <w:rFonts w:ascii="TUOS Blake" w:eastAsiaTheme="minorEastAsia" w:hAnsi="TUOS Blake" w:cs="TUOS Blake"/>
        </w:rPr>
        <w:t>Torbicki</w:t>
      </w:r>
      <w:proofErr w:type="spellEnd"/>
      <w:r>
        <w:rPr>
          <w:rFonts w:ascii="TUOS Blake" w:eastAsiaTheme="minorEastAsia" w:hAnsi="TUOS Blake" w:cs="TUOS Blake"/>
        </w:rPr>
        <w:t xml:space="preserve">, A., </w:t>
      </w:r>
      <w:proofErr w:type="spellStart"/>
      <w:r>
        <w:rPr>
          <w:rFonts w:ascii="TUOS Blake" w:eastAsiaTheme="minorEastAsia" w:hAnsi="TUOS Blake" w:cs="TUOS Blake"/>
        </w:rPr>
        <w:t>Vachiery</w:t>
      </w:r>
      <w:proofErr w:type="spellEnd"/>
      <w:r>
        <w:rPr>
          <w:rFonts w:ascii="TUOS Blake" w:eastAsiaTheme="minorEastAsia" w:hAnsi="TUOS Blake" w:cs="TUOS Blake"/>
        </w:rPr>
        <w:t xml:space="preserve">, J.-L., Barbera, J. A., et al. (2009, October). Guidelines for the diagnosis and treatment of pulmonary hypertension: </w:t>
      </w:r>
      <w:proofErr w:type="gramStart"/>
      <w:r>
        <w:rPr>
          <w:rFonts w:ascii="TUOS Blake" w:eastAsiaTheme="minorEastAsia" w:hAnsi="TUOS Blake" w:cs="TUOS Blake"/>
        </w:rPr>
        <w:t>the</w:t>
      </w:r>
      <w:proofErr w:type="gramEnd"/>
      <w:r>
        <w:rPr>
          <w:rFonts w:ascii="TUOS Blake" w:eastAsiaTheme="minorEastAsia" w:hAnsi="TUOS Blake" w:cs="TUOS Blake"/>
        </w:rPr>
        <w:t xml:space="preserve"> Task Force for the Diagnosis and Treatment of Pulmonary Hypertension of the European Society of Cardiology (ESC) and the European Respiratory Society (ERS), endorsed by the International Society of Heart and Lung Transplantation (ISHLT). </w:t>
      </w:r>
      <w:r>
        <w:rPr>
          <w:rFonts w:ascii="TUOS Blake" w:eastAsiaTheme="minorEastAsia" w:hAnsi="TUOS Blake" w:cs="TUOS Blake"/>
          <w:i/>
          <w:iCs/>
        </w:rPr>
        <w:t>European Heart Journal</w:t>
      </w:r>
      <w:r>
        <w:rPr>
          <w:rFonts w:ascii="TUOS Blake" w:eastAsiaTheme="minorEastAsia" w:hAnsi="TUOS Blake" w:cs="TUOS Blake"/>
        </w:rPr>
        <w:t xml:space="preserve">. </w:t>
      </w:r>
      <w:hyperlink r:id="rId68" w:history="1">
        <w:r w:rsidR="00612721" w:rsidRPr="000D4288">
          <w:rPr>
            <w:rStyle w:val="Hyperlink"/>
            <w:rFonts w:ascii="TUOS Blake" w:eastAsiaTheme="minorEastAsia" w:hAnsi="TUOS Blake" w:cs="TUOS Blake"/>
          </w:rPr>
          <w:t>http://doi.org/10.1093/eurheartj/ehp297</w:t>
        </w:r>
      </w:hyperlink>
    </w:p>
    <w:p w14:paraId="48619DC8"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6A9887D" w14:textId="04247BA3"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Galiè</w:t>
      </w:r>
      <w:proofErr w:type="spellEnd"/>
      <w:r>
        <w:rPr>
          <w:rFonts w:ascii="TUOS Blake" w:eastAsiaTheme="minorEastAsia" w:hAnsi="TUOS Blake" w:cs="TUOS Blake"/>
        </w:rPr>
        <w:t xml:space="preserve">, N., Humbert, M., </w:t>
      </w:r>
      <w:proofErr w:type="spellStart"/>
      <w:r>
        <w:rPr>
          <w:rFonts w:ascii="TUOS Blake" w:eastAsiaTheme="minorEastAsia" w:hAnsi="TUOS Blake" w:cs="TUOS Blake"/>
        </w:rPr>
        <w:t>Vachiery</w:t>
      </w:r>
      <w:proofErr w:type="spellEnd"/>
      <w:r>
        <w:rPr>
          <w:rFonts w:ascii="TUOS Blake" w:eastAsiaTheme="minorEastAsia" w:hAnsi="TUOS Blake" w:cs="TUOS Blake"/>
        </w:rPr>
        <w:t xml:space="preserve">, J.-L., Gibbs, S., Lang, I., </w:t>
      </w:r>
      <w:proofErr w:type="spellStart"/>
      <w:r>
        <w:rPr>
          <w:rFonts w:ascii="TUOS Blake" w:eastAsiaTheme="minorEastAsia" w:hAnsi="TUOS Blake" w:cs="TUOS Blake"/>
        </w:rPr>
        <w:t>Torbicki</w:t>
      </w:r>
      <w:proofErr w:type="spellEnd"/>
      <w:r>
        <w:rPr>
          <w:rFonts w:ascii="TUOS Blake" w:eastAsiaTheme="minorEastAsia" w:hAnsi="TUOS Blake" w:cs="TUOS Blake"/>
        </w:rPr>
        <w:t xml:space="preserve">, A., et al. (2016, January 1). 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Transplantation (ISHLT). </w:t>
      </w:r>
      <w:r>
        <w:rPr>
          <w:rFonts w:ascii="TUOS Blake" w:eastAsiaTheme="minorEastAsia" w:hAnsi="TUOS Blake" w:cs="TUOS Blake"/>
          <w:i/>
          <w:iCs/>
        </w:rPr>
        <w:t>European Heart Journal</w:t>
      </w:r>
      <w:r>
        <w:rPr>
          <w:rFonts w:ascii="TUOS Blake" w:eastAsiaTheme="minorEastAsia" w:hAnsi="TUOS Blake" w:cs="TUOS Blake"/>
        </w:rPr>
        <w:t xml:space="preserve">. </w:t>
      </w:r>
      <w:hyperlink r:id="rId69" w:history="1">
        <w:r w:rsidR="00612721" w:rsidRPr="000D4288">
          <w:rPr>
            <w:rStyle w:val="Hyperlink"/>
            <w:rFonts w:ascii="TUOS Blake" w:eastAsiaTheme="minorEastAsia" w:hAnsi="TUOS Blake" w:cs="TUOS Blake"/>
          </w:rPr>
          <w:t>http://doi.org/10.1093/eurheartj/ehv317</w:t>
        </w:r>
      </w:hyperlink>
    </w:p>
    <w:p w14:paraId="603582F7"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0E60771" w14:textId="184C7D67"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Gao, Z.-J., Yuan, W.-D., Yuan, J.-Q., Yuan, K., &amp; Wang, Y. (2018). miR-486-5p functions as an oncogene by targeting PTEN in non-small cell lung cancer. </w:t>
      </w:r>
      <w:r>
        <w:rPr>
          <w:rFonts w:ascii="TUOS Blake" w:eastAsiaTheme="minorEastAsia" w:hAnsi="TUOS Blake" w:cs="TUOS Blake"/>
          <w:i/>
          <w:iCs/>
        </w:rPr>
        <w:t>Pathology - Research and Practice</w:t>
      </w:r>
      <w:r>
        <w:rPr>
          <w:rFonts w:ascii="TUOS Blake" w:eastAsiaTheme="minorEastAsia" w:hAnsi="TUOS Blake" w:cs="TUOS Blake"/>
        </w:rPr>
        <w:t xml:space="preserve">, </w:t>
      </w:r>
      <w:r>
        <w:rPr>
          <w:rFonts w:ascii="TUOS Blake" w:eastAsiaTheme="minorEastAsia" w:hAnsi="TUOS Blake" w:cs="TUOS Blake"/>
          <w:i/>
          <w:iCs/>
        </w:rPr>
        <w:t>214</w:t>
      </w:r>
      <w:r>
        <w:rPr>
          <w:rFonts w:ascii="TUOS Blake" w:eastAsiaTheme="minorEastAsia" w:hAnsi="TUOS Blake" w:cs="TUOS Blake"/>
        </w:rPr>
        <w:t xml:space="preserve">(5), 700–705. </w:t>
      </w:r>
      <w:hyperlink r:id="rId70" w:history="1">
        <w:r w:rsidR="00612721" w:rsidRPr="000D4288">
          <w:rPr>
            <w:rStyle w:val="Hyperlink"/>
            <w:rFonts w:ascii="TUOS Blake" w:eastAsiaTheme="minorEastAsia" w:hAnsi="TUOS Blake" w:cs="TUOS Blake"/>
          </w:rPr>
          <w:t>http://doi.org/10.1016/j.prp.2018.03.013</w:t>
        </w:r>
      </w:hyperlink>
    </w:p>
    <w:p w14:paraId="6FB20124"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3B84055" w14:textId="0D8711F4"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Glinge</w:t>
      </w:r>
      <w:proofErr w:type="spellEnd"/>
      <w:r>
        <w:rPr>
          <w:rFonts w:ascii="TUOS Blake" w:eastAsiaTheme="minorEastAsia" w:hAnsi="TUOS Blake" w:cs="TUOS Blake"/>
        </w:rPr>
        <w:t xml:space="preserve">, C., </w:t>
      </w:r>
      <w:proofErr w:type="spellStart"/>
      <w:r>
        <w:rPr>
          <w:rFonts w:ascii="TUOS Blake" w:eastAsiaTheme="minorEastAsia" w:hAnsi="TUOS Blake" w:cs="TUOS Blake"/>
        </w:rPr>
        <w:t>Clauss</w:t>
      </w:r>
      <w:proofErr w:type="spellEnd"/>
      <w:r>
        <w:rPr>
          <w:rFonts w:ascii="TUOS Blake" w:eastAsiaTheme="minorEastAsia" w:hAnsi="TUOS Blake" w:cs="TUOS Blake"/>
        </w:rPr>
        <w:t xml:space="preserve">, S., </w:t>
      </w:r>
      <w:proofErr w:type="spellStart"/>
      <w:r>
        <w:rPr>
          <w:rFonts w:ascii="TUOS Blake" w:eastAsiaTheme="minorEastAsia" w:hAnsi="TUOS Blake" w:cs="TUOS Blake"/>
        </w:rPr>
        <w:t>Boddum</w:t>
      </w:r>
      <w:proofErr w:type="spellEnd"/>
      <w:r>
        <w:rPr>
          <w:rFonts w:ascii="TUOS Blake" w:eastAsiaTheme="minorEastAsia" w:hAnsi="TUOS Blake" w:cs="TUOS Blake"/>
        </w:rPr>
        <w:t xml:space="preserve">, K., Jabbari, R., Jabbari, J., </w:t>
      </w:r>
      <w:proofErr w:type="spellStart"/>
      <w:r>
        <w:rPr>
          <w:rFonts w:ascii="TUOS Blake" w:eastAsiaTheme="minorEastAsia" w:hAnsi="TUOS Blake" w:cs="TUOS Blake"/>
        </w:rPr>
        <w:t>Risgaard</w:t>
      </w:r>
      <w:proofErr w:type="spellEnd"/>
      <w:r>
        <w:rPr>
          <w:rFonts w:ascii="TUOS Blake" w:eastAsiaTheme="minorEastAsia" w:hAnsi="TUOS Blake" w:cs="TUOS Blake"/>
        </w:rPr>
        <w:t xml:space="preserve">, B., et al. (2017). Stability of Circulating Blood-Based MicroRNAs - Pre-Analytic Methodological Considerations. </w:t>
      </w:r>
      <w:proofErr w:type="spellStart"/>
      <w:r>
        <w:rPr>
          <w:rFonts w:ascii="TUOS Blake" w:eastAsiaTheme="minorEastAsia" w:hAnsi="TUOS Blake" w:cs="TUOS Blake"/>
          <w:i/>
          <w:iCs/>
        </w:rPr>
        <w:t>PloS</w:t>
      </w:r>
      <w:proofErr w:type="spellEnd"/>
      <w:r>
        <w:rPr>
          <w:rFonts w:ascii="TUOS Blake" w:eastAsiaTheme="minorEastAsia" w:hAnsi="TUOS Blake" w:cs="TUOS Blake"/>
          <w:i/>
          <w:iCs/>
        </w:rPr>
        <w:t xml:space="preserve"> One</w:t>
      </w:r>
      <w:r>
        <w:rPr>
          <w:rFonts w:ascii="TUOS Blake" w:eastAsiaTheme="minorEastAsia" w:hAnsi="TUOS Blake" w:cs="TUOS Blake"/>
        </w:rPr>
        <w:t xml:space="preserve">, </w:t>
      </w:r>
      <w:r>
        <w:rPr>
          <w:rFonts w:ascii="TUOS Blake" w:eastAsiaTheme="minorEastAsia" w:hAnsi="TUOS Blake" w:cs="TUOS Blake"/>
          <w:i/>
          <w:iCs/>
        </w:rPr>
        <w:t>12</w:t>
      </w:r>
      <w:r>
        <w:rPr>
          <w:rFonts w:ascii="TUOS Blake" w:eastAsiaTheme="minorEastAsia" w:hAnsi="TUOS Blake" w:cs="TUOS Blake"/>
        </w:rPr>
        <w:t xml:space="preserve">(2), e0167969. </w:t>
      </w:r>
      <w:hyperlink r:id="rId71" w:history="1">
        <w:r w:rsidR="00612721" w:rsidRPr="000D4288">
          <w:rPr>
            <w:rStyle w:val="Hyperlink"/>
            <w:rFonts w:ascii="TUOS Blake" w:eastAsiaTheme="minorEastAsia" w:hAnsi="TUOS Blake" w:cs="TUOS Blake"/>
          </w:rPr>
          <w:t>http://doi.org/10.1371/journal.pone.0167969</w:t>
        </w:r>
      </w:hyperlink>
    </w:p>
    <w:p w14:paraId="703248B7"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E88E541" w14:textId="5FB6C9B3"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Gong, T., Hartmann, N., </w:t>
      </w:r>
      <w:proofErr w:type="spellStart"/>
      <w:r>
        <w:rPr>
          <w:rFonts w:ascii="TUOS Blake" w:eastAsiaTheme="minorEastAsia" w:hAnsi="TUOS Blake" w:cs="TUOS Blake"/>
        </w:rPr>
        <w:t>Kohane</w:t>
      </w:r>
      <w:proofErr w:type="spellEnd"/>
      <w:r>
        <w:rPr>
          <w:rFonts w:ascii="TUOS Blake" w:eastAsiaTheme="minorEastAsia" w:hAnsi="TUOS Blake" w:cs="TUOS Blake"/>
        </w:rPr>
        <w:t xml:space="preserve">, I. S., Brinkmann, V., Staedtler, F., </w:t>
      </w:r>
      <w:proofErr w:type="spellStart"/>
      <w:r>
        <w:rPr>
          <w:rFonts w:ascii="TUOS Blake" w:eastAsiaTheme="minorEastAsia" w:hAnsi="TUOS Blake" w:cs="TUOS Blake"/>
        </w:rPr>
        <w:t>Letzkus</w:t>
      </w:r>
      <w:proofErr w:type="spellEnd"/>
      <w:r>
        <w:rPr>
          <w:rFonts w:ascii="TUOS Blake" w:eastAsiaTheme="minorEastAsia" w:hAnsi="TUOS Blake" w:cs="TUOS Blake"/>
        </w:rPr>
        <w:t xml:space="preserve">, M., et al. (2011). Optimal Deconvolution of Transcriptional Profiling Data Using Quadratic Programming with Application to Complex Clinical Blood Samples. </w:t>
      </w:r>
      <w:proofErr w:type="spellStart"/>
      <w:r>
        <w:rPr>
          <w:rFonts w:ascii="TUOS Blake" w:eastAsiaTheme="minorEastAsia" w:hAnsi="TUOS Blake" w:cs="TUOS Blake"/>
          <w:i/>
          <w:iCs/>
        </w:rPr>
        <w:t>PloS</w:t>
      </w:r>
      <w:proofErr w:type="spellEnd"/>
      <w:r>
        <w:rPr>
          <w:rFonts w:ascii="TUOS Blake" w:eastAsiaTheme="minorEastAsia" w:hAnsi="TUOS Blake" w:cs="TUOS Blake"/>
          <w:i/>
          <w:iCs/>
        </w:rPr>
        <w:t xml:space="preserve"> One</w:t>
      </w:r>
      <w:r>
        <w:rPr>
          <w:rFonts w:ascii="TUOS Blake" w:eastAsiaTheme="minorEastAsia" w:hAnsi="TUOS Blake" w:cs="TUOS Blake"/>
        </w:rPr>
        <w:t xml:space="preserve">, </w:t>
      </w:r>
      <w:r>
        <w:rPr>
          <w:rFonts w:ascii="TUOS Blake" w:eastAsiaTheme="minorEastAsia" w:hAnsi="TUOS Blake" w:cs="TUOS Blake"/>
          <w:i/>
          <w:iCs/>
        </w:rPr>
        <w:t>6</w:t>
      </w:r>
      <w:r>
        <w:rPr>
          <w:rFonts w:ascii="TUOS Blake" w:eastAsiaTheme="minorEastAsia" w:hAnsi="TUOS Blake" w:cs="TUOS Blake"/>
        </w:rPr>
        <w:t xml:space="preserve">(11), e27156. </w:t>
      </w:r>
      <w:hyperlink r:id="rId72" w:history="1">
        <w:r w:rsidR="00612721" w:rsidRPr="000D4288">
          <w:rPr>
            <w:rStyle w:val="Hyperlink"/>
            <w:rFonts w:ascii="TUOS Blake" w:eastAsiaTheme="minorEastAsia" w:hAnsi="TUOS Blake" w:cs="TUOS Blake"/>
          </w:rPr>
          <w:t>http://doi.org/10.1371/journal.pone.0027156</w:t>
        </w:r>
      </w:hyperlink>
    </w:p>
    <w:p w14:paraId="54C7799E"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4CFC96D" w14:textId="50C53AA7"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Grasso, M., </w:t>
      </w:r>
      <w:proofErr w:type="spellStart"/>
      <w:r>
        <w:rPr>
          <w:rFonts w:ascii="TUOS Blake" w:eastAsiaTheme="minorEastAsia" w:hAnsi="TUOS Blake" w:cs="TUOS Blake"/>
        </w:rPr>
        <w:t>Piscopo</w:t>
      </w:r>
      <w:proofErr w:type="spellEnd"/>
      <w:r>
        <w:rPr>
          <w:rFonts w:ascii="TUOS Blake" w:eastAsiaTheme="minorEastAsia" w:hAnsi="TUOS Blake" w:cs="TUOS Blake"/>
        </w:rPr>
        <w:t xml:space="preserve">, P., </w:t>
      </w:r>
      <w:proofErr w:type="spellStart"/>
      <w:r>
        <w:rPr>
          <w:rFonts w:ascii="TUOS Blake" w:eastAsiaTheme="minorEastAsia" w:hAnsi="TUOS Blake" w:cs="TUOS Blake"/>
        </w:rPr>
        <w:t>Talarico</w:t>
      </w:r>
      <w:proofErr w:type="spellEnd"/>
      <w:r>
        <w:rPr>
          <w:rFonts w:ascii="TUOS Blake" w:eastAsiaTheme="minorEastAsia" w:hAnsi="TUOS Blake" w:cs="TUOS Blake"/>
        </w:rPr>
        <w:t xml:space="preserve">, G., Ricci, L., </w:t>
      </w:r>
      <w:proofErr w:type="spellStart"/>
      <w:r>
        <w:rPr>
          <w:rFonts w:ascii="TUOS Blake" w:eastAsiaTheme="minorEastAsia" w:hAnsi="TUOS Blake" w:cs="TUOS Blake"/>
        </w:rPr>
        <w:t>Crestini</w:t>
      </w:r>
      <w:proofErr w:type="spellEnd"/>
      <w:r>
        <w:rPr>
          <w:rFonts w:ascii="TUOS Blake" w:eastAsiaTheme="minorEastAsia" w:hAnsi="TUOS Blake" w:cs="TUOS Blake"/>
        </w:rPr>
        <w:t xml:space="preserve">, A., Tosto, G., et al. (2019). Plasma microRNA profiling distinguishes patients with frontotemporal dementia from healthy subjects. </w:t>
      </w:r>
      <w:r>
        <w:rPr>
          <w:rFonts w:ascii="TUOS Blake" w:eastAsiaTheme="minorEastAsia" w:hAnsi="TUOS Blake" w:cs="TUOS Blake"/>
          <w:i/>
          <w:iCs/>
        </w:rPr>
        <w:t>Neurobiology of Aging</w:t>
      </w:r>
      <w:r>
        <w:rPr>
          <w:rFonts w:ascii="TUOS Blake" w:eastAsiaTheme="minorEastAsia" w:hAnsi="TUOS Blake" w:cs="TUOS Blake"/>
        </w:rPr>
        <w:t xml:space="preserve">, 1–12. </w:t>
      </w:r>
      <w:hyperlink r:id="rId73" w:history="1">
        <w:r w:rsidR="00612721" w:rsidRPr="000D4288">
          <w:rPr>
            <w:rStyle w:val="Hyperlink"/>
            <w:rFonts w:ascii="TUOS Blake" w:eastAsiaTheme="minorEastAsia" w:hAnsi="TUOS Blake" w:cs="TUOS Blake"/>
          </w:rPr>
          <w:t>http://doi.org/10.1016/j.neurobiolaging.2019.01.024</w:t>
        </w:r>
      </w:hyperlink>
    </w:p>
    <w:p w14:paraId="6D8C71DC"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726F3A21" w14:textId="3005EE0D"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Hachulla</w:t>
      </w:r>
      <w:proofErr w:type="spellEnd"/>
      <w:r>
        <w:rPr>
          <w:rFonts w:ascii="TUOS Blake" w:eastAsiaTheme="minorEastAsia" w:hAnsi="TUOS Blake" w:cs="TUOS Blake"/>
        </w:rPr>
        <w:t xml:space="preserve">, É., &amp; Launay, D. (2011). Diagnosis and classification of systemic sclerosis. </w:t>
      </w:r>
      <w:r>
        <w:rPr>
          <w:rFonts w:ascii="TUOS Blake" w:eastAsiaTheme="minorEastAsia" w:hAnsi="TUOS Blake" w:cs="TUOS Blake"/>
          <w:i/>
          <w:iCs/>
        </w:rPr>
        <w:t>Clinical Reviews in Allergy &amp; Immunology</w:t>
      </w:r>
      <w:r>
        <w:rPr>
          <w:rFonts w:ascii="TUOS Blake" w:eastAsiaTheme="minorEastAsia" w:hAnsi="TUOS Blake" w:cs="TUOS Blake"/>
        </w:rPr>
        <w:t xml:space="preserve">, </w:t>
      </w:r>
      <w:r>
        <w:rPr>
          <w:rFonts w:ascii="TUOS Blake" w:eastAsiaTheme="minorEastAsia" w:hAnsi="TUOS Blake" w:cs="TUOS Blake"/>
          <w:i/>
          <w:iCs/>
        </w:rPr>
        <w:t>40</w:t>
      </w:r>
      <w:r>
        <w:rPr>
          <w:rFonts w:ascii="TUOS Blake" w:eastAsiaTheme="minorEastAsia" w:hAnsi="TUOS Blake" w:cs="TUOS Blake"/>
        </w:rPr>
        <w:t xml:space="preserve">(2), 78–83. </w:t>
      </w:r>
      <w:hyperlink r:id="rId74" w:history="1">
        <w:r w:rsidR="00612721" w:rsidRPr="000D4288">
          <w:rPr>
            <w:rStyle w:val="Hyperlink"/>
            <w:rFonts w:ascii="TUOS Blake" w:eastAsiaTheme="minorEastAsia" w:hAnsi="TUOS Blake" w:cs="TUOS Blake"/>
          </w:rPr>
          <w:t>http://doi.org/10.1007/s12016-010-8198-y</w:t>
        </w:r>
      </w:hyperlink>
    </w:p>
    <w:p w14:paraId="6589E2FB"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015F488" w14:textId="7A700260"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Hachulla</w:t>
      </w:r>
      <w:proofErr w:type="spellEnd"/>
      <w:r>
        <w:rPr>
          <w:rFonts w:ascii="TUOS Blake" w:eastAsiaTheme="minorEastAsia" w:hAnsi="TUOS Blake" w:cs="TUOS Blake"/>
        </w:rPr>
        <w:t xml:space="preserve">, É., </w:t>
      </w:r>
      <w:proofErr w:type="spellStart"/>
      <w:r>
        <w:rPr>
          <w:rFonts w:ascii="TUOS Blake" w:eastAsiaTheme="minorEastAsia" w:hAnsi="TUOS Blake" w:cs="TUOS Blake"/>
        </w:rPr>
        <w:t>Gressin</w:t>
      </w:r>
      <w:proofErr w:type="spellEnd"/>
      <w:r>
        <w:rPr>
          <w:rFonts w:ascii="TUOS Blake" w:eastAsiaTheme="minorEastAsia" w:hAnsi="TUOS Blake" w:cs="TUOS Blake"/>
        </w:rPr>
        <w:t xml:space="preserve">, V., Guillevin, L., </w:t>
      </w:r>
      <w:proofErr w:type="spellStart"/>
      <w:r>
        <w:rPr>
          <w:rFonts w:ascii="TUOS Blake" w:eastAsiaTheme="minorEastAsia" w:hAnsi="TUOS Blake" w:cs="TUOS Blake"/>
        </w:rPr>
        <w:t>Carpentier</w:t>
      </w:r>
      <w:proofErr w:type="spellEnd"/>
      <w:r>
        <w:rPr>
          <w:rFonts w:ascii="TUOS Blake" w:eastAsiaTheme="minorEastAsia" w:hAnsi="TUOS Blake" w:cs="TUOS Blake"/>
        </w:rPr>
        <w:t xml:space="preserve">, P., </w:t>
      </w:r>
      <w:proofErr w:type="spellStart"/>
      <w:r>
        <w:rPr>
          <w:rFonts w:ascii="TUOS Blake" w:eastAsiaTheme="minorEastAsia" w:hAnsi="TUOS Blake" w:cs="TUOS Blake"/>
        </w:rPr>
        <w:t>Diot</w:t>
      </w:r>
      <w:proofErr w:type="spellEnd"/>
      <w:r>
        <w:rPr>
          <w:rFonts w:ascii="TUOS Blake" w:eastAsiaTheme="minorEastAsia" w:hAnsi="TUOS Blake" w:cs="TUOS Blake"/>
        </w:rPr>
        <w:t xml:space="preserve">, E., </w:t>
      </w:r>
      <w:proofErr w:type="spellStart"/>
      <w:r>
        <w:rPr>
          <w:rFonts w:ascii="TUOS Blake" w:eastAsiaTheme="minorEastAsia" w:hAnsi="TUOS Blake" w:cs="TUOS Blake"/>
        </w:rPr>
        <w:t>Sibilia</w:t>
      </w:r>
      <w:proofErr w:type="spellEnd"/>
      <w:r>
        <w:rPr>
          <w:rFonts w:ascii="TUOS Blake" w:eastAsiaTheme="minorEastAsia" w:hAnsi="TUOS Blake" w:cs="TUOS Blake"/>
        </w:rPr>
        <w:t xml:space="preserve">, J., et al. (2005). Early detection of pulmonary arterial hypertension in systemic sclerosis: a French nationwide prospective </w:t>
      </w:r>
      <w:proofErr w:type="spellStart"/>
      <w:r>
        <w:rPr>
          <w:rFonts w:ascii="TUOS Blake" w:eastAsiaTheme="minorEastAsia" w:hAnsi="TUOS Blake" w:cs="TUOS Blake"/>
        </w:rPr>
        <w:t>multicenter</w:t>
      </w:r>
      <w:proofErr w:type="spellEnd"/>
      <w:r>
        <w:rPr>
          <w:rFonts w:ascii="TUOS Blake" w:eastAsiaTheme="minorEastAsia" w:hAnsi="TUOS Blake" w:cs="TUOS Blake"/>
        </w:rPr>
        <w:t xml:space="preserve"> study. </w:t>
      </w:r>
      <w:r>
        <w:rPr>
          <w:rFonts w:ascii="TUOS Blake" w:eastAsiaTheme="minorEastAsia" w:hAnsi="TUOS Blake" w:cs="TUOS Blake"/>
          <w:i/>
          <w:iCs/>
        </w:rPr>
        <w:t>Arthritis and Rheumatism</w:t>
      </w:r>
      <w:r>
        <w:rPr>
          <w:rFonts w:ascii="TUOS Blake" w:eastAsiaTheme="minorEastAsia" w:hAnsi="TUOS Blake" w:cs="TUOS Blake"/>
        </w:rPr>
        <w:t xml:space="preserve">, </w:t>
      </w:r>
      <w:r>
        <w:rPr>
          <w:rFonts w:ascii="TUOS Blake" w:eastAsiaTheme="minorEastAsia" w:hAnsi="TUOS Blake" w:cs="TUOS Blake"/>
          <w:i/>
          <w:iCs/>
        </w:rPr>
        <w:t>52</w:t>
      </w:r>
      <w:r>
        <w:rPr>
          <w:rFonts w:ascii="TUOS Blake" w:eastAsiaTheme="minorEastAsia" w:hAnsi="TUOS Blake" w:cs="TUOS Blake"/>
        </w:rPr>
        <w:t xml:space="preserve">(12), 3792–3800. </w:t>
      </w:r>
      <w:hyperlink r:id="rId75" w:history="1">
        <w:r w:rsidR="00612721" w:rsidRPr="000D4288">
          <w:rPr>
            <w:rStyle w:val="Hyperlink"/>
            <w:rFonts w:ascii="TUOS Blake" w:eastAsiaTheme="minorEastAsia" w:hAnsi="TUOS Blake" w:cs="TUOS Blake"/>
          </w:rPr>
          <w:t>http://doi.org/10.1002/art.21433</w:t>
        </w:r>
      </w:hyperlink>
    </w:p>
    <w:p w14:paraId="48D223DD"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552D8A7" w14:textId="77777777"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i/>
          <w:iCs/>
        </w:rPr>
      </w:pPr>
      <w:r>
        <w:rPr>
          <w:rFonts w:ascii="TUOS Blake" w:eastAsiaTheme="minorEastAsia" w:hAnsi="TUOS Blake" w:cs="TUOS Blake"/>
        </w:rPr>
        <w:t xml:space="preserve">Hanley, J. A., Radiology, B. M., 1982. (1982). The meaning and use of the area under a receiver operating characteristic (ROC) curve. </w:t>
      </w:r>
      <w:r>
        <w:rPr>
          <w:rFonts w:ascii="TUOS Blake" w:eastAsiaTheme="minorEastAsia" w:hAnsi="TUOS Blake" w:cs="TUOS Blake"/>
          <w:i/>
          <w:iCs/>
        </w:rPr>
        <w:t>Pubs.Rsna.org</w:t>
      </w:r>
    </w:p>
    <w:p w14:paraId="664E50F0" w14:textId="6A65F9D4"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lastRenderedPageBreak/>
        <w:t xml:space="preserve">, </w:t>
      </w:r>
      <w:r>
        <w:rPr>
          <w:rFonts w:ascii="TUOS Blake" w:eastAsiaTheme="minorEastAsia" w:hAnsi="TUOS Blake" w:cs="TUOS Blake"/>
          <w:i/>
          <w:iCs/>
        </w:rPr>
        <w:t>143</w:t>
      </w:r>
      <w:r>
        <w:rPr>
          <w:rFonts w:ascii="TUOS Blake" w:eastAsiaTheme="minorEastAsia" w:hAnsi="TUOS Blake" w:cs="TUOS Blake"/>
        </w:rPr>
        <w:t xml:space="preserve">(1), 29–36. </w:t>
      </w:r>
      <w:hyperlink r:id="rId76" w:history="1">
        <w:r w:rsidR="00612721" w:rsidRPr="000D4288">
          <w:rPr>
            <w:rStyle w:val="Hyperlink"/>
            <w:rFonts w:ascii="TUOS Blake" w:eastAsiaTheme="minorEastAsia" w:hAnsi="TUOS Blake" w:cs="TUOS Blake"/>
          </w:rPr>
          <w:t>http://doi.org/10.1148/radiology.143.1.7063747</w:t>
        </w:r>
      </w:hyperlink>
    </w:p>
    <w:p w14:paraId="53041DE9"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6583F1F5" w14:textId="704A88E4"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Hannafon</w:t>
      </w:r>
      <w:proofErr w:type="spellEnd"/>
      <w:r>
        <w:rPr>
          <w:rFonts w:ascii="TUOS Blake" w:eastAsiaTheme="minorEastAsia" w:hAnsi="TUOS Blake" w:cs="TUOS Blake"/>
        </w:rPr>
        <w:t xml:space="preserve">, B. N., </w:t>
      </w:r>
      <w:proofErr w:type="spellStart"/>
      <w:r>
        <w:rPr>
          <w:rFonts w:ascii="TUOS Blake" w:eastAsiaTheme="minorEastAsia" w:hAnsi="TUOS Blake" w:cs="TUOS Blake"/>
        </w:rPr>
        <w:t>Trigoso</w:t>
      </w:r>
      <w:proofErr w:type="spellEnd"/>
      <w:r>
        <w:rPr>
          <w:rFonts w:ascii="TUOS Blake" w:eastAsiaTheme="minorEastAsia" w:hAnsi="TUOS Blake" w:cs="TUOS Blake"/>
        </w:rPr>
        <w:t xml:space="preserve">, Y. D., Calloway, C. L., Zhao, Y. D., Lum, D. H., </w:t>
      </w:r>
      <w:proofErr w:type="spellStart"/>
      <w:r>
        <w:rPr>
          <w:rFonts w:ascii="TUOS Blake" w:eastAsiaTheme="minorEastAsia" w:hAnsi="TUOS Blake" w:cs="TUOS Blake"/>
        </w:rPr>
        <w:t>Welm</w:t>
      </w:r>
      <w:proofErr w:type="spellEnd"/>
      <w:r>
        <w:rPr>
          <w:rFonts w:ascii="TUOS Blake" w:eastAsiaTheme="minorEastAsia" w:hAnsi="TUOS Blake" w:cs="TUOS Blake"/>
        </w:rPr>
        <w:t xml:space="preserve">, A. L., et al. (2016). Plasma exosome microRNAs are indicative of breast cancer. </w:t>
      </w:r>
      <w:r>
        <w:rPr>
          <w:rFonts w:ascii="TUOS Blake" w:eastAsiaTheme="minorEastAsia" w:hAnsi="TUOS Blake" w:cs="TUOS Blake"/>
          <w:i/>
          <w:iCs/>
        </w:rPr>
        <w:t xml:space="preserve">Breast Cancer </w:t>
      </w:r>
      <w:proofErr w:type="gramStart"/>
      <w:r>
        <w:rPr>
          <w:rFonts w:ascii="TUOS Blake" w:eastAsiaTheme="minorEastAsia" w:hAnsi="TUOS Blake" w:cs="TUOS Blake"/>
          <w:i/>
          <w:iCs/>
        </w:rPr>
        <w:t>Research :</w:t>
      </w:r>
      <w:proofErr w:type="gramEnd"/>
      <w:r>
        <w:rPr>
          <w:rFonts w:ascii="TUOS Blake" w:eastAsiaTheme="minorEastAsia" w:hAnsi="TUOS Blake" w:cs="TUOS Blake"/>
          <w:i/>
          <w:iCs/>
        </w:rPr>
        <w:t xml:space="preserve"> BCR</w:t>
      </w:r>
      <w:r>
        <w:rPr>
          <w:rFonts w:ascii="TUOS Blake" w:eastAsiaTheme="minorEastAsia" w:hAnsi="TUOS Blake" w:cs="TUOS Blake"/>
        </w:rPr>
        <w:t xml:space="preserve">, </w:t>
      </w:r>
      <w:r>
        <w:rPr>
          <w:rFonts w:ascii="TUOS Blake" w:eastAsiaTheme="minorEastAsia" w:hAnsi="TUOS Blake" w:cs="TUOS Blake"/>
          <w:i/>
          <w:iCs/>
        </w:rPr>
        <w:t>18</w:t>
      </w:r>
      <w:r>
        <w:rPr>
          <w:rFonts w:ascii="TUOS Blake" w:eastAsiaTheme="minorEastAsia" w:hAnsi="TUOS Blake" w:cs="TUOS Blake"/>
        </w:rPr>
        <w:t xml:space="preserve">(1), 90. </w:t>
      </w:r>
      <w:hyperlink r:id="rId77" w:history="1">
        <w:r w:rsidR="00612721" w:rsidRPr="000D4288">
          <w:rPr>
            <w:rStyle w:val="Hyperlink"/>
            <w:rFonts w:ascii="TUOS Blake" w:eastAsiaTheme="minorEastAsia" w:hAnsi="TUOS Blake" w:cs="TUOS Blake"/>
          </w:rPr>
          <w:t>http://doi.org/10.1186/s13058-016-0753-x</w:t>
        </w:r>
      </w:hyperlink>
    </w:p>
    <w:p w14:paraId="349FA004"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11E63DFE" w14:textId="3CA5A9C6"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Hemnes</w:t>
      </w:r>
      <w:proofErr w:type="spellEnd"/>
      <w:r>
        <w:rPr>
          <w:rFonts w:ascii="TUOS Blake" w:eastAsiaTheme="minorEastAsia" w:hAnsi="TUOS Blake" w:cs="TUOS Blake"/>
        </w:rPr>
        <w:t xml:space="preserve">, A. R., Trammell, A. W., Archer, S. L., Rich, S., Yu, C., </w:t>
      </w:r>
      <w:proofErr w:type="spellStart"/>
      <w:r>
        <w:rPr>
          <w:rFonts w:ascii="TUOS Blake" w:eastAsiaTheme="minorEastAsia" w:hAnsi="TUOS Blake" w:cs="TUOS Blake"/>
        </w:rPr>
        <w:t>Nian</w:t>
      </w:r>
      <w:proofErr w:type="spellEnd"/>
      <w:r>
        <w:rPr>
          <w:rFonts w:ascii="TUOS Blake" w:eastAsiaTheme="minorEastAsia" w:hAnsi="TUOS Blake" w:cs="TUOS Blake"/>
        </w:rPr>
        <w:t xml:space="preserve">, H., et al. (2015). Peripheral blood signature of vasodilator-responsive pulmonary arterial hypertension. </w:t>
      </w:r>
      <w:r>
        <w:rPr>
          <w:rFonts w:ascii="TUOS Blake" w:eastAsiaTheme="minorEastAsia" w:hAnsi="TUOS Blake" w:cs="TUOS Blake"/>
          <w:i/>
          <w:iCs/>
        </w:rPr>
        <w:t>Circulation</w:t>
      </w:r>
      <w:r>
        <w:rPr>
          <w:rFonts w:ascii="TUOS Blake" w:eastAsiaTheme="minorEastAsia" w:hAnsi="TUOS Blake" w:cs="TUOS Blake"/>
        </w:rPr>
        <w:t xml:space="preserve">, </w:t>
      </w:r>
      <w:r>
        <w:rPr>
          <w:rFonts w:ascii="TUOS Blake" w:eastAsiaTheme="minorEastAsia" w:hAnsi="TUOS Blake" w:cs="TUOS Blake"/>
          <w:i/>
          <w:iCs/>
        </w:rPr>
        <w:t>131</w:t>
      </w:r>
      <w:r>
        <w:rPr>
          <w:rFonts w:ascii="TUOS Blake" w:eastAsiaTheme="minorEastAsia" w:hAnsi="TUOS Blake" w:cs="TUOS Blake"/>
        </w:rPr>
        <w:t xml:space="preserve">(4), 401–9– discussion 409. </w:t>
      </w:r>
      <w:hyperlink r:id="rId78" w:history="1">
        <w:r w:rsidR="00612721" w:rsidRPr="000D4288">
          <w:rPr>
            <w:rStyle w:val="Hyperlink"/>
            <w:rFonts w:ascii="TUOS Blake" w:eastAsiaTheme="minorEastAsia" w:hAnsi="TUOS Blake" w:cs="TUOS Blake"/>
          </w:rPr>
          <w:t>http://doi.org/10.1161/CIRCULATIONAHA.114.013317</w:t>
        </w:r>
      </w:hyperlink>
    </w:p>
    <w:p w14:paraId="24D5A7C6"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8E4E1A9" w14:textId="0065CF7B"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Humbert, M., Morrell, N. W., Archer, S. L., </w:t>
      </w:r>
      <w:proofErr w:type="spellStart"/>
      <w:r>
        <w:rPr>
          <w:rFonts w:ascii="TUOS Blake" w:eastAsiaTheme="minorEastAsia" w:hAnsi="TUOS Blake" w:cs="TUOS Blake"/>
        </w:rPr>
        <w:t>Stenmark</w:t>
      </w:r>
      <w:proofErr w:type="spellEnd"/>
      <w:r>
        <w:rPr>
          <w:rFonts w:ascii="TUOS Blake" w:eastAsiaTheme="minorEastAsia" w:hAnsi="TUOS Blake" w:cs="TUOS Blake"/>
        </w:rPr>
        <w:t xml:space="preserve">, K. R., MacLean, M. R., Lang, I. M., et al. (2004). Cellular and molecular pathobiology of pulmonary arterial hypertension. </w:t>
      </w:r>
      <w:r>
        <w:rPr>
          <w:rFonts w:ascii="TUOS Blake" w:eastAsiaTheme="minorEastAsia" w:hAnsi="TUOS Blake" w:cs="TUOS Blake"/>
          <w:i/>
          <w:iCs/>
        </w:rPr>
        <w:t>Journal of the American College of Cardiology</w:t>
      </w:r>
      <w:r>
        <w:rPr>
          <w:rFonts w:ascii="TUOS Blake" w:eastAsiaTheme="minorEastAsia" w:hAnsi="TUOS Blake" w:cs="TUOS Blake"/>
        </w:rPr>
        <w:t xml:space="preserve">, </w:t>
      </w:r>
      <w:r>
        <w:rPr>
          <w:rFonts w:ascii="TUOS Blake" w:eastAsiaTheme="minorEastAsia" w:hAnsi="TUOS Blake" w:cs="TUOS Blake"/>
          <w:i/>
          <w:iCs/>
        </w:rPr>
        <w:t>43</w:t>
      </w:r>
      <w:r>
        <w:rPr>
          <w:rFonts w:ascii="TUOS Blake" w:eastAsiaTheme="minorEastAsia" w:hAnsi="TUOS Blake" w:cs="TUOS Blake"/>
        </w:rPr>
        <w:t xml:space="preserve">(12 </w:t>
      </w:r>
      <w:proofErr w:type="spellStart"/>
      <w:r>
        <w:rPr>
          <w:rFonts w:ascii="TUOS Blake" w:eastAsiaTheme="minorEastAsia" w:hAnsi="TUOS Blake" w:cs="TUOS Blake"/>
        </w:rPr>
        <w:t>Suppl</w:t>
      </w:r>
      <w:proofErr w:type="spellEnd"/>
      <w:r>
        <w:rPr>
          <w:rFonts w:ascii="TUOS Blake" w:eastAsiaTheme="minorEastAsia" w:hAnsi="TUOS Blake" w:cs="TUOS Blake"/>
        </w:rPr>
        <w:t xml:space="preserve"> S), 13S–24S. </w:t>
      </w:r>
      <w:hyperlink r:id="rId79" w:history="1">
        <w:r w:rsidR="00612721" w:rsidRPr="000D4288">
          <w:rPr>
            <w:rStyle w:val="Hyperlink"/>
            <w:rFonts w:ascii="TUOS Blake" w:eastAsiaTheme="minorEastAsia" w:hAnsi="TUOS Blake" w:cs="TUOS Blake"/>
          </w:rPr>
          <w:t>http://doi.org/10.1016/j.jacc.2004.02.029</w:t>
        </w:r>
      </w:hyperlink>
    </w:p>
    <w:p w14:paraId="48D46FEF"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FB1E691" w14:textId="7F298B7A"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Humbert, M., </w:t>
      </w:r>
      <w:proofErr w:type="spellStart"/>
      <w:r>
        <w:rPr>
          <w:rFonts w:ascii="TUOS Blake" w:eastAsiaTheme="minorEastAsia" w:hAnsi="TUOS Blake" w:cs="TUOS Blake"/>
        </w:rPr>
        <w:t>Yaici</w:t>
      </w:r>
      <w:proofErr w:type="spellEnd"/>
      <w:r>
        <w:rPr>
          <w:rFonts w:ascii="TUOS Blake" w:eastAsiaTheme="minorEastAsia" w:hAnsi="TUOS Blake" w:cs="TUOS Blake"/>
        </w:rPr>
        <w:t xml:space="preserve">, A., de Groote, P., </w:t>
      </w:r>
      <w:proofErr w:type="spellStart"/>
      <w:r>
        <w:rPr>
          <w:rFonts w:ascii="TUOS Blake" w:eastAsiaTheme="minorEastAsia" w:hAnsi="TUOS Blake" w:cs="TUOS Blake"/>
        </w:rPr>
        <w:t>Montani</w:t>
      </w:r>
      <w:proofErr w:type="spellEnd"/>
      <w:r>
        <w:rPr>
          <w:rFonts w:ascii="TUOS Blake" w:eastAsiaTheme="minorEastAsia" w:hAnsi="TUOS Blake" w:cs="TUOS Blake"/>
        </w:rPr>
        <w:t xml:space="preserve">, D., </w:t>
      </w:r>
      <w:proofErr w:type="spellStart"/>
      <w:r>
        <w:rPr>
          <w:rFonts w:ascii="TUOS Blake" w:eastAsiaTheme="minorEastAsia" w:hAnsi="TUOS Blake" w:cs="TUOS Blake"/>
        </w:rPr>
        <w:t>Sitbon</w:t>
      </w:r>
      <w:proofErr w:type="spellEnd"/>
      <w:r>
        <w:rPr>
          <w:rFonts w:ascii="TUOS Blake" w:eastAsiaTheme="minorEastAsia" w:hAnsi="TUOS Blake" w:cs="TUOS Blake"/>
        </w:rPr>
        <w:t xml:space="preserve">, O., Launay, D., et al. (2011). Screening for pulmonary arterial hypertension in patients with systemic sclerosis: clinical characteristics at diagnosis and long-term survival. </w:t>
      </w:r>
      <w:r>
        <w:rPr>
          <w:rFonts w:ascii="TUOS Blake" w:eastAsiaTheme="minorEastAsia" w:hAnsi="TUOS Blake" w:cs="TUOS Blake"/>
          <w:i/>
          <w:iCs/>
        </w:rPr>
        <w:t>Arthritis and Rheumatism</w:t>
      </w:r>
      <w:r>
        <w:rPr>
          <w:rFonts w:ascii="TUOS Blake" w:eastAsiaTheme="minorEastAsia" w:hAnsi="TUOS Blake" w:cs="TUOS Blake"/>
        </w:rPr>
        <w:t xml:space="preserve">, </w:t>
      </w:r>
      <w:r>
        <w:rPr>
          <w:rFonts w:ascii="TUOS Blake" w:eastAsiaTheme="minorEastAsia" w:hAnsi="TUOS Blake" w:cs="TUOS Blake"/>
          <w:i/>
          <w:iCs/>
        </w:rPr>
        <w:t>63</w:t>
      </w:r>
      <w:r>
        <w:rPr>
          <w:rFonts w:ascii="TUOS Blake" w:eastAsiaTheme="minorEastAsia" w:hAnsi="TUOS Blake" w:cs="TUOS Blake"/>
        </w:rPr>
        <w:t xml:space="preserve">(11), 3522–3530. </w:t>
      </w:r>
      <w:hyperlink r:id="rId80" w:history="1">
        <w:r w:rsidR="00612721" w:rsidRPr="000D4288">
          <w:rPr>
            <w:rStyle w:val="Hyperlink"/>
            <w:rFonts w:ascii="TUOS Blake" w:eastAsiaTheme="minorEastAsia" w:hAnsi="TUOS Blake" w:cs="TUOS Blake"/>
          </w:rPr>
          <w:t>http://doi.org/10.1002/art.30541</w:t>
        </w:r>
      </w:hyperlink>
    </w:p>
    <w:p w14:paraId="006FE938"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6E6F7CE" w14:textId="0F5096D6"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Hurdman</w:t>
      </w:r>
      <w:proofErr w:type="spellEnd"/>
      <w:r>
        <w:rPr>
          <w:rFonts w:ascii="TUOS Blake" w:eastAsiaTheme="minorEastAsia" w:hAnsi="TUOS Blake" w:cs="TUOS Blake"/>
        </w:rPr>
        <w:t xml:space="preserve">, J., </w:t>
      </w:r>
      <w:proofErr w:type="spellStart"/>
      <w:r>
        <w:rPr>
          <w:rFonts w:ascii="TUOS Blake" w:eastAsiaTheme="minorEastAsia" w:hAnsi="TUOS Blake" w:cs="TUOS Blake"/>
        </w:rPr>
        <w:t>Condliffe</w:t>
      </w:r>
      <w:proofErr w:type="spellEnd"/>
      <w:r>
        <w:rPr>
          <w:rFonts w:ascii="TUOS Blake" w:eastAsiaTheme="minorEastAsia" w:hAnsi="TUOS Blake" w:cs="TUOS Blake"/>
        </w:rPr>
        <w:t xml:space="preserve">, R., Elliot, C. A., Davies, C., Hill, C., Wild, J. M., et al. (2012). ASPIRE registry: Assessing the Spectrum of Pulmonary hypertension Identified at a </w:t>
      </w:r>
      <w:proofErr w:type="spellStart"/>
      <w:r>
        <w:rPr>
          <w:rFonts w:ascii="TUOS Blake" w:eastAsiaTheme="minorEastAsia" w:hAnsi="TUOS Blake" w:cs="TUOS Blake"/>
        </w:rPr>
        <w:t>REferral</w:t>
      </w:r>
      <w:proofErr w:type="spellEnd"/>
      <w:r>
        <w:rPr>
          <w:rFonts w:ascii="TUOS Blake" w:eastAsiaTheme="minorEastAsia" w:hAnsi="TUOS Blake" w:cs="TUOS Blake"/>
        </w:rPr>
        <w:t xml:space="preserve"> centre. </w:t>
      </w:r>
      <w:r>
        <w:rPr>
          <w:rFonts w:ascii="TUOS Blake" w:eastAsiaTheme="minorEastAsia" w:hAnsi="TUOS Blake" w:cs="TUOS Blake"/>
          <w:i/>
          <w:iCs/>
        </w:rPr>
        <w:t>European Respiratory Journal</w:t>
      </w:r>
      <w:r>
        <w:rPr>
          <w:rFonts w:ascii="TUOS Blake" w:eastAsiaTheme="minorEastAsia" w:hAnsi="TUOS Blake" w:cs="TUOS Blake"/>
        </w:rPr>
        <w:t xml:space="preserve">, </w:t>
      </w:r>
      <w:r>
        <w:rPr>
          <w:rFonts w:ascii="TUOS Blake" w:eastAsiaTheme="minorEastAsia" w:hAnsi="TUOS Blake" w:cs="TUOS Blake"/>
          <w:i/>
          <w:iCs/>
        </w:rPr>
        <w:t>39</w:t>
      </w:r>
      <w:r>
        <w:rPr>
          <w:rFonts w:ascii="TUOS Blake" w:eastAsiaTheme="minorEastAsia" w:hAnsi="TUOS Blake" w:cs="TUOS Blake"/>
        </w:rPr>
        <w:t xml:space="preserve">(4), 945–955. </w:t>
      </w:r>
      <w:hyperlink r:id="rId81" w:history="1">
        <w:r w:rsidR="00612721" w:rsidRPr="000D4288">
          <w:rPr>
            <w:rStyle w:val="Hyperlink"/>
            <w:rFonts w:ascii="TUOS Blake" w:eastAsiaTheme="minorEastAsia" w:hAnsi="TUOS Blake" w:cs="TUOS Blake"/>
          </w:rPr>
          <w:t>http://doi.org/10.1183/09031936.00078411</w:t>
        </w:r>
      </w:hyperlink>
    </w:p>
    <w:p w14:paraId="54AFD74D"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5BD7D57" w14:textId="07AF2BDD"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International PPH Consortium, Lane, K. B., Machado, R. D., </w:t>
      </w:r>
      <w:proofErr w:type="spellStart"/>
      <w:r>
        <w:rPr>
          <w:rFonts w:ascii="TUOS Blake" w:eastAsiaTheme="minorEastAsia" w:hAnsi="TUOS Blake" w:cs="TUOS Blake"/>
        </w:rPr>
        <w:t>Pauciulo</w:t>
      </w:r>
      <w:proofErr w:type="spellEnd"/>
      <w:r>
        <w:rPr>
          <w:rFonts w:ascii="TUOS Blake" w:eastAsiaTheme="minorEastAsia" w:hAnsi="TUOS Blake" w:cs="TUOS Blake"/>
        </w:rPr>
        <w:t xml:space="preserve">, M. W., Thomson, J. R., Phillips, J. A., et al. (2000). Heterozygous germline mutations in BMPR2, encoding a TGF-beta receptor, cause familial primary pulmonary hypertension. </w:t>
      </w:r>
      <w:r>
        <w:rPr>
          <w:rFonts w:ascii="TUOS Blake" w:eastAsiaTheme="minorEastAsia" w:hAnsi="TUOS Blake" w:cs="TUOS Blake"/>
          <w:i/>
          <w:iCs/>
        </w:rPr>
        <w:t>Nature Genetics</w:t>
      </w:r>
      <w:r>
        <w:rPr>
          <w:rFonts w:ascii="TUOS Blake" w:eastAsiaTheme="minorEastAsia" w:hAnsi="TUOS Blake" w:cs="TUOS Blake"/>
        </w:rPr>
        <w:t xml:space="preserve">, </w:t>
      </w:r>
      <w:r>
        <w:rPr>
          <w:rFonts w:ascii="TUOS Blake" w:eastAsiaTheme="minorEastAsia" w:hAnsi="TUOS Blake" w:cs="TUOS Blake"/>
          <w:i/>
          <w:iCs/>
        </w:rPr>
        <w:t>26</w:t>
      </w:r>
      <w:r>
        <w:rPr>
          <w:rFonts w:ascii="TUOS Blake" w:eastAsiaTheme="minorEastAsia" w:hAnsi="TUOS Blake" w:cs="TUOS Blake"/>
        </w:rPr>
        <w:t xml:space="preserve">(1), 81–84. </w:t>
      </w:r>
      <w:hyperlink r:id="rId82" w:history="1">
        <w:r w:rsidR="00612721" w:rsidRPr="000D4288">
          <w:rPr>
            <w:rStyle w:val="Hyperlink"/>
            <w:rFonts w:ascii="TUOS Blake" w:eastAsiaTheme="minorEastAsia" w:hAnsi="TUOS Blake" w:cs="TUOS Blake"/>
          </w:rPr>
          <w:t>http://doi.org/10.1038/79226</w:t>
        </w:r>
      </w:hyperlink>
    </w:p>
    <w:p w14:paraId="0FE7FE04"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617E54D6" w14:textId="45D4B772"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Izumiya, Y., </w:t>
      </w:r>
      <w:proofErr w:type="spellStart"/>
      <w:r>
        <w:rPr>
          <w:rFonts w:ascii="TUOS Blake" w:eastAsiaTheme="minorEastAsia" w:hAnsi="TUOS Blake" w:cs="TUOS Blake"/>
        </w:rPr>
        <w:t>Jinnn</w:t>
      </w:r>
      <w:proofErr w:type="spellEnd"/>
      <w:r>
        <w:rPr>
          <w:rFonts w:ascii="TUOS Blake" w:eastAsiaTheme="minorEastAsia" w:hAnsi="TUOS Blake" w:cs="TUOS Blake"/>
        </w:rPr>
        <w:t xml:space="preserve">, M., Kimura, Y., Wang, Z., </w:t>
      </w:r>
      <w:proofErr w:type="spellStart"/>
      <w:r>
        <w:rPr>
          <w:rFonts w:ascii="TUOS Blake" w:eastAsiaTheme="minorEastAsia" w:hAnsi="TUOS Blake" w:cs="TUOS Blake"/>
        </w:rPr>
        <w:t>Onoue</w:t>
      </w:r>
      <w:proofErr w:type="spellEnd"/>
      <w:r>
        <w:rPr>
          <w:rFonts w:ascii="TUOS Blake" w:eastAsiaTheme="minorEastAsia" w:hAnsi="TUOS Blake" w:cs="TUOS Blake"/>
        </w:rPr>
        <w:t xml:space="preserve">, Y., </w:t>
      </w:r>
      <w:proofErr w:type="spellStart"/>
      <w:r>
        <w:rPr>
          <w:rFonts w:ascii="TUOS Blake" w:eastAsiaTheme="minorEastAsia" w:hAnsi="TUOS Blake" w:cs="TUOS Blake"/>
        </w:rPr>
        <w:t>Hanatani</w:t>
      </w:r>
      <w:proofErr w:type="spellEnd"/>
      <w:r>
        <w:rPr>
          <w:rFonts w:ascii="TUOS Blake" w:eastAsiaTheme="minorEastAsia" w:hAnsi="TUOS Blake" w:cs="TUOS Blake"/>
        </w:rPr>
        <w:t xml:space="preserve">, S., et al. (2015). Expression of Let-7 family microRNAs in skin correlates negatively with severity of pulmonary hypertension in patients with systemic scleroderma. </w:t>
      </w:r>
      <w:r>
        <w:rPr>
          <w:rFonts w:ascii="TUOS Blake" w:eastAsiaTheme="minorEastAsia" w:hAnsi="TUOS Blake" w:cs="TUOS Blake"/>
          <w:i/>
          <w:iCs/>
        </w:rPr>
        <w:t>International Journal of Cardiology. Heart &amp; Vasculature</w:t>
      </w:r>
      <w:r>
        <w:rPr>
          <w:rFonts w:ascii="TUOS Blake" w:eastAsiaTheme="minorEastAsia" w:hAnsi="TUOS Blake" w:cs="TUOS Blake"/>
        </w:rPr>
        <w:t xml:space="preserve">, </w:t>
      </w:r>
      <w:r>
        <w:rPr>
          <w:rFonts w:ascii="TUOS Blake" w:eastAsiaTheme="minorEastAsia" w:hAnsi="TUOS Blake" w:cs="TUOS Blake"/>
          <w:i/>
          <w:iCs/>
        </w:rPr>
        <w:t>8</w:t>
      </w:r>
      <w:r>
        <w:rPr>
          <w:rFonts w:ascii="TUOS Blake" w:eastAsiaTheme="minorEastAsia" w:hAnsi="TUOS Blake" w:cs="TUOS Blake"/>
        </w:rPr>
        <w:t xml:space="preserve">, 98–102. </w:t>
      </w:r>
      <w:hyperlink r:id="rId83" w:history="1">
        <w:r w:rsidR="00612721" w:rsidRPr="000D4288">
          <w:rPr>
            <w:rStyle w:val="Hyperlink"/>
            <w:rFonts w:ascii="TUOS Blake" w:eastAsiaTheme="minorEastAsia" w:hAnsi="TUOS Blake" w:cs="TUOS Blake"/>
          </w:rPr>
          <w:t>http://doi.org/10.1016/j.ijcha.2015.06.006</w:t>
        </w:r>
      </w:hyperlink>
    </w:p>
    <w:p w14:paraId="3A729F9D"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689749A" w14:textId="5DE4303C"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J, M., F, P., M, V., A, B., I, J., L, D., et al. (2015). Bromodomain-Containing Protein 4: The Epigenetic Origin of Pulmonary Arterial Hypertension. </w:t>
      </w:r>
      <w:r>
        <w:rPr>
          <w:rFonts w:ascii="TUOS Blake" w:eastAsiaTheme="minorEastAsia" w:hAnsi="TUOS Blake" w:cs="TUOS Blake"/>
          <w:i/>
          <w:iCs/>
        </w:rPr>
        <w:t>Circulation Research</w:t>
      </w:r>
      <w:r>
        <w:rPr>
          <w:rFonts w:ascii="TUOS Blake" w:eastAsiaTheme="minorEastAsia" w:hAnsi="TUOS Blake" w:cs="TUOS Blake"/>
        </w:rPr>
        <w:t xml:space="preserve">, </w:t>
      </w:r>
      <w:r>
        <w:rPr>
          <w:rFonts w:ascii="TUOS Blake" w:eastAsiaTheme="minorEastAsia" w:hAnsi="TUOS Blake" w:cs="TUOS Blake"/>
          <w:i/>
          <w:iCs/>
        </w:rPr>
        <w:t>117</w:t>
      </w:r>
      <w:r>
        <w:rPr>
          <w:rFonts w:ascii="TUOS Blake" w:eastAsiaTheme="minorEastAsia" w:hAnsi="TUOS Blake" w:cs="TUOS Blake"/>
        </w:rPr>
        <w:t xml:space="preserve">(6), 525–535. </w:t>
      </w:r>
      <w:hyperlink r:id="rId84" w:history="1">
        <w:r w:rsidR="00612721" w:rsidRPr="000D4288">
          <w:rPr>
            <w:rStyle w:val="Hyperlink"/>
            <w:rFonts w:ascii="TUOS Blake" w:eastAsiaTheme="minorEastAsia" w:hAnsi="TUOS Blake" w:cs="TUOS Blake"/>
          </w:rPr>
          <w:t>http://doi.org/10.1161/CIRCRESAHA.115.307004</w:t>
        </w:r>
      </w:hyperlink>
    </w:p>
    <w:p w14:paraId="509FF97D"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224B1023" w14:textId="3BCB4BF7"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JE, I., X, Z., </w:t>
      </w:r>
      <w:proofErr w:type="spellStart"/>
      <w:r>
        <w:rPr>
          <w:rFonts w:ascii="TUOS Blake" w:eastAsiaTheme="minorEastAsia" w:hAnsi="TUOS Blake" w:cs="TUOS Blake"/>
        </w:rPr>
        <w:t>Rangaraj</w:t>
      </w:r>
      <w:proofErr w:type="spellEnd"/>
      <w:r>
        <w:rPr>
          <w:rFonts w:ascii="TUOS Blake" w:eastAsiaTheme="minorEastAsia" w:hAnsi="TUOS Blake" w:cs="TUOS Blake"/>
        </w:rPr>
        <w:t xml:space="preserve">, V, S, M., &amp; H, L. (2019). Microarray profiling identifies extracellular circulating miRNAs dysregulated in cystic fibrosis. </w:t>
      </w:r>
      <w:r>
        <w:rPr>
          <w:rFonts w:ascii="TUOS Blake" w:eastAsiaTheme="minorEastAsia" w:hAnsi="TUOS Blake" w:cs="TUOS Blake"/>
          <w:i/>
          <w:iCs/>
        </w:rPr>
        <w:t>Scientific Reports</w:t>
      </w:r>
      <w:r>
        <w:rPr>
          <w:rFonts w:ascii="TUOS Blake" w:eastAsiaTheme="minorEastAsia" w:hAnsi="TUOS Blake" w:cs="TUOS Blake"/>
        </w:rPr>
        <w:t xml:space="preserve">, </w:t>
      </w:r>
      <w:r>
        <w:rPr>
          <w:rFonts w:ascii="TUOS Blake" w:eastAsiaTheme="minorEastAsia" w:hAnsi="TUOS Blake" w:cs="TUOS Blake"/>
          <w:i/>
          <w:iCs/>
        </w:rPr>
        <w:t>9</w:t>
      </w:r>
      <w:r>
        <w:rPr>
          <w:rFonts w:ascii="TUOS Blake" w:eastAsiaTheme="minorEastAsia" w:hAnsi="TUOS Blake" w:cs="TUOS Blake"/>
        </w:rPr>
        <w:t xml:space="preserve">(1), 1585. </w:t>
      </w:r>
      <w:hyperlink r:id="rId85" w:history="1">
        <w:r w:rsidR="00612721" w:rsidRPr="000D4288">
          <w:rPr>
            <w:rStyle w:val="Hyperlink"/>
            <w:rFonts w:ascii="TUOS Blake" w:eastAsiaTheme="minorEastAsia" w:hAnsi="TUOS Blake" w:cs="TUOS Blake"/>
          </w:rPr>
          <w:t>http://doi.org/10.1038/s41598-019-51890-7</w:t>
        </w:r>
      </w:hyperlink>
    </w:p>
    <w:p w14:paraId="30476200"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4B6E08A" w14:textId="77777777"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Ji, X., Wu, B., Fan, J., Han, R., Luo, C., Wang, T., et al. (2015). The Anti-fibrotic Effects and Mechanisms of MicroRNA-486-5p in Pulmonary Fibrosis. </w:t>
      </w:r>
      <w:r>
        <w:rPr>
          <w:rFonts w:ascii="TUOS Blake" w:eastAsiaTheme="minorEastAsia" w:hAnsi="TUOS Blake" w:cs="TUOS Blake"/>
          <w:i/>
          <w:iCs/>
        </w:rPr>
        <w:t>Scientific Reports</w:t>
      </w:r>
      <w:r>
        <w:rPr>
          <w:rFonts w:ascii="TUOS Blake" w:eastAsiaTheme="minorEastAsia" w:hAnsi="TUOS Blake" w:cs="TUOS Blake"/>
        </w:rPr>
        <w:t xml:space="preserve">, </w:t>
      </w:r>
      <w:r>
        <w:rPr>
          <w:rFonts w:ascii="TUOS Blake" w:eastAsiaTheme="minorEastAsia" w:hAnsi="TUOS Blake" w:cs="TUOS Blake"/>
          <w:i/>
          <w:iCs/>
        </w:rPr>
        <w:t>5</w:t>
      </w:r>
      <w:r>
        <w:rPr>
          <w:rFonts w:ascii="TUOS Blake" w:eastAsiaTheme="minorEastAsia" w:hAnsi="TUOS Blake" w:cs="TUOS Blake"/>
        </w:rPr>
        <w:t>(1), 394. http://doi.org/10.1038/srep14131</w:t>
      </w:r>
    </w:p>
    <w:p w14:paraId="66D0CF18" w14:textId="23906380"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lastRenderedPageBreak/>
        <w:t>Kerem</w:t>
      </w:r>
      <w:proofErr w:type="spellEnd"/>
      <w:r>
        <w:rPr>
          <w:rFonts w:ascii="TUOS Blake" w:eastAsiaTheme="minorEastAsia" w:hAnsi="TUOS Blake" w:cs="TUOS Blake"/>
        </w:rPr>
        <w:t xml:space="preserve">, B., </w:t>
      </w:r>
      <w:proofErr w:type="spellStart"/>
      <w:r>
        <w:rPr>
          <w:rFonts w:ascii="TUOS Blake" w:eastAsiaTheme="minorEastAsia" w:hAnsi="TUOS Blake" w:cs="TUOS Blake"/>
        </w:rPr>
        <w:t>Rommens</w:t>
      </w:r>
      <w:proofErr w:type="spellEnd"/>
      <w:r>
        <w:rPr>
          <w:rFonts w:ascii="TUOS Blake" w:eastAsiaTheme="minorEastAsia" w:hAnsi="TUOS Blake" w:cs="TUOS Blake"/>
        </w:rPr>
        <w:t xml:space="preserve">, J. M., Buchanan, J. A., Markiewicz, D., Cox, T. K., </w:t>
      </w:r>
      <w:proofErr w:type="spellStart"/>
      <w:r>
        <w:rPr>
          <w:rFonts w:ascii="TUOS Blake" w:eastAsiaTheme="minorEastAsia" w:hAnsi="TUOS Blake" w:cs="TUOS Blake"/>
        </w:rPr>
        <w:t>Chakravarti</w:t>
      </w:r>
      <w:proofErr w:type="spellEnd"/>
      <w:r>
        <w:rPr>
          <w:rFonts w:ascii="TUOS Blake" w:eastAsiaTheme="minorEastAsia" w:hAnsi="TUOS Blake" w:cs="TUOS Blake"/>
        </w:rPr>
        <w:t xml:space="preserve">, A., et al. (1989). Identification of the cystic fibrosis gene: genetic analysis. </w:t>
      </w:r>
      <w:r>
        <w:rPr>
          <w:rFonts w:ascii="TUOS Blake" w:eastAsiaTheme="minorEastAsia" w:hAnsi="TUOS Blake" w:cs="TUOS Blake"/>
          <w:i/>
          <w:iCs/>
        </w:rPr>
        <w:t>Science (New York, N.Y.)</w:t>
      </w:r>
      <w:r>
        <w:rPr>
          <w:rFonts w:ascii="TUOS Blake" w:eastAsiaTheme="minorEastAsia" w:hAnsi="TUOS Blake" w:cs="TUOS Blake"/>
        </w:rPr>
        <w:t xml:space="preserve">, </w:t>
      </w:r>
      <w:r>
        <w:rPr>
          <w:rFonts w:ascii="TUOS Blake" w:eastAsiaTheme="minorEastAsia" w:hAnsi="TUOS Blake" w:cs="TUOS Blake"/>
          <w:i/>
          <w:iCs/>
        </w:rPr>
        <w:t>245</w:t>
      </w:r>
      <w:r>
        <w:rPr>
          <w:rFonts w:ascii="TUOS Blake" w:eastAsiaTheme="minorEastAsia" w:hAnsi="TUOS Blake" w:cs="TUOS Blake"/>
        </w:rPr>
        <w:t xml:space="preserve">(4922), 1073–1080. </w:t>
      </w:r>
      <w:hyperlink r:id="rId86" w:history="1">
        <w:r w:rsidR="00612721" w:rsidRPr="000D4288">
          <w:rPr>
            <w:rStyle w:val="Hyperlink"/>
            <w:rFonts w:ascii="TUOS Blake" w:eastAsiaTheme="minorEastAsia" w:hAnsi="TUOS Blake" w:cs="TUOS Blake"/>
          </w:rPr>
          <w:t>http://doi.org/10.1126/science.2570460</w:t>
        </w:r>
      </w:hyperlink>
    </w:p>
    <w:p w14:paraId="5EAC59FF"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73A5B810" w14:textId="36F22DBF"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Khalyfa</w:t>
      </w:r>
      <w:proofErr w:type="spellEnd"/>
      <w:r>
        <w:rPr>
          <w:rFonts w:ascii="TUOS Blake" w:eastAsiaTheme="minorEastAsia" w:hAnsi="TUOS Blake" w:cs="TUOS Blake"/>
        </w:rPr>
        <w:t xml:space="preserve">, A., </w:t>
      </w:r>
      <w:proofErr w:type="spellStart"/>
      <w:r>
        <w:rPr>
          <w:rFonts w:ascii="TUOS Blake" w:eastAsiaTheme="minorEastAsia" w:hAnsi="TUOS Blake" w:cs="TUOS Blake"/>
        </w:rPr>
        <w:t>Kheirandish-Gozal</w:t>
      </w:r>
      <w:proofErr w:type="spellEnd"/>
      <w:r>
        <w:rPr>
          <w:rFonts w:ascii="TUOS Blake" w:eastAsiaTheme="minorEastAsia" w:hAnsi="TUOS Blake" w:cs="TUOS Blake"/>
        </w:rPr>
        <w:t xml:space="preserve">, L., </w:t>
      </w:r>
      <w:proofErr w:type="spellStart"/>
      <w:r>
        <w:rPr>
          <w:rFonts w:ascii="TUOS Blake" w:eastAsiaTheme="minorEastAsia" w:hAnsi="TUOS Blake" w:cs="TUOS Blake"/>
        </w:rPr>
        <w:t>Khalyfa</w:t>
      </w:r>
      <w:proofErr w:type="spellEnd"/>
      <w:r>
        <w:rPr>
          <w:rFonts w:ascii="TUOS Blake" w:eastAsiaTheme="minorEastAsia" w:hAnsi="TUOS Blake" w:cs="TUOS Blake"/>
        </w:rPr>
        <w:t xml:space="preserve">, A. A., Philby, M. F., Alonso-Álvarez, M. L., </w:t>
      </w:r>
      <w:proofErr w:type="spellStart"/>
      <w:r>
        <w:rPr>
          <w:rFonts w:ascii="TUOS Blake" w:eastAsiaTheme="minorEastAsia" w:hAnsi="TUOS Blake" w:cs="TUOS Blake"/>
        </w:rPr>
        <w:t>Mohammadi</w:t>
      </w:r>
      <w:proofErr w:type="spellEnd"/>
      <w:r>
        <w:rPr>
          <w:rFonts w:ascii="TUOS Blake" w:eastAsiaTheme="minorEastAsia" w:hAnsi="TUOS Blake" w:cs="TUOS Blake"/>
        </w:rPr>
        <w:t xml:space="preserve">, M., et al. (2016). Circulating Plasma Extracellular </w:t>
      </w:r>
      <w:proofErr w:type="spellStart"/>
      <w:r>
        <w:rPr>
          <w:rFonts w:ascii="TUOS Blake" w:eastAsiaTheme="minorEastAsia" w:hAnsi="TUOS Blake" w:cs="TUOS Blake"/>
        </w:rPr>
        <w:t>Microvesicle</w:t>
      </w:r>
      <w:proofErr w:type="spellEnd"/>
      <w:r>
        <w:rPr>
          <w:rFonts w:ascii="TUOS Blake" w:eastAsiaTheme="minorEastAsia" w:hAnsi="TUOS Blake" w:cs="TUOS Blake"/>
        </w:rPr>
        <w:t xml:space="preserve"> MicroRNA Cargo and Endothelial Dysfunction in Children with Obstructive Sleep </w:t>
      </w:r>
      <w:proofErr w:type="spellStart"/>
      <w:r>
        <w:rPr>
          <w:rFonts w:ascii="TUOS Blake" w:eastAsiaTheme="minorEastAsia" w:hAnsi="TUOS Blake" w:cs="TUOS Blake"/>
        </w:rPr>
        <w:t>Apnea</w:t>
      </w:r>
      <w:proofErr w:type="spellEnd"/>
      <w:r>
        <w:rPr>
          <w:rFonts w:ascii="TUOS Blake" w:eastAsiaTheme="minorEastAsia" w:hAnsi="TUOS Blake" w:cs="TUOS Blake"/>
        </w:rPr>
        <w:t xml:space="preserve">. </w:t>
      </w:r>
      <w:r>
        <w:rPr>
          <w:rFonts w:ascii="TUOS Blake" w:eastAsiaTheme="minorEastAsia" w:hAnsi="TUOS Blake" w:cs="TUOS Blake"/>
          <w:i/>
          <w:iCs/>
        </w:rPr>
        <w:t>American Journal of Respiratory and Critical Care Medicine</w:t>
      </w:r>
      <w:r>
        <w:rPr>
          <w:rFonts w:ascii="TUOS Blake" w:eastAsiaTheme="minorEastAsia" w:hAnsi="TUOS Blake" w:cs="TUOS Blake"/>
        </w:rPr>
        <w:t xml:space="preserve">, </w:t>
      </w:r>
      <w:r>
        <w:rPr>
          <w:rFonts w:ascii="TUOS Blake" w:eastAsiaTheme="minorEastAsia" w:hAnsi="TUOS Blake" w:cs="TUOS Blake"/>
          <w:i/>
          <w:iCs/>
        </w:rPr>
        <w:t>194</w:t>
      </w:r>
      <w:r>
        <w:rPr>
          <w:rFonts w:ascii="TUOS Blake" w:eastAsiaTheme="minorEastAsia" w:hAnsi="TUOS Blake" w:cs="TUOS Blake"/>
        </w:rPr>
        <w:t xml:space="preserve">(9), 1116–1126. </w:t>
      </w:r>
      <w:hyperlink r:id="rId87" w:history="1">
        <w:r w:rsidR="00612721" w:rsidRPr="000D4288">
          <w:rPr>
            <w:rStyle w:val="Hyperlink"/>
            <w:rFonts w:ascii="TUOS Blake" w:eastAsiaTheme="minorEastAsia" w:hAnsi="TUOS Blake" w:cs="TUOS Blake"/>
          </w:rPr>
          <w:t>http://doi.org/10.1164/rccm.201602-0323OC</w:t>
        </w:r>
      </w:hyperlink>
    </w:p>
    <w:p w14:paraId="1733D75F"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79330AE" w14:textId="4911A502"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Kozomara</w:t>
      </w:r>
      <w:proofErr w:type="spellEnd"/>
      <w:r>
        <w:rPr>
          <w:rFonts w:ascii="TUOS Blake" w:eastAsiaTheme="minorEastAsia" w:hAnsi="TUOS Blake" w:cs="TUOS Blake"/>
        </w:rPr>
        <w:t xml:space="preserve">, A., </w:t>
      </w:r>
      <w:proofErr w:type="spellStart"/>
      <w:r>
        <w:rPr>
          <w:rFonts w:ascii="TUOS Blake" w:eastAsiaTheme="minorEastAsia" w:hAnsi="TUOS Blake" w:cs="TUOS Blake"/>
        </w:rPr>
        <w:t>Birgaoanu</w:t>
      </w:r>
      <w:proofErr w:type="spellEnd"/>
      <w:r>
        <w:rPr>
          <w:rFonts w:ascii="TUOS Blake" w:eastAsiaTheme="minorEastAsia" w:hAnsi="TUOS Blake" w:cs="TUOS Blake"/>
        </w:rPr>
        <w:t xml:space="preserve">, M., &amp; Griffiths-Jones, S. (2019). </w:t>
      </w:r>
      <w:proofErr w:type="spellStart"/>
      <w:r>
        <w:rPr>
          <w:rFonts w:ascii="TUOS Blake" w:eastAsiaTheme="minorEastAsia" w:hAnsi="TUOS Blake" w:cs="TUOS Blake"/>
        </w:rPr>
        <w:t>miRBase</w:t>
      </w:r>
      <w:proofErr w:type="spellEnd"/>
      <w:r>
        <w:rPr>
          <w:rFonts w:ascii="TUOS Blake" w:eastAsiaTheme="minorEastAsia" w:hAnsi="TUOS Blake" w:cs="TUOS Blake"/>
        </w:rPr>
        <w:t xml:space="preserve">: from microRNA sequences to function. </w:t>
      </w:r>
      <w:r>
        <w:rPr>
          <w:rFonts w:ascii="TUOS Blake" w:eastAsiaTheme="minorEastAsia" w:hAnsi="TUOS Blake" w:cs="TUOS Blake"/>
          <w:i/>
          <w:iCs/>
        </w:rPr>
        <w:t>Nucleic Acids Research</w:t>
      </w:r>
      <w:r>
        <w:rPr>
          <w:rFonts w:ascii="TUOS Blake" w:eastAsiaTheme="minorEastAsia" w:hAnsi="TUOS Blake" w:cs="TUOS Blake"/>
        </w:rPr>
        <w:t xml:space="preserve">, </w:t>
      </w:r>
      <w:r>
        <w:rPr>
          <w:rFonts w:ascii="TUOS Blake" w:eastAsiaTheme="minorEastAsia" w:hAnsi="TUOS Blake" w:cs="TUOS Blake"/>
          <w:i/>
          <w:iCs/>
        </w:rPr>
        <w:t>47</w:t>
      </w:r>
      <w:r>
        <w:rPr>
          <w:rFonts w:ascii="TUOS Blake" w:eastAsiaTheme="minorEastAsia" w:hAnsi="TUOS Blake" w:cs="TUOS Blake"/>
        </w:rPr>
        <w:t xml:space="preserve">(D1), D155–D162. </w:t>
      </w:r>
      <w:hyperlink r:id="rId88" w:history="1">
        <w:r w:rsidR="00612721" w:rsidRPr="000D4288">
          <w:rPr>
            <w:rStyle w:val="Hyperlink"/>
            <w:rFonts w:ascii="TUOS Blake" w:eastAsiaTheme="minorEastAsia" w:hAnsi="TUOS Blake" w:cs="TUOS Blake"/>
          </w:rPr>
          <w:t>http://doi.org/10.1093/nar/gky1141</w:t>
        </w:r>
      </w:hyperlink>
    </w:p>
    <w:p w14:paraId="209DCDB9"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24BF4839" w14:textId="5E283E4D"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Kursa</w:t>
      </w:r>
      <w:proofErr w:type="spellEnd"/>
      <w:r>
        <w:rPr>
          <w:rFonts w:ascii="TUOS Blake" w:eastAsiaTheme="minorEastAsia" w:hAnsi="TUOS Blake" w:cs="TUOS Blake"/>
        </w:rPr>
        <w:t xml:space="preserve">, M. B., &amp; </w:t>
      </w:r>
      <w:proofErr w:type="spellStart"/>
      <w:r>
        <w:rPr>
          <w:rFonts w:ascii="TUOS Blake" w:eastAsiaTheme="minorEastAsia" w:hAnsi="TUOS Blake" w:cs="TUOS Blake"/>
        </w:rPr>
        <w:t>Rudnicki</w:t>
      </w:r>
      <w:proofErr w:type="spellEnd"/>
      <w:r>
        <w:rPr>
          <w:rFonts w:ascii="TUOS Blake" w:eastAsiaTheme="minorEastAsia" w:hAnsi="TUOS Blake" w:cs="TUOS Blake"/>
        </w:rPr>
        <w:t xml:space="preserve">, W. R. (2010). Feature Selection with the </w:t>
      </w:r>
      <w:proofErr w:type="spellStart"/>
      <w:r>
        <w:rPr>
          <w:rFonts w:ascii="TUOS Blake" w:eastAsiaTheme="minorEastAsia" w:hAnsi="TUOS Blake" w:cs="TUOS Blake"/>
        </w:rPr>
        <w:t>BorutaPackage</w:t>
      </w:r>
      <w:proofErr w:type="spellEnd"/>
      <w:r>
        <w:rPr>
          <w:rFonts w:ascii="TUOS Blake" w:eastAsiaTheme="minorEastAsia" w:hAnsi="TUOS Blake" w:cs="TUOS Blake"/>
        </w:rPr>
        <w:t xml:space="preserve">. </w:t>
      </w:r>
      <w:r>
        <w:rPr>
          <w:rFonts w:ascii="TUOS Blake" w:eastAsiaTheme="minorEastAsia" w:hAnsi="TUOS Blake" w:cs="TUOS Blake"/>
          <w:i/>
          <w:iCs/>
        </w:rPr>
        <w:t>Journal of Statistical Software</w:t>
      </w:r>
      <w:r>
        <w:rPr>
          <w:rFonts w:ascii="TUOS Blake" w:eastAsiaTheme="minorEastAsia" w:hAnsi="TUOS Blake" w:cs="TUOS Blake"/>
        </w:rPr>
        <w:t xml:space="preserve">, </w:t>
      </w:r>
      <w:r>
        <w:rPr>
          <w:rFonts w:ascii="TUOS Blake" w:eastAsiaTheme="minorEastAsia" w:hAnsi="TUOS Blake" w:cs="TUOS Blake"/>
          <w:i/>
          <w:iCs/>
        </w:rPr>
        <w:t>36</w:t>
      </w:r>
      <w:r>
        <w:rPr>
          <w:rFonts w:ascii="TUOS Blake" w:eastAsiaTheme="minorEastAsia" w:hAnsi="TUOS Blake" w:cs="TUOS Blake"/>
        </w:rPr>
        <w:t xml:space="preserve">(11). </w:t>
      </w:r>
      <w:hyperlink r:id="rId89" w:history="1">
        <w:r w:rsidR="00612721" w:rsidRPr="000D4288">
          <w:rPr>
            <w:rStyle w:val="Hyperlink"/>
            <w:rFonts w:ascii="TUOS Blake" w:eastAsiaTheme="minorEastAsia" w:hAnsi="TUOS Blake" w:cs="TUOS Blake"/>
          </w:rPr>
          <w:t>http://doi.org/10.18637/jss.v036.i11</w:t>
        </w:r>
      </w:hyperlink>
    </w:p>
    <w:p w14:paraId="620DF4CC"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9427159" w14:textId="0CFB4146"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L, C., O, B., M, H., N, D., AM, H., R, G., et al. (2011). A novel murine model of severe pulmonary arterial hypertension. </w:t>
      </w:r>
      <w:r>
        <w:rPr>
          <w:rFonts w:ascii="TUOS Blake" w:eastAsiaTheme="minorEastAsia" w:hAnsi="TUOS Blake" w:cs="TUOS Blake"/>
          <w:i/>
          <w:iCs/>
        </w:rPr>
        <w:t>American Journal of Respiratory and Critical Care Medicine</w:t>
      </w:r>
      <w:r>
        <w:rPr>
          <w:rFonts w:ascii="TUOS Blake" w:eastAsiaTheme="minorEastAsia" w:hAnsi="TUOS Blake" w:cs="TUOS Blake"/>
        </w:rPr>
        <w:t xml:space="preserve">, </w:t>
      </w:r>
      <w:r>
        <w:rPr>
          <w:rFonts w:ascii="TUOS Blake" w:eastAsiaTheme="minorEastAsia" w:hAnsi="TUOS Blake" w:cs="TUOS Blake"/>
          <w:i/>
          <w:iCs/>
        </w:rPr>
        <w:t>184</w:t>
      </w:r>
      <w:r>
        <w:rPr>
          <w:rFonts w:ascii="TUOS Blake" w:eastAsiaTheme="minorEastAsia" w:hAnsi="TUOS Blake" w:cs="TUOS Blake"/>
        </w:rPr>
        <w:t xml:space="preserve">(10), 1171–1182. </w:t>
      </w:r>
      <w:hyperlink r:id="rId90" w:history="1">
        <w:r w:rsidR="00612721" w:rsidRPr="000D4288">
          <w:rPr>
            <w:rStyle w:val="Hyperlink"/>
            <w:rFonts w:ascii="TUOS Blake" w:eastAsiaTheme="minorEastAsia" w:hAnsi="TUOS Blake" w:cs="TUOS Blake"/>
          </w:rPr>
          <w:t>http://doi.org/10.1164/rccm.201103-0412OC</w:t>
        </w:r>
      </w:hyperlink>
    </w:p>
    <w:p w14:paraId="7BB04D56"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65033779" w14:textId="4E0F0177"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L, S., LH, R., WD, J., R, S., JA, W., SC, B., et al. (2006). The </w:t>
      </w:r>
      <w:proofErr w:type="spellStart"/>
      <w:r>
        <w:rPr>
          <w:rFonts w:ascii="TUOS Blake" w:eastAsiaTheme="minorEastAsia" w:hAnsi="TUOS Blake" w:cs="TUOS Blake"/>
        </w:rPr>
        <w:t>MicroArray</w:t>
      </w:r>
      <w:proofErr w:type="spellEnd"/>
      <w:r>
        <w:rPr>
          <w:rFonts w:ascii="TUOS Blake" w:eastAsiaTheme="minorEastAsia" w:hAnsi="TUOS Blake" w:cs="TUOS Blake"/>
        </w:rPr>
        <w:t xml:space="preserve"> Quality Control (MAQC) project shows inter- and intraplatform reproducibility of gene expression measurements. </w:t>
      </w:r>
      <w:r>
        <w:rPr>
          <w:rFonts w:ascii="TUOS Blake" w:eastAsiaTheme="minorEastAsia" w:hAnsi="TUOS Blake" w:cs="TUOS Blake"/>
          <w:i/>
          <w:iCs/>
        </w:rPr>
        <w:t>Nature Biotechnology</w:t>
      </w:r>
      <w:r>
        <w:rPr>
          <w:rFonts w:ascii="TUOS Blake" w:eastAsiaTheme="minorEastAsia" w:hAnsi="TUOS Blake" w:cs="TUOS Blake"/>
        </w:rPr>
        <w:t xml:space="preserve">, </w:t>
      </w:r>
      <w:r>
        <w:rPr>
          <w:rFonts w:ascii="TUOS Blake" w:eastAsiaTheme="minorEastAsia" w:hAnsi="TUOS Blake" w:cs="TUOS Blake"/>
          <w:i/>
          <w:iCs/>
        </w:rPr>
        <w:t>24</w:t>
      </w:r>
      <w:r>
        <w:rPr>
          <w:rFonts w:ascii="TUOS Blake" w:eastAsiaTheme="minorEastAsia" w:hAnsi="TUOS Blake" w:cs="TUOS Blake"/>
        </w:rPr>
        <w:t xml:space="preserve">(9), 1151–1161. </w:t>
      </w:r>
      <w:hyperlink r:id="rId91" w:history="1">
        <w:r w:rsidR="00612721" w:rsidRPr="000D4288">
          <w:rPr>
            <w:rStyle w:val="Hyperlink"/>
            <w:rFonts w:ascii="TUOS Blake" w:eastAsiaTheme="minorEastAsia" w:hAnsi="TUOS Blake" w:cs="TUOS Blake"/>
          </w:rPr>
          <w:t>http://doi.org/10.1038/nbt1239</w:t>
        </w:r>
      </w:hyperlink>
    </w:p>
    <w:p w14:paraId="11E27BC2"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7741C7C" w14:textId="020E6AAC"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Lai, Y.-C., </w:t>
      </w:r>
      <w:proofErr w:type="spellStart"/>
      <w:r>
        <w:rPr>
          <w:rFonts w:ascii="TUOS Blake" w:eastAsiaTheme="minorEastAsia" w:hAnsi="TUOS Blake" w:cs="TUOS Blake"/>
        </w:rPr>
        <w:t>Potoka</w:t>
      </w:r>
      <w:proofErr w:type="spellEnd"/>
      <w:r>
        <w:rPr>
          <w:rFonts w:ascii="TUOS Blake" w:eastAsiaTheme="minorEastAsia" w:hAnsi="TUOS Blake" w:cs="TUOS Blake"/>
        </w:rPr>
        <w:t xml:space="preserve">, K. C., Champion, H. C., Mora, A. L., &amp; Gladwin, M. T. (2014). Pulmonary arterial hypertension: the clinical syndrome. </w:t>
      </w:r>
      <w:r>
        <w:rPr>
          <w:rFonts w:ascii="TUOS Blake" w:eastAsiaTheme="minorEastAsia" w:hAnsi="TUOS Blake" w:cs="TUOS Blake"/>
          <w:i/>
          <w:iCs/>
        </w:rPr>
        <w:t>Circulation Research</w:t>
      </w:r>
      <w:r>
        <w:rPr>
          <w:rFonts w:ascii="TUOS Blake" w:eastAsiaTheme="minorEastAsia" w:hAnsi="TUOS Blake" w:cs="TUOS Blake"/>
        </w:rPr>
        <w:t xml:space="preserve">, </w:t>
      </w:r>
      <w:r>
        <w:rPr>
          <w:rFonts w:ascii="TUOS Blake" w:eastAsiaTheme="minorEastAsia" w:hAnsi="TUOS Blake" w:cs="TUOS Blake"/>
          <w:i/>
          <w:iCs/>
        </w:rPr>
        <w:t>115</w:t>
      </w:r>
      <w:r>
        <w:rPr>
          <w:rFonts w:ascii="TUOS Blake" w:eastAsiaTheme="minorEastAsia" w:hAnsi="TUOS Blake" w:cs="TUOS Blake"/>
        </w:rPr>
        <w:t xml:space="preserve">(1), 115–130. </w:t>
      </w:r>
      <w:hyperlink r:id="rId92" w:history="1">
        <w:r w:rsidR="00612721" w:rsidRPr="000D4288">
          <w:rPr>
            <w:rStyle w:val="Hyperlink"/>
            <w:rFonts w:ascii="TUOS Blake" w:eastAsiaTheme="minorEastAsia" w:hAnsi="TUOS Blake" w:cs="TUOS Blake"/>
          </w:rPr>
          <w:t>http://doi.org/10.1161/CIRCRESAHA.115.301146</w:t>
        </w:r>
      </w:hyperlink>
    </w:p>
    <w:p w14:paraId="1EE209A7"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C75A0BB" w14:textId="1067950B"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Lawrie, A. (2014). The role of the </w:t>
      </w:r>
      <w:proofErr w:type="spellStart"/>
      <w:r>
        <w:rPr>
          <w:rFonts w:ascii="TUOS Blake" w:eastAsiaTheme="minorEastAsia" w:hAnsi="TUOS Blake" w:cs="TUOS Blake"/>
        </w:rPr>
        <w:t>osteoprotegerin</w:t>
      </w:r>
      <w:proofErr w:type="spellEnd"/>
      <w:r>
        <w:rPr>
          <w:rFonts w:ascii="TUOS Blake" w:eastAsiaTheme="minorEastAsia" w:hAnsi="TUOS Blake" w:cs="TUOS Blake"/>
        </w:rPr>
        <w:t>/</w:t>
      </w:r>
      <w:proofErr w:type="spellStart"/>
      <w:r>
        <w:rPr>
          <w:rFonts w:ascii="TUOS Blake" w:eastAsiaTheme="minorEastAsia" w:hAnsi="TUOS Blake" w:cs="TUOS Blake"/>
        </w:rPr>
        <w:t>tumor</w:t>
      </w:r>
      <w:proofErr w:type="spellEnd"/>
      <w:r>
        <w:rPr>
          <w:rFonts w:ascii="TUOS Blake" w:eastAsiaTheme="minorEastAsia" w:hAnsi="TUOS Blake" w:cs="TUOS Blake"/>
        </w:rPr>
        <w:t xml:space="preserve"> necrosis factor related apoptosis-inducing ligand axis in the pathogenesis of pulmonary arterial hypertension. </w:t>
      </w:r>
      <w:r>
        <w:rPr>
          <w:rFonts w:ascii="TUOS Blake" w:eastAsiaTheme="minorEastAsia" w:hAnsi="TUOS Blake" w:cs="TUOS Blake"/>
          <w:i/>
          <w:iCs/>
        </w:rPr>
        <w:t>Vascular Pharmacology</w:t>
      </w:r>
      <w:r>
        <w:rPr>
          <w:rFonts w:ascii="TUOS Blake" w:eastAsiaTheme="minorEastAsia" w:hAnsi="TUOS Blake" w:cs="TUOS Blake"/>
        </w:rPr>
        <w:t xml:space="preserve">, </w:t>
      </w:r>
      <w:r>
        <w:rPr>
          <w:rFonts w:ascii="TUOS Blake" w:eastAsiaTheme="minorEastAsia" w:hAnsi="TUOS Blake" w:cs="TUOS Blake"/>
          <w:i/>
          <w:iCs/>
        </w:rPr>
        <w:t>63</w:t>
      </w:r>
      <w:r>
        <w:rPr>
          <w:rFonts w:ascii="TUOS Blake" w:eastAsiaTheme="minorEastAsia" w:hAnsi="TUOS Blake" w:cs="TUOS Blake"/>
        </w:rPr>
        <w:t xml:space="preserve">(3), 114–117. </w:t>
      </w:r>
      <w:hyperlink r:id="rId93" w:history="1">
        <w:r w:rsidR="00612721" w:rsidRPr="000D4288">
          <w:rPr>
            <w:rStyle w:val="Hyperlink"/>
            <w:rFonts w:ascii="TUOS Blake" w:eastAsiaTheme="minorEastAsia" w:hAnsi="TUOS Blake" w:cs="TUOS Blake"/>
          </w:rPr>
          <w:t>http://doi.org/10.1016/j.vph.2014.10.002</w:t>
        </w:r>
      </w:hyperlink>
    </w:p>
    <w:p w14:paraId="057880C3"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7A3FE0C" w14:textId="023CEF84"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Lee, R., </w:t>
      </w:r>
      <w:proofErr w:type="spellStart"/>
      <w:r>
        <w:rPr>
          <w:rFonts w:ascii="TUOS Blake" w:eastAsiaTheme="minorEastAsia" w:hAnsi="TUOS Blake" w:cs="TUOS Blake"/>
        </w:rPr>
        <w:t>Feinbaum</w:t>
      </w:r>
      <w:proofErr w:type="spellEnd"/>
      <w:r>
        <w:rPr>
          <w:rFonts w:ascii="TUOS Blake" w:eastAsiaTheme="minorEastAsia" w:hAnsi="TUOS Blake" w:cs="TUOS Blake"/>
        </w:rPr>
        <w:t xml:space="preserve">, R., &amp; </w:t>
      </w:r>
      <w:proofErr w:type="spellStart"/>
      <w:r>
        <w:rPr>
          <w:rFonts w:ascii="TUOS Blake" w:eastAsiaTheme="minorEastAsia" w:hAnsi="TUOS Blake" w:cs="TUOS Blake"/>
        </w:rPr>
        <w:t>Ambros</w:t>
      </w:r>
      <w:proofErr w:type="spellEnd"/>
      <w:r>
        <w:rPr>
          <w:rFonts w:ascii="TUOS Blake" w:eastAsiaTheme="minorEastAsia" w:hAnsi="TUOS Blake" w:cs="TUOS Blake"/>
        </w:rPr>
        <w:t xml:space="preserve">, V. (2004). A short history of a short RNA. </w:t>
      </w:r>
      <w:r>
        <w:rPr>
          <w:rFonts w:ascii="TUOS Blake" w:eastAsiaTheme="minorEastAsia" w:hAnsi="TUOS Blake" w:cs="TUOS Blake"/>
          <w:i/>
          <w:iCs/>
        </w:rPr>
        <w:t>Cell</w:t>
      </w:r>
      <w:r>
        <w:rPr>
          <w:rFonts w:ascii="TUOS Blake" w:eastAsiaTheme="minorEastAsia" w:hAnsi="TUOS Blake" w:cs="TUOS Blake"/>
        </w:rPr>
        <w:t xml:space="preserve">, </w:t>
      </w:r>
      <w:r>
        <w:rPr>
          <w:rFonts w:ascii="TUOS Blake" w:eastAsiaTheme="minorEastAsia" w:hAnsi="TUOS Blake" w:cs="TUOS Blake"/>
          <w:i/>
          <w:iCs/>
        </w:rPr>
        <w:t>116</w:t>
      </w:r>
      <w:r>
        <w:rPr>
          <w:rFonts w:ascii="TUOS Blake" w:eastAsiaTheme="minorEastAsia" w:hAnsi="TUOS Blake" w:cs="TUOS Blake"/>
        </w:rPr>
        <w:t xml:space="preserve">(2 </w:t>
      </w:r>
      <w:proofErr w:type="spellStart"/>
      <w:r>
        <w:rPr>
          <w:rFonts w:ascii="TUOS Blake" w:eastAsiaTheme="minorEastAsia" w:hAnsi="TUOS Blake" w:cs="TUOS Blake"/>
        </w:rPr>
        <w:t>Suppl</w:t>
      </w:r>
      <w:proofErr w:type="spellEnd"/>
      <w:r>
        <w:rPr>
          <w:rFonts w:ascii="TUOS Blake" w:eastAsiaTheme="minorEastAsia" w:hAnsi="TUOS Blake" w:cs="TUOS Blake"/>
        </w:rPr>
        <w:t xml:space="preserve">), S89–S92. </w:t>
      </w:r>
      <w:hyperlink r:id="rId94" w:history="1">
        <w:r w:rsidR="00612721" w:rsidRPr="000D4288">
          <w:rPr>
            <w:rStyle w:val="Hyperlink"/>
            <w:rFonts w:ascii="TUOS Blake" w:eastAsiaTheme="minorEastAsia" w:hAnsi="TUOS Blake" w:cs="TUOS Blake"/>
          </w:rPr>
          <w:t>http://doi.org/10.1016/S0092-8674(04)00035-2</w:t>
        </w:r>
      </w:hyperlink>
    </w:p>
    <w:p w14:paraId="15DD65C3"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9560393" w14:textId="18C596CC"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Leek, J. T., Johnson, W. E., Parker, H. S., Jaffe, A. E., &amp; Storey, J. D. (2012). The </w:t>
      </w:r>
      <w:proofErr w:type="spellStart"/>
      <w:r>
        <w:rPr>
          <w:rFonts w:ascii="TUOS Blake" w:eastAsiaTheme="minorEastAsia" w:hAnsi="TUOS Blake" w:cs="TUOS Blake"/>
        </w:rPr>
        <w:t>sva</w:t>
      </w:r>
      <w:proofErr w:type="spellEnd"/>
      <w:r>
        <w:rPr>
          <w:rFonts w:ascii="TUOS Blake" w:eastAsiaTheme="minorEastAsia" w:hAnsi="TUOS Blake" w:cs="TUOS Blake"/>
        </w:rPr>
        <w:t xml:space="preserve"> package for removing batch effects and other unwanted variation in high-throughput experiments. </w:t>
      </w:r>
      <w:r>
        <w:rPr>
          <w:rFonts w:ascii="TUOS Blake" w:eastAsiaTheme="minorEastAsia" w:hAnsi="TUOS Blake" w:cs="TUOS Blake"/>
          <w:i/>
          <w:iCs/>
        </w:rPr>
        <w:t>Bioinformatics (Oxford, England)</w:t>
      </w:r>
      <w:r>
        <w:rPr>
          <w:rFonts w:ascii="TUOS Blake" w:eastAsiaTheme="minorEastAsia" w:hAnsi="TUOS Blake" w:cs="TUOS Blake"/>
        </w:rPr>
        <w:t xml:space="preserve">, </w:t>
      </w:r>
      <w:r>
        <w:rPr>
          <w:rFonts w:ascii="TUOS Blake" w:eastAsiaTheme="minorEastAsia" w:hAnsi="TUOS Blake" w:cs="TUOS Blake"/>
          <w:i/>
          <w:iCs/>
        </w:rPr>
        <w:t>28</w:t>
      </w:r>
      <w:r>
        <w:rPr>
          <w:rFonts w:ascii="TUOS Blake" w:eastAsiaTheme="minorEastAsia" w:hAnsi="TUOS Blake" w:cs="TUOS Blake"/>
        </w:rPr>
        <w:t xml:space="preserve">(6), 882–883. </w:t>
      </w:r>
      <w:hyperlink r:id="rId95" w:history="1">
        <w:r w:rsidR="00612721" w:rsidRPr="000D4288">
          <w:rPr>
            <w:rStyle w:val="Hyperlink"/>
            <w:rFonts w:ascii="TUOS Blake" w:eastAsiaTheme="minorEastAsia" w:hAnsi="TUOS Blake" w:cs="TUOS Blake"/>
          </w:rPr>
          <w:t>http://doi.org/10.1093/bioinformatics/bts034</w:t>
        </w:r>
      </w:hyperlink>
    </w:p>
    <w:p w14:paraId="58C414A2"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3D409DA" w14:textId="29673A46"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Li, </w:t>
      </w:r>
      <w:proofErr w:type="spellStart"/>
      <w:r>
        <w:rPr>
          <w:rFonts w:ascii="TUOS Blake" w:eastAsiaTheme="minorEastAsia" w:hAnsi="TUOS Blake" w:cs="TUOS Blake"/>
        </w:rPr>
        <w:t>Yanli</w:t>
      </w:r>
      <w:proofErr w:type="spellEnd"/>
      <w:r>
        <w:rPr>
          <w:rFonts w:ascii="TUOS Blake" w:eastAsiaTheme="minorEastAsia" w:hAnsi="TUOS Blake" w:cs="TUOS Blake"/>
        </w:rPr>
        <w:t xml:space="preserve">, Wang, D., Li, X., Shao, Y., He, Y., Yu, H., &amp; Ma, Z. (n.d.). MiR-199a-5p suppresses non-small cell lung cancer via targeting MAP3K11. </w:t>
      </w:r>
      <w:r>
        <w:rPr>
          <w:rFonts w:ascii="TUOS Blake" w:eastAsiaTheme="minorEastAsia" w:hAnsi="TUOS Blake" w:cs="TUOS Blake"/>
          <w:i/>
          <w:iCs/>
        </w:rPr>
        <w:t>Journal of Cancer</w:t>
      </w:r>
      <w:r>
        <w:rPr>
          <w:rFonts w:ascii="TUOS Blake" w:eastAsiaTheme="minorEastAsia" w:hAnsi="TUOS Blake" w:cs="TUOS Blake"/>
        </w:rPr>
        <w:t xml:space="preserve">, </w:t>
      </w:r>
      <w:r>
        <w:rPr>
          <w:rFonts w:ascii="TUOS Blake" w:eastAsiaTheme="minorEastAsia" w:hAnsi="TUOS Blake" w:cs="TUOS Blake"/>
          <w:i/>
          <w:iCs/>
        </w:rPr>
        <w:t>10</w:t>
      </w:r>
      <w:r>
        <w:rPr>
          <w:rFonts w:ascii="TUOS Blake" w:eastAsiaTheme="minorEastAsia" w:hAnsi="TUOS Blake" w:cs="TUOS Blake"/>
        </w:rPr>
        <w:t xml:space="preserve">(11), 2472–2479. </w:t>
      </w:r>
      <w:hyperlink r:id="rId96" w:history="1">
        <w:r w:rsidR="00612721" w:rsidRPr="000D4288">
          <w:rPr>
            <w:rStyle w:val="Hyperlink"/>
            <w:rFonts w:ascii="TUOS Blake" w:eastAsiaTheme="minorEastAsia" w:hAnsi="TUOS Blake" w:cs="TUOS Blake"/>
          </w:rPr>
          <w:t>http://doi.org/10.7150/jca.29426</w:t>
        </w:r>
      </w:hyperlink>
    </w:p>
    <w:p w14:paraId="258985AE"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788AB5CD" w14:textId="32A614F4"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lastRenderedPageBreak/>
        <w:t xml:space="preserve">Li, Yu, &amp; </w:t>
      </w:r>
      <w:proofErr w:type="spellStart"/>
      <w:r>
        <w:rPr>
          <w:rFonts w:ascii="TUOS Blake" w:eastAsiaTheme="minorEastAsia" w:hAnsi="TUOS Blake" w:cs="TUOS Blake"/>
        </w:rPr>
        <w:t>Kowdley</w:t>
      </w:r>
      <w:proofErr w:type="spellEnd"/>
      <w:r>
        <w:rPr>
          <w:rFonts w:ascii="TUOS Blake" w:eastAsiaTheme="minorEastAsia" w:hAnsi="TUOS Blake" w:cs="TUOS Blake"/>
        </w:rPr>
        <w:t xml:space="preserve">, K. V. (2012). MicroRNAs in Common Human Diseases. </w:t>
      </w:r>
      <w:r>
        <w:rPr>
          <w:rFonts w:ascii="TUOS Blake" w:eastAsiaTheme="minorEastAsia" w:hAnsi="TUOS Blake" w:cs="TUOS Blake"/>
          <w:i/>
          <w:iCs/>
        </w:rPr>
        <w:t>Genomics, Proteomics &amp; Bioinformatics</w:t>
      </w:r>
      <w:r>
        <w:rPr>
          <w:rFonts w:ascii="TUOS Blake" w:eastAsiaTheme="minorEastAsia" w:hAnsi="TUOS Blake" w:cs="TUOS Blake"/>
        </w:rPr>
        <w:t xml:space="preserve">, </w:t>
      </w:r>
      <w:r>
        <w:rPr>
          <w:rFonts w:ascii="TUOS Blake" w:eastAsiaTheme="minorEastAsia" w:hAnsi="TUOS Blake" w:cs="TUOS Blake"/>
          <w:i/>
          <w:iCs/>
        </w:rPr>
        <w:t>10</w:t>
      </w:r>
      <w:r>
        <w:rPr>
          <w:rFonts w:ascii="TUOS Blake" w:eastAsiaTheme="minorEastAsia" w:hAnsi="TUOS Blake" w:cs="TUOS Blake"/>
        </w:rPr>
        <w:t xml:space="preserve">(5), 246–253. </w:t>
      </w:r>
      <w:hyperlink r:id="rId97" w:history="1">
        <w:r w:rsidR="00612721" w:rsidRPr="000D4288">
          <w:rPr>
            <w:rStyle w:val="Hyperlink"/>
            <w:rFonts w:ascii="TUOS Blake" w:eastAsiaTheme="minorEastAsia" w:hAnsi="TUOS Blake" w:cs="TUOS Blake"/>
          </w:rPr>
          <w:t>http://doi.org/10.1016/j.gpb.2012.07.005</w:t>
        </w:r>
      </w:hyperlink>
    </w:p>
    <w:p w14:paraId="65AB2123"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7C6D6FDB" w14:textId="66E36858"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López-Romero, P. (2011). Pre-processing and differential expression analysis of Agilent </w:t>
      </w:r>
      <w:proofErr w:type="spellStart"/>
      <w:r>
        <w:rPr>
          <w:rFonts w:ascii="TUOS Blake" w:eastAsiaTheme="minorEastAsia" w:hAnsi="TUOS Blake" w:cs="TUOS Blake"/>
        </w:rPr>
        <w:t>micr</w:t>
      </w:r>
      <w:proofErr w:type="spellEnd"/>
      <w:r>
        <w:rPr>
          <w:rFonts w:ascii="TUOS Blake" w:eastAsiaTheme="minorEastAsia" w:hAnsi="TUOS Blake" w:cs="TUOS Blake"/>
        </w:rPr>
        <w:t xml:space="preserve">... - PubMed - NCBI. </w:t>
      </w:r>
      <w:r>
        <w:rPr>
          <w:rFonts w:ascii="TUOS Blake" w:eastAsiaTheme="minorEastAsia" w:hAnsi="TUOS Blake" w:cs="TUOS Blake"/>
          <w:i/>
          <w:iCs/>
        </w:rPr>
        <w:t>BMC Genomics</w:t>
      </w:r>
      <w:r>
        <w:rPr>
          <w:rFonts w:ascii="TUOS Blake" w:eastAsiaTheme="minorEastAsia" w:hAnsi="TUOS Blake" w:cs="TUOS Blake"/>
        </w:rPr>
        <w:t xml:space="preserve">, </w:t>
      </w:r>
      <w:r>
        <w:rPr>
          <w:rFonts w:ascii="TUOS Blake" w:eastAsiaTheme="minorEastAsia" w:hAnsi="TUOS Blake" w:cs="TUOS Blake"/>
          <w:i/>
          <w:iCs/>
        </w:rPr>
        <w:t>12</w:t>
      </w:r>
      <w:r>
        <w:rPr>
          <w:rFonts w:ascii="TUOS Blake" w:eastAsiaTheme="minorEastAsia" w:hAnsi="TUOS Blake" w:cs="TUOS Blake"/>
        </w:rPr>
        <w:t xml:space="preserve">(1), 64. </w:t>
      </w:r>
      <w:hyperlink r:id="rId98" w:history="1">
        <w:r w:rsidR="00612721" w:rsidRPr="000D4288">
          <w:rPr>
            <w:rStyle w:val="Hyperlink"/>
            <w:rFonts w:ascii="TUOS Blake" w:eastAsiaTheme="minorEastAsia" w:hAnsi="TUOS Blake" w:cs="TUOS Blake"/>
          </w:rPr>
          <w:t>http://doi.org/10.1186/1471-2164-12-64</w:t>
        </w:r>
      </w:hyperlink>
    </w:p>
    <w:p w14:paraId="2006AA33"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D692477" w14:textId="1F4E3EB8"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M, L.-Q., R, R., A, Y., J, M., W, L., &amp; T, T. (2002). Identification of tissue-specific microRNAs from mouse. </w:t>
      </w:r>
      <w:r>
        <w:rPr>
          <w:rFonts w:ascii="TUOS Blake" w:eastAsiaTheme="minorEastAsia" w:hAnsi="TUOS Blake" w:cs="TUOS Blake"/>
          <w:i/>
          <w:iCs/>
        </w:rPr>
        <w:t xml:space="preserve">Current </w:t>
      </w:r>
      <w:proofErr w:type="gramStart"/>
      <w:r>
        <w:rPr>
          <w:rFonts w:ascii="TUOS Blake" w:eastAsiaTheme="minorEastAsia" w:hAnsi="TUOS Blake" w:cs="TUOS Blake"/>
          <w:i/>
          <w:iCs/>
        </w:rPr>
        <w:t>Biology :</w:t>
      </w:r>
      <w:proofErr w:type="gramEnd"/>
      <w:r>
        <w:rPr>
          <w:rFonts w:ascii="TUOS Blake" w:eastAsiaTheme="minorEastAsia" w:hAnsi="TUOS Blake" w:cs="TUOS Blake"/>
          <w:i/>
          <w:iCs/>
        </w:rPr>
        <w:t xml:space="preserve"> CB</w:t>
      </w:r>
      <w:r>
        <w:rPr>
          <w:rFonts w:ascii="TUOS Blake" w:eastAsiaTheme="minorEastAsia" w:hAnsi="TUOS Blake" w:cs="TUOS Blake"/>
        </w:rPr>
        <w:t xml:space="preserve">, </w:t>
      </w:r>
      <w:r>
        <w:rPr>
          <w:rFonts w:ascii="TUOS Blake" w:eastAsiaTheme="minorEastAsia" w:hAnsi="TUOS Blake" w:cs="TUOS Blake"/>
          <w:i/>
          <w:iCs/>
        </w:rPr>
        <w:t>12</w:t>
      </w:r>
      <w:r>
        <w:rPr>
          <w:rFonts w:ascii="TUOS Blake" w:eastAsiaTheme="minorEastAsia" w:hAnsi="TUOS Blake" w:cs="TUOS Blake"/>
        </w:rPr>
        <w:t xml:space="preserve">(9), 735–739. </w:t>
      </w:r>
      <w:hyperlink r:id="rId99" w:history="1">
        <w:r w:rsidR="00612721" w:rsidRPr="000D4288">
          <w:rPr>
            <w:rStyle w:val="Hyperlink"/>
            <w:rFonts w:ascii="TUOS Blake" w:eastAsiaTheme="minorEastAsia" w:hAnsi="TUOS Blake" w:cs="TUOS Blake"/>
          </w:rPr>
          <w:t>http://doi.org/10.1016/s0960-9822(02)00809-6</w:t>
        </w:r>
      </w:hyperlink>
    </w:p>
    <w:p w14:paraId="16FDD058"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15A89F1B" w14:textId="6E43511E"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Ma, L., Roman-Campos, D., Austin, E. D., Eyries, M., Sampson, K. S., </w:t>
      </w:r>
      <w:proofErr w:type="spellStart"/>
      <w:r>
        <w:rPr>
          <w:rFonts w:ascii="TUOS Blake" w:eastAsiaTheme="minorEastAsia" w:hAnsi="TUOS Blake" w:cs="TUOS Blake"/>
        </w:rPr>
        <w:t>Soubrier</w:t>
      </w:r>
      <w:proofErr w:type="spellEnd"/>
      <w:r>
        <w:rPr>
          <w:rFonts w:ascii="TUOS Blake" w:eastAsiaTheme="minorEastAsia" w:hAnsi="TUOS Blake" w:cs="TUOS Blake"/>
        </w:rPr>
        <w:t xml:space="preserve">, F., et al. (2013). A Novel Channelopathy in Pulmonary Arterial Hypertension. </w:t>
      </w:r>
      <w:r>
        <w:rPr>
          <w:rFonts w:ascii="TUOS Blake" w:eastAsiaTheme="minorEastAsia" w:hAnsi="TUOS Blake" w:cs="TUOS Blake"/>
          <w:i/>
          <w:iCs/>
        </w:rPr>
        <w:t>The New England Journal of Medicine</w:t>
      </w:r>
      <w:r>
        <w:rPr>
          <w:rFonts w:ascii="TUOS Blake" w:eastAsiaTheme="minorEastAsia" w:hAnsi="TUOS Blake" w:cs="TUOS Blake"/>
        </w:rPr>
        <w:t xml:space="preserve">, </w:t>
      </w:r>
      <w:r>
        <w:rPr>
          <w:rFonts w:ascii="TUOS Blake" w:eastAsiaTheme="minorEastAsia" w:hAnsi="TUOS Blake" w:cs="TUOS Blake"/>
          <w:i/>
          <w:iCs/>
        </w:rPr>
        <w:t>369</w:t>
      </w:r>
      <w:r>
        <w:rPr>
          <w:rFonts w:ascii="TUOS Blake" w:eastAsiaTheme="minorEastAsia" w:hAnsi="TUOS Blake" w:cs="TUOS Blake"/>
        </w:rPr>
        <w:t xml:space="preserve">(4), 351–361. </w:t>
      </w:r>
      <w:hyperlink r:id="rId100" w:history="1">
        <w:r w:rsidR="00612721" w:rsidRPr="000D4288">
          <w:rPr>
            <w:rStyle w:val="Hyperlink"/>
            <w:rFonts w:ascii="TUOS Blake" w:eastAsiaTheme="minorEastAsia" w:hAnsi="TUOS Blake" w:cs="TUOS Blake"/>
          </w:rPr>
          <w:t>http://doi.org/10.1056/NEJMoa1211097</w:t>
        </w:r>
      </w:hyperlink>
    </w:p>
    <w:p w14:paraId="0E8C895E"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0EC994B" w14:textId="6204F08F"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MacIntyre</w:t>
      </w:r>
      <w:proofErr w:type="spellEnd"/>
      <w:r>
        <w:rPr>
          <w:rFonts w:ascii="TUOS Blake" w:eastAsiaTheme="minorEastAsia" w:hAnsi="TUOS Blake" w:cs="TUOS Blake"/>
        </w:rPr>
        <w:t xml:space="preserve">, N., Crapo, R. O., </w:t>
      </w:r>
      <w:proofErr w:type="spellStart"/>
      <w:r>
        <w:rPr>
          <w:rFonts w:ascii="TUOS Blake" w:eastAsiaTheme="minorEastAsia" w:hAnsi="TUOS Blake" w:cs="TUOS Blake"/>
        </w:rPr>
        <w:t>Viegi</w:t>
      </w:r>
      <w:proofErr w:type="spellEnd"/>
      <w:r>
        <w:rPr>
          <w:rFonts w:ascii="TUOS Blake" w:eastAsiaTheme="minorEastAsia" w:hAnsi="TUOS Blake" w:cs="TUOS Blake"/>
        </w:rPr>
        <w:t xml:space="preserve">, G., Johnson, D. C., van der </w:t>
      </w:r>
      <w:proofErr w:type="spellStart"/>
      <w:r>
        <w:rPr>
          <w:rFonts w:ascii="TUOS Blake" w:eastAsiaTheme="minorEastAsia" w:hAnsi="TUOS Blake" w:cs="TUOS Blake"/>
        </w:rPr>
        <w:t>Grinten</w:t>
      </w:r>
      <w:proofErr w:type="spellEnd"/>
      <w:r>
        <w:rPr>
          <w:rFonts w:ascii="TUOS Blake" w:eastAsiaTheme="minorEastAsia" w:hAnsi="TUOS Blake" w:cs="TUOS Blake"/>
        </w:rPr>
        <w:t xml:space="preserve">, C. P. M., </w:t>
      </w:r>
      <w:proofErr w:type="spellStart"/>
      <w:r>
        <w:rPr>
          <w:rFonts w:ascii="TUOS Blake" w:eastAsiaTheme="minorEastAsia" w:hAnsi="TUOS Blake" w:cs="TUOS Blake"/>
        </w:rPr>
        <w:t>Brusasco</w:t>
      </w:r>
      <w:proofErr w:type="spellEnd"/>
      <w:r>
        <w:rPr>
          <w:rFonts w:ascii="TUOS Blake" w:eastAsiaTheme="minorEastAsia" w:hAnsi="TUOS Blake" w:cs="TUOS Blake"/>
        </w:rPr>
        <w:t xml:space="preserve">, V., et al. (2005). Standardisation of the single-breath determination of carbon monoxide uptake in the lung. </w:t>
      </w:r>
      <w:r>
        <w:rPr>
          <w:rFonts w:ascii="TUOS Blake" w:eastAsiaTheme="minorEastAsia" w:hAnsi="TUOS Blake" w:cs="TUOS Blake"/>
          <w:i/>
          <w:iCs/>
        </w:rPr>
        <w:t>European Respiratory Journal</w:t>
      </w:r>
      <w:r>
        <w:rPr>
          <w:rFonts w:ascii="TUOS Blake" w:eastAsiaTheme="minorEastAsia" w:hAnsi="TUOS Blake" w:cs="TUOS Blake"/>
        </w:rPr>
        <w:t xml:space="preserve">, </w:t>
      </w:r>
      <w:r>
        <w:rPr>
          <w:rFonts w:ascii="TUOS Blake" w:eastAsiaTheme="minorEastAsia" w:hAnsi="TUOS Blake" w:cs="TUOS Blake"/>
          <w:i/>
          <w:iCs/>
        </w:rPr>
        <w:t>26</w:t>
      </w:r>
      <w:r>
        <w:rPr>
          <w:rFonts w:ascii="TUOS Blake" w:eastAsiaTheme="minorEastAsia" w:hAnsi="TUOS Blake" w:cs="TUOS Blake"/>
        </w:rPr>
        <w:t xml:space="preserve">(4), 720–735. </w:t>
      </w:r>
      <w:hyperlink r:id="rId101" w:history="1">
        <w:r w:rsidR="00612721" w:rsidRPr="000D4288">
          <w:rPr>
            <w:rStyle w:val="Hyperlink"/>
            <w:rFonts w:ascii="TUOS Blake" w:eastAsiaTheme="minorEastAsia" w:hAnsi="TUOS Blake" w:cs="TUOS Blake"/>
          </w:rPr>
          <w:t>http://doi.org/10.1183/09031936.05.00034905</w:t>
        </w:r>
      </w:hyperlink>
    </w:p>
    <w:p w14:paraId="3D0D3D48"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FC1747E" w14:textId="27F95548"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Malhotra, R., Hess, D., Lewis, G. D., Bloch, K. D., Waxman, A. B., &amp; </w:t>
      </w:r>
      <w:proofErr w:type="spellStart"/>
      <w:r>
        <w:rPr>
          <w:rFonts w:ascii="TUOS Blake" w:eastAsiaTheme="minorEastAsia" w:hAnsi="TUOS Blake" w:cs="TUOS Blake"/>
        </w:rPr>
        <w:t>Semigran</w:t>
      </w:r>
      <w:proofErr w:type="spellEnd"/>
      <w:r>
        <w:rPr>
          <w:rFonts w:ascii="TUOS Blake" w:eastAsiaTheme="minorEastAsia" w:hAnsi="TUOS Blake" w:cs="TUOS Blake"/>
        </w:rPr>
        <w:t xml:space="preserve">, M. J. (2011). Vasoreactivity to Inhaled Nitric Oxide with Oxygen Predicts Long-Term Survival in Pulmonary Arterial Hypertension. </w:t>
      </w:r>
      <w:r>
        <w:rPr>
          <w:rFonts w:ascii="TUOS Blake" w:eastAsiaTheme="minorEastAsia" w:hAnsi="TUOS Blake" w:cs="TUOS Blake"/>
          <w:i/>
          <w:iCs/>
        </w:rPr>
        <w:t>Pulmonary Circulation</w:t>
      </w:r>
      <w:r>
        <w:rPr>
          <w:rFonts w:ascii="TUOS Blake" w:eastAsiaTheme="minorEastAsia" w:hAnsi="TUOS Blake" w:cs="TUOS Blake"/>
        </w:rPr>
        <w:t xml:space="preserve">, </w:t>
      </w:r>
      <w:r>
        <w:rPr>
          <w:rFonts w:ascii="TUOS Blake" w:eastAsiaTheme="minorEastAsia" w:hAnsi="TUOS Blake" w:cs="TUOS Blake"/>
          <w:i/>
          <w:iCs/>
        </w:rPr>
        <w:t>1</w:t>
      </w:r>
      <w:r>
        <w:rPr>
          <w:rFonts w:ascii="TUOS Blake" w:eastAsiaTheme="minorEastAsia" w:hAnsi="TUOS Blake" w:cs="TUOS Blake"/>
        </w:rPr>
        <w:t xml:space="preserve">(2), 250–258. </w:t>
      </w:r>
      <w:hyperlink r:id="rId102" w:history="1">
        <w:r w:rsidR="00612721" w:rsidRPr="000D4288">
          <w:rPr>
            <w:rStyle w:val="Hyperlink"/>
            <w:rFonts w:ascii="TUOS Blake" w:eastAsiaTheme="minorEastAsia" w:hAnsi="TUOS Blake" w:cs="TUOS Blake"/>
          </w:rPr>
          <w:t>http://doi.org/10.4103/2045-8932.83449</w:t>
        </w:r>
      </w:hyperlink>
    </w:p>
    <w:p w14:paraId="3CEADBFF" w14:textId="77777777" w:rsidR="00612721" w:rsidRDefault="00612721"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B9EB9A1" w14:textId="5692B65F"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Manimaran</w:t>
      </w:r>
      <w:proofErr w:type="spellEnd"/>
      <w:r>
        <w:rPr>
          <w:rFonts w:ascii="TUOS Blake" w:eastAsiaTheme="minorEastAsia" w:hAnsi="TUOS Blake" w:cs="TUOS Blake"/>
        </w:rPr>
        <w:t xml:space="preserve">, S., Selby, H. M., </w:t>
      </w:r>
      <w:proofErr w:type="spellStart"/>
      <w:r>
        <w:rPr>
          <w:rFonts w:ascii="TUOS Blake" w:eastAsiaTheme="minorEastAsia" w:hAnsi="TUOS Blake" w:cs="TUOS Blake"/>
        </w:rPr>
        <w:t>Okrah</w:t>
      </w:r>
      <w:proofErr w:type="spellEnd"/>
      <w:r>
        <w:rPr>
          <w:rFonts w:ascii="TUOS Blake" w:eastAsiaTheme="minorEastAsia" w:hAnsi="TUOS Blake" w:cs="TUOS Blake"/>
        </w:rPr>
        <w:t xml:space="preserve">, K., </w:t>
      </w:r>
      <w:proofErr w:type="spellStart"/>
      <w:r>
        <w:rPr>
          <w:rFonts w:ascii="TUOS Blake" w:eastAsiaTheme="minorEastAsia" w:hAnsi="TUOS Blake" w:cs="TUOS Blake"/>
        </w:rPr>
        <w:t>Ruberman</w:t>
      </w:r>
      <w:proofErr w:type="spellEnd"/>
      <w:r>
        <w:rPr>
          <w:rFonts w:ascii="TUOS Blake" w:eastAsiaTheme="minorEastAsia" w:hAnsi="TUOS Blake" w:cs="TUOS Blake"/>
        </w:rPr>
        <w:t xml:space="preserve">, C., Leek, J. T., Quackenbush, J., et al. (2016). </w:t>
      </w:r>
      <w:proofErr w:type="spellStart"/>
      <w:r>
        <w:rPr>
          <w:rFonts w:ascii="TUOS Blake" w:eastAsiaTheme="minorEastAsia" w:hAnsi="TUOS Blake" w:cs="TUOS Blake"/>
        </w:rPr>
        <w:t>BatchQC</w:t>
      </w:r>
      <w:proofErr w:type="spellEnd"/>
      <w:r>
        <w:rPr>
          <w:rFonts w:ascii="TUOS Blake" w:eastAsiaTheme="minorEastAsia" w:hAnsi="TUOS Blake" w:cs="TUOS Blake"/>
        </w:rPr>
        <w:t xml:space="preserve">: interactive software for evaluating sample and batch effects in genomic data. </w:t>
      </w:r>
      <w:r>
        <w:rPr>
          <w:rFonts w:ascii="TUOS Blake" w:eastAsiaTheme="minorEastAsia" w:hAnsi="TUOS Blake" w:cs="TUOS Blake"/>
          <w:i/>
          <w:iCs/>
        </w:rPr>
        <w:t>Bioinformatics (Oxford, England)</w:t>
      </w:r>
      <w:r>
        <w:rPr>
          <w:rFonts w:ascii="TUOS Blake" w:eastAsiaTheme="minorEastAsia" w:hAnsi="TUOS Blake" w:cs="TUOS Blake"/>
        </w:rPr>
        <w:t xml:space="preserve">, </w:t>
      </w:r>
      <w:r>
        <w:rPr>
          <w:rFonts w:ascii="TUOS Blake" w:eastAsiaTheme="minorEastAsia" w:hAnsi="TUOS Blake" w:cs="TUOS Blake"/>
          <w:i/>
          <w:iCs/>
        </w:rPr>
        <w:t>32</w:t>
      </w:r>
      <w:r>
        <w:rPr>
          <w:rFonts w:ascii="TUOS Blake" w:eastAsiaTheme="minorEastAsia" w:hAnsi="TUOS Blake" w:cs="TUOS Blake"/>
        </w:rPr>
        <w:t xml:space="preserve">(24), 3836–3838. </w:t>
      </w:r>
      <w:hyperlink r:id="rId103" w:history="1">
        <w:r w:rsidR="00C81415" w:rsidRPr="000D4288">
          <w:rPr>
            <w:rStyle w:val="Hyperlink"/>
            <w:rFonts w:ascii="TUOS Blake" w:eastAsiaTheme="minorEastAsia" w:hAnsi="TUOS Blake" w:cs="TUOS Blake"/>
          </w:rPr>
          <w:t>http://doi.org/10.1093/bioinformatics/btw538</w:t>
        </w:r>
      </w:hyperlink>
    </w:p>
    <w:p w14:paraId="08E04B81"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634408C6" w14:textId="77777777"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Matin, F., Jeet, V., Moya, L., </w:t>
      </w:r>
      <w:proofErr w:type="spellStart"/>
      <w:r>
        <w:rPr>
          <w:rFonts w:ascii="TUOS Blake" w:eastAsiaTheme="minorEastAsia" w:hAnsi="TUOS Blake" w:cs="TUOS Blake"/>
        </w:rPr>
        <w:t>Selth</w:t>
      </w:r>
      <w:proofErr w:type="spellEnd"/>
      <w:r>
        <w:rPr>
          <w:rFonts w:ascii="TUOS Blake" w:eastAsiaTheme="minorEastAsia" w:hAnsi="TUOS Blake" w:cs="TUOS Blake"/>
        </w:rPr>
        <w:t xml:space="preserve">, L. A., Chambers, S., Clements, J. A., &amp; Batra, J. (2018). A Plasma Biomarker Panel of Four MicroRNAs for the Diagnosis of Prostate Cancer. </w:t>
      </w:r>
      <w:r>
        <w:rPr>
          <w:rFonts w:ascii="TUOS Blake" w:eastAsiaTheme="minorEastAsia" w:hAnsi="TUOS Blake" w:cs="TUOS Blake"/>
          <w:i/>
          <w:iCs/>
        </w:rPr>
        <w:t>Scientific Reports</w:t>
      </w:r>
      <w:r>
        <w:rPr>
          <w:rFonts w:ascii="TUOS Blake" w:eastAsiaTheme="minorEastAsia" w:hAnsi="TUOS Blake" w:cs="TUOS Blake"/>
        </w:rPr>
        <w:t xml:space="preserve">, </w:t>
      </w:r>
      <w:r>
        <w:rPr>
          <w:rFonts w:ascii="TUOS Blake" w:eastAsiaTheme="minorEastAsia" w:hAnsi="TUOS Blake" w:cs="TUOS Blake"/>
          <w:i/>
          <w:iCs/>
        </w:rPr>
        <w:t>8</w:t>
      </w:r>
      <w:r>
        <w:rPr>
          <w:rFonts w:ascii="TUOS Blake" w:eastAsiaTheme="minorEastAsia" w:hAnsi="TUOS Blake" w:cs="TUOS Blake"/>
        </w:rPr>
        <w:t>(1), 1–15. http://doi.org/10.1038/s41598-018-24424-w</w:t>
      </w:r>
    </w:p>
    <w:p w14:paraId="44118DBA" w14:textId="6958F6B0"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Maués</w:t>
      </w:r>
      <w:proofErr w:type="spellEnd"/>
      <w:r>
        <w:rPr>
          <w:rFonts w:ascii="TUOS Blake" w:eastAsiaTheme="minorEastAsia" w:hAnsi="TUOS Blake" w:cs="TUOS Blake"/>
        </w:rPr>
        <w:t xml:space="preserve">, J. H. D. S., Moreira-Nunes, C. de F. A., &amp; </w:t>
      </w:r>
      <w:proofErr w:type="spellStart"/>
      <w:r>
        <w:rPr>
          <w:rFonts w:ascii="TUOS Blake" w:eastAsiaTheme="minorEastAsia" w:hAnsi="TUOS Blake" w:cs="TUOS Blake"/>
        </w:rPr>
        <w:t>Burbano</w:t>
      </w:r>
      <w:proofErr w:type="spellEnd"/>
      <w:r>
        <w:rPr>
          <w:rFonts w:ascii="TUOS Blake" w:eastAsiaTheme="minorEastAsia" w:hAnsi="TUOS Blake" w:cs="TUOS Blake"/>
        </w:rPr>
        <w:t xml:space="preserve">, R. M. R. (2020). Computational Identification and Characterization of New microRNAs in Human Platelets Stored in a Blood Bank. </w:t>
      </w:r>
      <w:r>
        <w:rPr>
          <w:rFonts w:ascii="TUOS Blake" w:eastAsiaTheme="minorEastAsia" w:hAnsi="TUOS Blake" w:cs="TUOS Blake"/>
          <w:i/>
          <w:iCs/>
        </w:rPr>
        <w:t>Biomolecules</w:t>
      </w:r>
      <w:r>
        <w:rPr>
          <w:rFonts w:ascii="TUOS Blake" w:eastAsiaTheme="minorEastAsia" w:hAnsi="TUOS Blake" w:cs="TUOS Blake"/>
        </w:rPr>
        <w:t xml:space="preserve">, </w:t>
      </w:r>
      <w:r>
        <w:rPr>
          <w:rFonts w:ascii="TUOS Blake" w:eastAsiaTheme="minorEastAsia" w:hAnsi="TUOS Blake" w:cs="TUOS Blake"/>
          <w:i/>
          <w:iCs/>
        </w:rPr>
        <w:t>10</w:t>
      </w:r>
      <w:r>
        <w:rPr>
          <w:rFonts w:ascii="TUOS Blake" w:eastAsiaTheme="minorEastAsia" w:hAnsi="TUOS Blake" w:cs="TUOS Blake"/>
        </w:rPr>
        <w:t xml:space="preserve">(8), 1173. </w:t>
      </w:r>
      <w:hyperlink r:id="rId104" w:history="1">
        <w:r w:rsidR="00C81415" w:rsidRPr="000D4288">
          <w:rPr>
            <w:rStyle w:val="Hyperlink"/>
            <w:rFonts w:ascii="TUOS Blake" w:eastAsiaTheme="minorEastAsia" w:hAnsi="TUOS Blake" w:cs="TUOS Blake"/>
          </w:rPr>
          <w:t>http://doi.org/10.3390/biom10081173</w:t>
        </w:r>
      </w:hyperlink>
    </w:p>
    <w:p w14:paraId="6568A9CB"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7076E90A" w14:textId="3E2584E4"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McHugh, D. R., Steele, M. S., Valerio, D. M., </w:t>
      </w:r>
      <w:proofErr w:type="spellStart"/>
      <w:r>
        <w:rPr>
          <w:rFonts w:ascii="TUOS Blake" w:eastAsiaTheme="minorEastAsia" w:hAnsi="TUOS Blake" w:cs="TUOS Blake"/>
        </w:rPr>
        <w:t>Miron</w:t>
      </w:r>
      <w:proofErr w:type="spellEnd"/>
      <w:r>
        <w:rPr>
          <w:rFonts w:ascii="TUOS Blake" w:eastAsiaTheme="minorEastAsia" w:hAnsi="TUOS Blake" w:cs="TUOS Blake"/>
        </w:rPr>
        <w:t xml:space="preserve">, A., Mann, R. J., LePage, D. F., et al. (2018). A G542X cystic fibrosis mouse model for examining nonsense mutation directed therapies. </w:t>
      </w:r>
      <w:proofErr w:type="spellStart"/>
      <w:r>
        <w:rPr>
          <w:rFonts w:ascii="TUOS Blake" w:eastAsiaTheme="minorEastAsia" w:hAnsi="TUOS Blake" w:cs="TUOS Blake"/>
          <w:i/>
          <w:iCs/>
        </w:rPr>
        <w:t>PloS</w:t>
      </w:r>
      <w:proofErr w:type="spellEnd"/>
      <w:r>
        <w:rPr>
          <w:rFonts w:ascii="TUOS Blake" w:eastAsiaTheme="minorEastAsia" w:hAnsi="TUOS Blake" w:cs="TUOS Blake"/>
          <w:i/>
          <w:iCs/>
        </w:rPr>
        <w:t xml:space="preserve"> One</w:t>
      </w:r>
      <w:r>
        <w:rPr>
          <w:rFonts w:ascii="TUOS Blake" w:eastAsiaTheme="minorEastAsia" w:hAnsi="TUOS Blake" w:cs="TUOS Blake"/>
        </w:rPr>
        <w:t xml:space="preserve">, </w:t>
      </w:r>
      <w:r>
        <w:rPr>
          <w:rFonts w:ascii="TUOS Blake" w:eastAsiaTheme="minorEastAsia" w:hAnsi="TUOS Blake" w:cs="TUOS Blake"/>
          <w:i/>
          <w:iCs/>
        </w:rPr>
        <w:t>13</w:t>
      </w:r>
      <w:r>
        <w:rPr>
          <w:rFonts w:ascii="TUOS Blake" w:eastAsiaTheme="minorEastAsia" w:hAnsi="TUOS Blake" w:cs="TUOS Blake"/>
        </w:rPr>
        <w:t xml:space="preserve">(6), e0199573. </w:t>
      </w:r>
      <w:hyperlink r:id="rId105" w:history="1">
        <w:r w:rsidR="00C81415" w:rsidRPr="000D4288">
          <w:rPr>
            <w:rStyle w:val="Hyperlink"/>
            <w:rFonts w:ascii="TUOS Blake" w:eastAsiaTheme="minorEastAsia" w:hAnsi="TUOS Blake" w:cs="TUOS Blake"/>
          </w:rPr>
          <w:t>http://doi.org/10.1371/journal.pone.0199573</w:t>
        </w:r>
      </w:hyperlink>
    </w:p>
    <w:p w14:paraId="3D0374AD"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1CD727FC" w14:textId="25F957FE"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Mestdagh</w:t>
      </w:r>
      <w:proofErr w:type="spellEnd"/>
      <w:r>
        <w:rPr>
          <w:rFonts w:ascii="TUOS Blake" w:eastAsiaTheme="minorEastAsia" w:hAnsi="TUOS Blake" w:cs="TUOS Blake"/>
        </w:rPr>
        <w:t xml:space="preserve">, P., Hartmann, N., </w:t>
      </w:r>
      <w:proofErr w:type="spellStart"/>
      <w:r>
        <w:rPr>
          <w:rFonts w:ascii="TUOS Blake" w:eastAsiaTheme="minorEastAsia" w:hAnsi="TUOS Blake" w:cs="TUOS Blake"/>
        </w:rPr>
        <w:t>Baeriswyl</w:t>
      </w:r>
      <w:proofErr w:type="spellEnd"/>
      <w:r>
        <w:rPr>
          <w:rFonts w:ascii="TUOS Blake" w:eastAsiaTheme="minorEastAsia" w:hAnsi="TUOS Blake" w:cs="TUOS Blake"/>
        </w:rPr>
        <w:t xml:space="preserve">, L., Andreasen, D., Bernard, N., Chen, C., et al. (2014). Evaluation of quantitative miRNA expression platforms in the microRNA </w:t>
      </w:r>
      <w:r>
        <w:rPr>
          <w:rFonts w:ascii="TUOS Blake" w:eastAsiaTheme="minorEastAsia" w:hAnsi="TUOS Blake" w:cs="TUOS Blake"/>
        </w:rPr>
        <w:lastRenderedPageBreak/>
        <w:t>quality control (</w:t>
      </w:r>
      <w:proofErr w:type="spellStart"/>
      <w:r>
        <w:rPr>
          <w:rFonts w:ascii="TUOS Blake" w:eastAsiaTheme="minorEastAsia" w:hAnsi="TUOS Blake" w:cs="TUOS Blake"/>
        </w:rPr>
        <w:t>miRQC</w:t>
      </w:r>
      <w:proofErr w:type="spellEnd"/>
      <w:r>
        <w:rPr>
          <w:rFonts w:ascii="TUOS Blake" w:eastAsiaTheme="minorEastAsia" w:hAnsi="TUOS Blake" w:cs="TUOS Blake"/>
        </w:rPr>
        <w:t xml:space="preserve">) study. </w:t>
      </w:r>
      <w:r>
        <w:rPr>
          <w:rFonts w:ascii="TUOS Blake" w:eastAsiaTheme="minorEastAsia" w:hAnsi="TUOS Blake" w:cs="TUOS Blake"/>
          <w:i/>
          <w:iCs/>
        </w:rPr>
        <w:t>Nature Methods</w:t>
      </w:r>
      <w:r>
        <w:rPr>
          <w:rFonts w:ascii="TUOS Blake" w:eastAsiaTheme="minorEastAsia" w:hAnsi="TUOS Blake" w:cs="TUOS Blake"/>
        </w:rPr>
        <w:t xml:space="preserve">, </w:t>
      </w:r>
      <w:r>
        <w:rPr>
          <w:rFonts w:ascii="TUOS Blake" w:eastAsiaTheme="minorEastAsia" w:hAnsi="TUOS Blake" w:cs="TUOS Blake"/>
          <w:i/>
          <w:iCs/>
        </w:rPr>
        <w:t>11</w:t>
      </w:r>
      <w:r>
        <w:rPr>
          <w:rFonts w:ascii="TUOS Blake" w:eastAsiaTheme="minorEastAsia" w:hAnsi="TUOS Blake" w:cs="TUOS Blake"/>
        </w:rPr>
        <w:t xml:space="preserve">(8), 809–815. </w:t>
      </w:r>
      <w:hyperlink r:id="rId106" w:history="1">
        <w:r w:rsidR="00C81415" w:rsidRPr="000D4288">
          <w:rPr>
            <w:rStyle w:val="Hyperlink"/>
            <w:rFonts w:ascii="TUOS Blake" w:eastAsiaTheme="minorEastAsia" w:hAnsi="TUOS Blake" w:cs="TUOS Blake"/>
          </w:rPr>
          <w:t>http://doi.org/10.1038/nmeth.3014</w:t>
        </w:r>
      </w:hyperlink>
    </w:p>
    <w:p w14:paraId="70E67C57"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525B210" w14:textId="7F94ABAD"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Mitchell, A. J., Gray, W. D., Hayek, S. S., Ko, Y.-A., Thomas, S., Rooney, K., et al. (2016). Platelets confound the measurement of extracellular miRNA in archived plasma. </w:t>
      </w:r>
      <w:r>
        <w:rPr>
          <w:rFonts w:ascii="TUOS Blake" w:eastAsiaTheme="minorEastAsia" w:hAnsi="TUOS Blake" w:cs="TUOS Blake"/>
          <w:i/>
          <w:iCs/>
        </w:rPr>
        <w:t>Scientific Reports</w:t>
      </w:r>
      <w:r>
        <w:rPr>
          <w:rFonts w:ascii="TUOS Blake" w:eastAsiaTheme="minorEastAsia" w:hAnsi="TUOS Blake" w:cs="TUOS Blake"/>
        </w:rPr>
        <w:t xml:space="preserve">, </w:t>
      </w:r>
      <w:r>
        <w:rPr>
          <w:rFonts w:ascii="TUOS Blake" w:eastAsiaTheme="minorEastAsia" w:hAnsi="TUOS Blake" w:cs="TUOS Blake"/>
          <w:i/>
          <w:iCs/>
        </w:rPr>
        <w:t>6</w:t>
      </w:r>
      <w:r>
        <w:rPr>
          <w:rFonts w:ascii="TUOS Blake" w:eastAsiaTheme="minorEastAsia" w:hAnsi="TUOS Blake" w:cs="TUOS Blake"/>
        </w:rPr>
        <w:t xml:space="preserve">(1), 2202. </w:t>
      </w:r>
      <w:hyperlink r:id="rId107" w:history="1">
        <w:r w:rsidR="00C81415" w:rsidRPr="000D4288">
          <w:rPr>
            <w:rStyle w:val="Hyperlink"/>
            <w:rFonts w:ascii="TUOS Blake" w:eastAsiaTheme="minorEastAsia" w:hAnsi="TUOS Blake" w:cs="TUOS Blake"/>
          </w:rPr>
          <w:t>http://doi.org/10.1038/srep32651</w:t>
        </w:r>
      </w:hyperlink>
    </w:p>
    <w:p w14:paraId="54A0DC84"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122CB62E" w14:textId="3F35361B"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Moll, M., </w:t>
      </w:r>
      <w:proofErr w:type="spellStart"/>
      <w:r>
        <w:rPr>
          <w:rFonts w:ascii="TUOS Blake" w:eastAsiaTheme="minorEastAsia" w:hAnsi="TUOS Blake" w:cs="TUOS Blake"/>
        </w:rPr>
        <w:t>Christmann</w:t>
      </w:r>
      <w:proofErr w:type="spellEnd"/>
      <w:r>
        <w:rPr>
          <w:rFonts w:ascii="TUOS Blake" w:eastAsiaTheme="minorEastAsia" w:hAnsi="TUOS Blake" w:cs="TUOS Blake"/>
        </w:rPr>
        <w:t xml:space="preserve">, R. B., Zhang, Y., Whitfield, M. L., Wang, Y. M., Rice, L., et al. (2018). Patients with systemic sclerosis-associated pulmonary arterial hypertension express a genomic signature distinct from patients with interstitial lung disease. </w:t>
      </w:r>
      <w:r>
        <w:rPr>
          <w:rFonts w:ascii="TUOS Blake" w:eastAsiaTheme="minorEastAsia" w:hAnsi="TUOS Blake" w:cs="TUOS Blake"/>
          <w:i/>
          <w:iCs/>
        </w:rPr>
        <w:t>Journal of Scleroderma and Related Disorders</w:t>
      </w:r>
      <w:r>
        <w:rPr>
          <w:rFonts w:ascii="TUOS Blake" w:eastAsiaTheme="minorEastAsia" w:hAnsi="TUOS Blake" w:cs="TUOS Blake"/>
        </w:rPr>
        <w:t xml:space="preserve">, </w:t>
      </w:r>
      <w:r>
        <w:rPr>
          <w:rFonts w:ascii="TUOS Blake" w:eastAsiaTheme="minorEastAsia" w:hAnsi="TUOS Blake" w:cs="TUOS Blake"/>
          <w:i/>
          <w:iCs/>
        </w:rPr>
        <w:t>3</w:t>
      </w:r>
      <w:r>
        <w:rPr>
          <w:rFonts w:ascii="TUOS Blake" w:eastAsiaTheme="minorEastAsia" w:hAnsi="TUOS Blake" w:cs="TUOS Blake"/>
        </w:rPr>
        <w:t xml:space="preserve">(3), 242–248. </w:t>
      </w:r>
      <w:hyperlink r:id="rId108" w:history="1">
        <w:r w:rsidR="00C81415" w:rsidRPr="000D4288">
          <w:rPr>
            <w:rStyle w:val="Hyperlink"/>
            <w:rFonts w:ascii="TUOS Blake" w:eastAsiaTheme="minorEastAsia" w:hAnsi="TUOS Blake" w:cs="TUOS Blake"/>
          </w:rPr>
          <w:t>http://doi.org/10.1177/2397198318764780</w:t>
        </w:r>
      </w:hyperlink>
    </w:p>
    <w:p w14:paraId="43851305"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855B62F" w14:textId="355E6254"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Montani</w:t>
      </w:r>
      <w:proofErr w:type="spellEnd"/>
      <w:r>
        <w:rPr>
          <w:rFonts w:ascii="TUOS Blake" w:eastAsiaTheme="minorEastAsia" w:hAnsi="TUOS Blake" w:cs="TUOS Blake"/>
        </w:rPr>
        <w:t xml:space="preserve">, D., Günther, S., </w:t>
      </w:r>
      <w:proofErr w:type="spellStart"/>
      <w:r>
        <w:rPr>
          <w:rFonts w:ascii="TUOS Blake" w:eastAsiaTheme="minorEastAsia" w:hAnsi="TUOS Blake" w:cs="TUOS Blake"/>
        </w:rPr>
        <w:t>Dorfmüller</w:t>
      </w:r>
      <w:proofErr w:type="spellEnd"/>
      <w:r>
        <w:rPr>
          <w:rFonts w:ascii="TUOS Blake" w:eastAsiaTheme="minorEastAsia" w:hAnsi="TUOS Blake" w:cs="TUOS Blake"/>
        </w:rPr>
        <w:t xml:space="preserve">, P., </w:t>
      </w:r>
      <w:proofErr w:type="spellStart"/>
      <w:r>
        <w:rPr>
          <w:rFonts w:ascii="TUOS Blake" w:eastAsiaTheme="minorEastAsia" w:hAnsi="TUOS Blake" w:cs="TUOS Blake"/>
        </w:rPr>
        <w:t>Perros</w:t>
      </w:r>
      <w:proofErr w:type="spellEnd"/>
      <w:r>
        <w:rPr>
          <w:rFonts w:ascii="TUOS Blake" w:eastAsiaTheme="minorEastAsia" w:hAnsi="TUOS Blake" w:cs="TUOS Blake"/>
        </w:rPr>
        <w:t xml:space="preserve">, F., </w:t>
      </w:r>
      <w:proofErr w:type="spellStart"/>
      <w:r>
        <w:rPr>
          <w:rFonts w:ascii="TUOS Blake" w:eastAsiaTheme="minorEastAsia" w:hAnsi="TUOS Blake" w:cs="TUOS Blake"/>
        </w:rPr>
        <w:t>Girerd</w:t>
      </w:r>
      <w:proofErr w:type="spellEnd"/>
      <w:r>
        <w:rPr>
          <w:rFonts w:ascii="TUOS Blake" w:eastAsiaTheme="minorEastAsia" w:hAnsi="TUOS Blake" w:cs="TUOS Blake"/>
        </w:rPr>
        <w:t xml:space="preserve">, B., Garcia, G., et al. (2013). Pulmonary arterial hypertension. </w:t>
      </w:r>
      <w:proofErr w:type="spellStart"/>
      <w:r>
        <w:rPr>
          <w:rFonts w:ascii="TUOS Blake" w:eastAsiaTheme="minorEastAsia" w:hAnsi="TUOS Blake" w:cs="TUOS Blake"/>
          <w:i/>
          <w:iCs/>
        </w:rPr>
        <w:t>Orphanet</w:t>
      </w:r>
      <w:proofErr w:type="spellEnd"/>
      <w:r>
        <w:rPr>
          <w:rFonts w:ascii="TUOS Blake" w:eastAsiaTheme="minorEastAsia" w:hAnsi="TUOS Blake" w:cs="TUOS Blake"/>
          <w:i/>
          <w:iCs/>
        </w:rPr>
        <w:t xml:space="preserve"> Journal of Rare Diseases</w:t>
      </w:r>
      <w:r>
        <w:rPr>
          <w:rFonts w:ascii="TUOS Blake" w:eastAsiaTheme="minorEastAsia" w:hAnsi="TUOS Blake" w:cs="TUOS Blake"/>
        </w:rPr>
        <w:t xml:space="preserve">, </w:t>
      </w:r>
      <w:r>
        <w:rPr>
          <w:rFonts w:ascii="TUOS Blake" w:eastAsiaTheme="minorEastAsia" w:hAnsi="TUOS Blake" w:cs="TUOS Blake"/>
          <w:i/>
          <w:iCs/>
        </w:rPr>
        <w:t>8</w:t>
      </w:r>
      <w:r>
        <w:rPr>
          <w:rFonts w:ascii="TUOS Blake" w:eastAsiaTheme="minorEastAsia" w:hAnsi="TUOS Blake" w:cs="TUOS Blake"/>
        </w:rPr>
        <w:t xml:space="preserve">(1), 97. </w:t>
      </w:r>
      <w:hyperlink r:id="rId109" w:history="1">
        <w:r w:rsidR="00C81415" w:rsidRPr="000D4288">
          <w:rPr>
            <w:rStyle w:val="Hyperlink"/>
            <w:rFonts w:ascii="TUOS Blake" w:eastAsiaTheme="minorEastAsia" w:hAnsi="TUOS Blake" w:cs="TUOS Blake"/>
          </w:rPr>
          <w:t>http://doi.org/10.1186/1750-1172-8-97</w:t>
        </w:r>
      </w:hyperlink>
    </w:p>
    <w:p w14:paraId="2705FC4E"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6B3B211B" w14:textId="329D4CED"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Mukerjee</w:t>
      </w:r>
      <w:proofErr w:type="spellEnd"/>
      <w:r>
        <w:rPr>
          <w:rFonts w:ascii="TUOS Blake" w:eastAsiaTheme="minorEastAsia" w:hAnsi="TUOS Blake" w:cs="TUOS Blake"/>
        </w:rPr>
        <w:t xml:space="preserve">, D., St George, D., Knight, C., </w:t>
      </w:r>
      <w:proofErr w:type="spellStart"/>
      <w:r>
        <w:rPr>
          <w:rFonts w:ascii="TUOS Blake" w:eastAsiaTheme="minorEastAsia" w:hAnsi="TUOS Blake" w:cs="TUOS Blake"/>
        </w:rPr>
        <w:t>Davar</w:t>
      </w:r>
      <w:proofErr w:type="spellEnd"/>
      <w:r>
        <w:rPr>
          <w:rFonts w:ascii="TUOS Blake" w:eastAsiaTheme="minorEastAsia" w:hAnsi="TUOS Blake" w:cs="TUOS Blake"/>
        </w:rPr>
        <w:t xml:space="preserve">, J., Wells, A. U., </w:t>
      </w:r>
      <w:proofErr w:type="spellStart"/>
      <w:r>
        <w:rPr>
          <w:rFonts w:ascii="TUOS Blake" w:eastAsiaTheme="minorEastAsia" w:hAnsi="TUOS Blake" w:cs="TUOS Blake"/>
        </w:rPr>
        <w:t>Bois</w:t>
      </w:r>
      <w:proofErr w:type="spellEnd"/>
      <w:r>
        <w:rPr>
          <w:rFonts w:ascii="TUOS Blake" w:eastAsiaTheme="minorEastAsia" w:hAnsi="TUOS Blake" w:cs="TUOS Blake"/>
        </w:rPr>
        <w:t xml:space="preserve">, Du, R. M., et al. (2004). Echocardiography and pulmonary function as screening tests for pulmonary arterial hypertension in systemic sclerosis. </w:t>
      </w:r>
      <w:r>
        <w:rPr>
          <w:rFonts w:ascii="TUOS Blake" w:eastAsiaTheme="minorEastAsia" w:hAnsi="TUOS Blake" w:cs="TUOS Blake"/>
          <w:i/>
          <w:iCs/>
        </w:rPr>
        <w:t>Rheumatology (Oxford, England)</w:t>
      </w:r>
      <w:r>
        <w:rPr>
          <w:rFonts w:ascii="TUOS Blake" w:eastAsiaTheme="minorEastAsia" w:hAnsi="TUOS Blake" w:cs="TUOS Blake"/>
        </w:rPr>
        <w:t xml:space="preserve">, </w:t>
      </w:r>
      <w:r>
        <w:rPr>
          <w:rFonts w:ascii="TUOS Blake" w:eastAsiaTheme="minorEastAsia" w:hAnsi="TUOS Blake" w:cs="TUOS Blake"/>
          <w:i/>
          <w:iCs/>
        </w:rPr>
        <w:t>43</w:t>
      </w:r>
      <w:r>
        <w:rPr>
          <w:rFonts w:ascii="TUOS Blake" w:eastAsiaTheme="minorEastAsia" w:hAnsi="TUOS Blake" w:cs="TUOS Blake"/>
        </w:rPr>
        <w:t xml:space="preserve">(4), 461–466. </w:t>
      </w:r>
      <w:hyperlink r:id="rId110" w:history="1">
        <w:r w:rsidR="00C81415" w:rsidRPr="000D4288">
          <w:rPr>
            <w:rStyle w:val="Hyperlink"/>
            <w:rFonts w:ascii="TUOS Blake" w:eastAsiaTheme="minorEastAsia" w:hAnsi="TUOS Blake" w:cs="TUOS Blake"/>
          </w:rPr>
          <w:t>http://doi.org/10.1093/rheumatology/keh067</w:t>
        </w:r>
      </w:hyperlink>
    </w:p>
    <w:p w14:paraId="6BC0C9FF"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672088F" w14:textId="6ED6BC8A"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Newman, A. M., Liu, C. L., Green, M. R., Gentles, A. J., Feng, W., Xu, Y., et al. (2015). Robust enumeration of cell subsets from tissue expression profiles. </w:t>
      </w:r>
      <w:r>
        <w:rPr>
          <w:rFonts w:ascii="TUOS Blake" w:eastAsiaTheme="minorEastAsia" w:hAnsi="TUOS Blake" w:cs="TUOS Blake"/>
          <w:i/>
          <w:iCs/>
        </w:rPr>
        <w:t>Nature Methods</w:t>
      </w:r>
      <w:r>
        <w:rPr>
          <w:rFonts w:ascii="TUOS Blake" w:eastAsiaTheme="minorEastAsia" w:hAnsi="TUOS Blake" w:cs="TUOS Blake"/>
        </w:rPr>
        <w:t xml:space="preserve">, </w:t>
      </w:r>
      <w:r>
        <w:rPr>
          <w:rFonts w:ascii="TUOS Blake" w:eastAsiaTheme="minorEastAsia" w:hAnsi="TUOS Blake" w:cs="TUOS Blake"/>
          <w:i/>
          <w:iCs/>
        </w:rPr>
        <w:t>12</w:t>
      </w:r>
      <w:r>
        <w:rPr>
          <w:rFonts w:ascii="TUOS Blake" w:eastAsiaTheme="minorEastAsia" w:hAnsi="TUOS Blake" w:cs="TUOS Blake"/>
        </w:rPr>
        <w:t xml:space="preserve">(5), 453–457. </w:t>
      </w:r>
      <w:hyperlink r:id="rId111" w:history="1">
        <w:r w:rsidR="00C81415" w:rsidRPr="000D4288">
          <w:rPr>
            <w:rStyle w:val="Hyperlink"/>
            <w:rFonts w:ascii="TUOS Blake" w:eastAsiaTheme="minorEastAsia" w:hAnsi="TUOS Blake" w:cs="TUOS Blake"/>
          </w:rPr>
          <w:t>http://doi.org/10.1038/nmeth.3337</w:t>
        </w:r>
      </w:hyperlink>
    </w:p>
    <w:p w14:paraId="3CEAF553"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6FBF4A9C" w14:textId="77222AE7"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NW, M., X, Y., PD, U., KB, J., N, M., KK, S., &amp; RC, T. (2001). Altered growth responses of pulmonary artery smooth muscle cells from patients with primary pulmonary hypertension to transforming growth factor-</w:t>
      </w:r>
      <w:proofErr w:type="gramStart"/>
      <w:r>
        <w:rPr>
          <w:rFonts w:ascii="TUOS Blake" w:eastAsiaTheme="minorEastAsia" w:hAnsi="TUOS Blake" w:cs="TUOS Blake"/>
        </w:rPr>
        <w:t>beta(</w:t>
      </w:r>
      <w:proofErr w:type="gramEnd"/>
      <w:r>
        <w:rPr>
          <w:rFonts w:ascii="TUOS Blake" w:eastAsiaTheme="minorEastAsia" w:hAnsi="TUOS Blake" w:cs="TUOS Blake"/>
        </w:rPr>
        <w:t xml:space="preserve">1) and bone morphogenetic proteins. </w:t>
      </w:r>
      <w:r>
        <w:rPr>
          <w:rFonts w:ascii="TUOS Blake" w:eastAsiaTheme="minorEastAsia" w:hAnsi="TUOS Blake" w:cs="TUOS Blake"/>
          <w:i/>
          <w:iCs/>
        </w:rPr>
        <w:t>Circulation</w:t>
      </w:r>
      <w:r>
        <w:rPr>
          <w:rFonts w:ascii="TUOS Blake" w:eastAsiaTheme="minorEastAsia" w:hAnsi="TUOS Blake" w:cs="TUOS Blake"/>
        </w:rPr>
        <w:t xml:space="preserve">, </w:t>
      </w:r>
      <w:r>
        <w:rPr>
          <w:rFonts w:ascii="TUOS Blake" w:eastAsiaTheme="minorEastAsia" w:hAnsi="TUOS Blake" w:cs="TUOS Blake"/>
          <w:i/>
          <w:iCs/>
        </w:rPr>
        <w:t>104</w:t>
      </w:r>
      <w:r>
        <w:rPr>
          <w:rFonts w:ascii="TUOS Blake" w:eastAsiaTheme="minorEastAsia" w:hAnsi="TUOS Blake" w:cs="TUOS Blake"/>
        </w:rPr>
        <w:t xml:space="preserve">(7), 790–795. </w:t>
      </w:r>
      <w:hyperlink r:id="rId112" w:history="1">
        <w:r w:rsidR="00C81415" w:rsidRPr="000D4288">
          <w:rPr>
            <w:rStyle w:val="Hyperlink"/>
            <w:rFonts w:ascii="TUOS Blake" w:eastAsiaTheme="minorEastAsia" w:hAnsi="TUOS Blake" w:cs="TUOS Blake"/>
          </w:rPr>
          <w:t>http://doi.org/10.1161/hc3201.094152</w:t>
        </w:r>
      </w:hyperlink>
    </w:p>
    <w:p w14:paraId="46174F07"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189E3BC2" w14:textId="4575278D"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Oglesby, I. K., &amp; McKiernan, P. J. (2017). MiRNA Expression in Cystic Fibrosis Bronchial Epithelial Cells. </w:t>
      </w:r>
      <w:r>
        <w:rPr>
          <w:rFonts w:ascii="TUOS Blake" w:eastAsiaTheme="minorEastAsia" w:hAnsi="TUOS Blake" w:cs="TUOS Blake"/>
          <w:i/>
          <w:iCs/>
        </w:rPr>
        <w:t>Methods in Molecular Biology (Clifton, N.J.)</w:t>
      </w:r>
      <w:r>
        <w:rPr>
          <w:rFonts w:ascii="TUOS Blake" w:eastAsiaTheme="minorEastAsia" w:hAnsi="TUOS Blake" w:cs="TUOS Blake"/>
        </w:rPr>
        <w:t xml:space="preserve">, </w:t>
      </w:r>
      <w:r>
        <w:rPr>
          <w:rFonts w:ascii="TUOS Blake" w:eastAsiaTheme="minorEastAsia" w:hAnsi="TUOS Blake" w:cs="TUOS Blake"/>
          <w:i/>
          <w:iCs/>
        </w:rPr>
        <w:t>1509</w:t>
      </w:r>
      <w:r>
        <w:rPr>
          <w:rFonts w:ascii="TUOS Blake" w:eastAsiaTheme="minorEastAsia" w:hAnsi="TUOS Blake" w:cs="TUOS Blake"/>
        </w:rPr>
        <w:t xml:space="preserve">, 57–69. </w:t>
      </w:r>
      <w:hyperlink r:id="rId113" w:history="1">
        <w:r w:rsidR="00C81415" w:rsidRPr="000D4288">
          <w:rPr>
            <w:rStyle w:val="Hyperlink"/>
            <w:rFonts w:ascii="TUOS Blake" w:eastAsiaTheme="minorEastAsia" w:hAnsi="TUOS Blake" w:cs="TUOS Blake"/>
          </w:rPr>
          <w:t>http://doi.org/10.1007/978-1-4939-6524-3_7</w:t>
        </w:r>
      </w:hyperlink>
    </w:p>
    <w:p w14:paraId="23091538"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9674956" w14:textId="380795C4"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Okamura, K., Hagen, J. W., Duan, H., Tyler, D. M., &amp; Lai, E. C. (2007). The Mirtron Pathway Generates microRNA-Class Regulatory RNAs in Drosophila. </w:t>
      </w:r>
      <w:r>
        <w:rPr>
          <w:rFonts w:ascii="TUOS Blake" w:eastAsiaTheme="minorEastAsia" w:hAnsi="TUOS Blake" w:cs="TUOS Blake"/>
          <w:i/>
          <w:iCs/>
        </w:rPr>
        <w:t>Cell</w:t>
      </w:r>
      <w:r>
        <w:rPr>
          <w:rFonts w:ascii="TUOS Blake" w:eastAsiaTheme="minorEastAsia" w:hAnsi="TUOS Blake" w:cs="TUOS Blake"/>
        </w:rPr>
        <w:t xml:space="preserve">, </w:t>
      </w:r>
      <w:r>
        <w:rPr>
          <w:rFonts w:ascii="TUOS Blake" w:eastAsiaTheme="minorEastAsia" w:hAnsi="TUOS Blake" w:cs="TUOS Blake"/>
          <w:i/>
          <w:iCs/>
        </w:rPr>
        <w:t>130</w:t>
      </w:r>
      <w:r>
        <w:rPr>
          <w:rFonts w:ascii="TUOS Blake" w:eastAsiaTheme="minorEastAsia" w:hAnsi="TUOS Blake" w:cs="TUOS Blake"/>
        </w:rPr>
        <w:t xml:space="preserve">(1), 89–100. </w:t>
      </w:r>
      <w:hyperlink r:id="rId114" w:history="1">
        <w:r w:rsidR="00C81415" w:rsidRPr="000D4288">
          <w:rPr>
            <w:rStyle w:val="Hyperlink"/>
            <w:rFonts w:ascii="TUOS Blake" w:eastAsiaTheme="minorEastAsia" w:hAnsi="TUOS Blake" w:cs="TUOS Blake"/>
          </w:rPr>
          <w:t>http://doi.org/10.1016/j.cell.2007.06.028</w:t>
        </w:r>
      </w:hyperlink>
    </w:p>
    <w:p w14:paraId="1F4DDE0F"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A752322" w14:textId="5D4400B1"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Parikh, V. N., </w:t>
      </w:r>
      <w:proofErr w:type="spellStart"/>
      <w:r>
        <w:rPr>
          <w:rFonts w:ascii="TUOS Blake" w:eastAsiaTheme="minorEastAsia" w:hAnsi="TUOS Blake" w:cs="TUOS Blake"/>
        </w:rPr>
        <w:t>Jin</w:t>
      </w:r>
      <w:proofErr w:type="spellEnd"/>
      <w:r>
        <w:rPr>
          <w:rFonts w:ascii="TUOS Blake" w:eastAsiaTheme="minorEastAsia" w:hAnsi="TUOS Blake" w:cs="TUOS Blake"/>
        </w:rPr>
        <w:t xml:space="preserve">, R. C., </w:t>
      </w:r>
      <w:proofErr w:type="spellStart"/>
      <w:r>
        <w:rPr>
          <w:rFonts w:ascii="TUOS Blake" w:eastAsiaTheme="minorEastAsia" w:hAnsi="TUOS Blake" w:cs="TUOS Blake"/>
        </w:rPr>
        <w:t>Rabello</w:t>
      </w:r>
      <w:proofErr w:type="spellEnd"/>
      <w:r>
        <w:rPr>
          <w:rFonts w:ascii="TUOS Blake" w:eastAsiaTheme="minorEastAsia" w:hAnsi="TUOS Blake" w:cs="TUOS Blake"/>
        </w:rPr>
        <w:t xml:space="preserve">, S., </w:t>
      </w:r>
      <w:proofErr w:type="spellStart"/>
      <w:r>
        <w:rPr>
          <w:rFonts w:ascii="TUOS Blake" w:eastAsiaTheme="minorEastAsia" w:hAnsi="TUOS Blake" w:cs="TUOS Blake"/>
        </w:rPr>
        <w:t>Gulbahce</w:t>
      </w:r>
      <w:proofErr w:type="spellEnd"/>
      <w:r>
        <w:rPr>
          <w:rFonts w:ascii="TUOS Blake" w:eastAsiaTheme="minorEastAsia" w:hAnsi="TUOS Blake" w:cs="TUOS Blake"/>
        </w:rPr>
        <w:t xml:space="preserve">, N., White, K., Hale, A., et al. (2012). MicroRNA-21 Integrates Pathogenic </w:t>
      </w:r>
      <w:proofErr w:type="spellStart"/>
      <w:r>
        <w:rPr>
          <w:rFonts w:ascii="TUOS Blake" w:eastAsiaTheme="minorEastAsia" w:hAnsi="TUOS Blake" w:cs="TUOS Blake"/>
        </w:rPr>
        <w:t>Signaling</w:t>
      </w:r>
      <w:proofErr w:type="spellEnd"/>
      <w:r>
        <w:rPr>
          <w:rFonts w:ascii="TUOS Blake" w:eastAsiaTheme="minorEastAsia" w:hAnsi="TUOS Blake" w:cs="TUOS Blake"/>
        </w:rPr>
        <w:t xml:space="preserve"> to Control Pulmonary Hypertension: Results of a Network Bioinformatics Approach. </w:t>
      </w:r>
      <w:r>
        <w:rPr>
          <w:rFonts w:ascii="TUOS Blake" w:eastAsiaTheme="minorEastAsia" w:hAnsi="TUOS Blake" w:cs="TUOS Blake"/>
          <w:i/>
          <w:iCs/>
        </w:rPr>
        <w:t>Circulation</w:t>
      </w:r>
      <w:r>
        <w:rPr>
          <w:rFonts w:ascii="TUOS Blake" w:eastAsiaTheme="minorEastAsia" w:hAnsi="TUOS Blake" w:cs="TUOS Blake"/>
        </w:rPr>
        <w:t xml:space="preserve">, </w:t>
      </w:r>
      <w:r>
        <w:rPr>
          <w:rFonts w:ascii="TUOS Blake" w:eastAsiaTheme="minorEastAsia" w:hAnsi="TUOS Blake" w:cs="TUOS Blake"/>
          <w:i/>
          <w:iCs/>
        </w:rPr>
        <w:t>125</w:t>
      </w:r>
      <w:r>
        <w:rPr>
          <w:rFonts w:ascii="TUOS Blake" w:eastAsiaTheme="minorEastAsia" w:hAnsi="TUOS Blake" w:cs="TUOS Blake"/>
        </w:rPr>
        <w:t xml:space="preserve">(12), 1520–1532. </w:t>
      </w:r>
      <w:hyperlink r:id="rId115" w:history="1">
        <w:r w:rsidR="00C81415" w:rsidRPr="000D4288">
          <w:rPr>
            <w:rStyle w:val="Hyperlink"/>
            <w:rFonts w:ascii="TUOS Blake" w:eastAsiaTheme="minorEastAsia" w:hAnsi="TUOS Blake" w:cs="TUOS Blake"/>
          </w:rPr>
          <w:t>http://doi.org/10.1161/CIRCULATIONAHA.111.060269</w:t>
        </w:r>
      </w:hyperlink>
    </w:p>
    <w:p w14:paraId="7EB0B699"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AD1C6B6" w14:textId="4688C400"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Pirola</w:t>
      </w:r>
      <w:proofErr w:type="spellEnd"/>
      <w:r>
        <w:rPr>
          <w:rFonts w:ascii="TUOS Blake" w:eastAsiaTheme="minorEastAsia" w:hAnsi="TUOS Blake" w:cs="TUOS Blake"/>
        </w:rPr>
        <w:t xml:space="preserve">, C. J., Fernández </w:t>
      </w:r>
      <w:proofErr w:type="spellStart"/>
      <w:r>
        <w:rPr>
          <w:rFonts w:ascii="TUOS Blake" w:eastAsiaTheme="minorEastAsia" w:hAnsi="TUOS Blake" w:cs="TUOS Blake"/>
        </w:rPr>
        <w:t>Gianotti</w:t>
      </w:r>
      <w:proofErr w:type="spellEnd"/>
      <w:r>
        <w:rPr>
          <w:rFonts w:ascii="TUOS Blake" w:eastAsiaTheme="minorEastAsia" w:hAnsi="TUOS Blake" w:cs="TUOS Blake"/>
        </w:rPr>
        <w:t xml:space="preserve">, T., </w:t>
      </w:r>
      <w:proofErr w:type="spellStart"/>
      <w:r>
        <w:rPr>
          <w:rFonts w:ascii="TUOS Blake" w:eastAsiaTheme="minorEastAsia" w:hAnsi="TUOS Blake" w:cs="TUOS Blake"/>
        </w:rPr>
        <w:t>Castaño</w:t>
      </w:r>
      <w:proofErr w:type="spellEnd"/>
      <w:r>
        <w:rPr>
          <w:rFonts w:ascii="TUOS Blake" w:eastAsiaTheme="minorEastAsia" w:hAnsi="TUOS Blake" w:cs="TUOS Blake"/>
        </w:rPr>
        <w:t xml:space="preserve">, G. O., </w:t>
      </w:r>
      <w:proofErr w:type="spellStart"/>
      <w:r>
        <w:rPr>
          <w:rFonts w:ascii="TUOS Blake" w:eastAsiaTheme="minorEastAsia" w:hAnsi="TUOS Blake" w:cs="TUOS Blake"/>
        </w:rPr>
        <w:t>Mallardi</w:t>
      </w:r>
      <w:proofErr w:type="spellEnd"/>
      <w:r>
        <w:rPr>
          <w:rFonts w:ascii="TUOS Blake" w:eastAsiaTheme="minorEastAsia" w:hAnsi="TUOS Blake" w:cs="TUOS Blake"/>
        </w:rPr>
        <w:t xml:space="preserve">, P., San Martino, J., Mora Gonzalez Lopez Ledesma, M., et al. (2015). Circulating microRNA signature in non-alcoholic fatty liver disease: from serum non-coding RNAs to liver histology and </w:t>
      </w:r>
      <w:r>
        <w:rPr>
          <w:rFonts w:ascii="TUOS Blake" w:eastAsiaTheme="minorEastAsia" w:hAnsi="TUOS Blake" w:cs="TUOS Blake"/>
        </w:rPr>
        <w:lastRenderedPageBreak/>
        <w:t xml:space="preserve">disease pathogenesis. </w:t>
      </w:r>
      <w:r>
        <w:rPr>
          <w:rFonts w:ascii="TUOS Blake" w:eastAsiaTheme="minorEastAsia" w:hAnsi="TUOS Blake" w:cs="TUOS Blake"/>
          <w:i/>
          <w:iCs/>
        </w:rPr>
        <w:t>Gut</w:t>
      </w:r>
      <w:r>
        <w:rPr>
          <w:rFonts w:ascii="TUOS Blake" w:eastAsiaTheme="minorEastAsia" w:hAnsi="TUOS Blake" w:cs="TUOS Blake"/>
        </w:rPr>
        <w:t xml:space="preserve">, </w:t>
      </w:r>
      <w:r>
        <w:rPr>
          <w:rFonts w:ascii="TUOS Blake" w:eastAsiaTheme="minorEastAsia" w:hAnsi="TUOS Blake" w:cs="TUOS Blake"/>
          <w:i/>
          <w:iCs/>
        </w:rPr>
        <w:t>64</w:t>
      </w:r>
      <w:r>
        <w:rPr>
          <w:rFonts w:ascii="TUOS Blake" w:eastAsiaTheme="minorEastAsia" w:hAnsi="TUOS Blake" w:cs="TUOS Blake"/>
        </w:rPr>
        <w:t xml:space="preserve">(5), 800–812. </w:t>
      </w:r>
      <w:hyperlink r:id="rId116" w:history="1">
        <w:r w:rsidR="00C81415" w:rsidRPr="000D4288">
          <w:rPr>
            <w:rStyle w:val="Hyperlink"/>
            <w:rFonts w:ascii="TUOS Blake" w:eastAsiaTheme="minorEastAsia" w:hAnsi="TUOS Blake" w:cs="TUOS Blake"/>
          </w:rPr>
          <w:t>http://doi.org/10.1136/gutjnl-2014-306996</w:t>
        </w:r>
      </w:hyperlink>
    </w:p>
    <w:p w14:paraId="41823A0A"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CC11B85" w14:textId="70CE7995"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Qin, Y., Yao, J., Wu, D. C., Nottingham, R. M., Mohr, S., </w:t>
      </w:r>
      <w:proofErr w:type="spellStart"/>
      <w:r>
        <w:rPr>
          <w:rFonts w:ascii="TUOS Blake" w:eastAsiaTheme="minorEastAsia" w:hAnsi="TUOS Blake" w:cs="TUOS Blake"/>
        </w:rPr>
        <w:t>Hunicke</w:t>
      </w:r>
      <w:proofErr w:type="spellEnd"/>
      <w:r>
        <w:rPr>
          <w:rFonts w:ascii="TUOS Blake" w:eastAsiaTheme="minorEastAsia" w:hAnsi="TUOS Blake" w:cs="TUOS Blake"/>
        </w:rPr>
        <w:t xml:space="preserve">-Smith, S., &amp; </w:t>
      </w:r>
      <w:proofErr w:type="spellStart"/>
      <w:r>
        <w:rPr>
          <w:rFonts w:ascii="TUOS Blake" w:eastAsiaTheme="minorEastAsia" w:hAnsi="TUOS Blake" w:cs="TUOS Blake"/>
        </w:rPr>
        <w:t>Lambowitz</w:t>
      </w:r>
      <w:proofErr w:type="spellEnd"/>
      <w:r>
        <w:rPr>
          <w:rFonts w:ascii="TUOS Blake" w:eastAsiaTheme="minorEastAsia" w:hAnsi="TUOS Blake" w:cs="TUOS Blake"/>
        </w:rPr>
        <w:t xml:space="preserve">, A. M. (2015). High-throughput sequencing of human plasma RNA by using thermostable group II intron reverse </w:t>
      </w:r>
      <w:proofErr w:type="spellStart"/>
      <w:r>
        <w:rPr>
          <w:rFonts w:ascii="TUOS Blake" w:eastAsiaTheme="minorEastAsia" w:hAnsi="TUOS Blake" w:cs="TUOS Blake"/>
        </w:rPr>
        <w:t>transcriptases</w:t>
      </w:r>
      <w:proofErr w:type="spellEnd"/>
      <w:r>
        <w:rPr>
          <w:rFonts w:ascii="TUOS Blake" w:eastAsiaTheme="minorEastAsia" w:hAnsi="TUOS Blake" w:cs="TUOS Blake"/>
        </w:rPr>
        <w:t xml:space="preserve">. </w:t>
      </w:r>
      <w:proofErr w:type="spellStart"/>
      <w:r>
        <w:rPr>
          <w:rFonts w:ascii="TUOS Blake" w:eastAsiaTheme="minorEastAsia" w:hAnsi="TUOS Blake" w:cs="TUOS Blake"/>
          <w:i/>
          <w:iCs/>
        </w:rPr>
        <w:t>Rna</w:t>
      </w:r>
      <w:proofErr w:type="spellEnd"/>
      <w:r>
        <w:rPr>
          <w:rFonts w:ascii="TUOS Blake" w:eastAsiaTheme="minorEastAsia" w:hAnsi="TUOS Blake" w:cs="TUOS Blake"/>
          <w:i/>
          <w:iCs/>
        </w:rPr>
        <w:t xml:space="preserve">-a Publication of the </w:t>
      </w:r>
      <w:proofErr w:type="spellStart"/>
      <w:r>
        <w:rPr>
          <w:rFonts w:ascii="TUOS Blake" w:eastAsiaTheme="minorEastAsia" w:hAnsi="TUOS Blake" w:cs="TUOS Blake"/>
          <w:i/>
          <w:iCs/>
        </w:rPr>
        <w:t>Rna</w:t>
      </w:r>
      <w:proofErr w:type="spellEnd"/>
      <w:r>
        <w:rPr>
          <w:rFonts w:ascii="TUOS Blake" w:eastAsiaTheme="minorEastAsia" w:hAnsi="TUOS Blake" w:cs="TUOS Blake"/>
          <w:i/>
          <w:iCs/>
        </w:rPr>
        <w:t xml:space="preserve"> Society</w:t>
      </w:r>
      <w:r>
        <w:rPr>
          <w:rFonts w:ascii="TUOS Blake" w:eastAsiaTheme="minorEastAsia" w:hAnsi="TUOS Blake" w:cs="TUOS Blake"/>
        </w:rPr>
        <w:t xml:space="preserve">, </w:t>
      </w:r>
      <w:r>
        <w:rPr>
          <w:rFonts w:ascii="TUOS Blake" w:eastAsiaTheme="minorEastAsia" w:hAnsi="TUOS Blake" w:cs="TUOS Blake"/>
          <w:i/>
          <w:iCs/>
        </w:rPr>
        <w:t>22</w:t>
      </w:r>
      <w:r>
        <w:rPr>
          <w:rFonts w:ascii="TUOS Blake" w:eastAsiaTheme="minorEastAsia" w:hAnsi="TUOS Blake" w:cs="TUOS Blake"/>
        </w:rPr>
        <w:t xml:space="preserve">(1), 111–128. </w:t>
      </w:r>
      <w:hyperlink r:id="rId117" w:history="1">
        <w:r w:rsidR="00C81415" w:rsidRPr="000D4288">
          <w:rPr>
            <w:rStyle w:val="Hyperlink"/>
            <w:rFonts w:ascii="TUOS Blake" w:eastAsiaTheme="minorEastAsia" w:hAnsi="TUOS Blake" w:cs="TUOS Blake"/>
          </w:rPr>
          <w:t>http://doi.org/10.1261/rna.054809.115</w:t>
        </w:r>
      </w:hyperlink>
    </w:p>
    <w:p w14:paraId="6E93B239"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7498A44" w14:textId="0D5575DB"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Quail, M. A., Smith, M., Coupland, P., Otto, T. D., Harris, S. R., Connor, T. R., et al. (2012). A tale of three next generation sequencing platforms: comparison of Ion Torrent, Pacific Biosciences and Illumina </w:t>
      </w:r>
      <w:proofErr w:type="spellStart"/>
      <w:r>
        <w:rPr>
          <w:rFonts w:ascii="TUOS Blake" w:eastAsiaTheme="minorEastAsia" w:hAnsi="TUOS Blake" w:cs="TUOS Blake"/>
        </w:rPr>
        <w:t>MiSeq</w:t>
      </w:r>
      <w:proofErr w:type="spellEnd"/>
      <w:r>
        <w:rPr>
          <w:rFonts w:ascii="TUOS Blake" w:eastAsiaTheme="minorEastAsia" w:hAnsi="TUOS Blake" w:cs="TUOS Blake"/>
        </w:rPr>
        <w:t xml:space="preserve"> sequencers. </w:t>
      </w:r>
      <w:r>
        <w:rPr>
          <w:rFonts w:ascii="TUOS Blake" w:eastAsiaTheme="minorEastAsia" w:hAnsi="TUOS Blake" w:cs="TUOS Blake"/>
          <w:i/>
          <w:iCs/>
        </w:rPr>
        <w:t>BMC Genomics</w:t>
      </w:r>
      <w:r>
        <w:rPr>
          <w:rFonts w:ascii="TUOS Blake" w:eastAsiaTheme="minorEastAsia" w:hAnsi="TUOS Blake" w:cs="TUOS Blake"/>
        </w:rPr>
        <w:t xml:space="preserve">, </w:t>
      </w:r>
      <w:r>
        <w:rPr>
          <w:rFonts w:ascii="TUOS Blake" w:eastAsiaTheme="minorEastAsia" w:hAnsi="TUOS Blake" w:cs="TUOS Blake"/>
          <w:i/>
          <w:iCs/>
        </w:rPr>
        <w:t>13</w:t>
      </w:r>
      <w:r>
        <w:rPr>
          <w:rFonts w:ascii="TUOS Blake" w:eastAsiaTheme="minorEastAsia" w:hAnsi="TUOS Blake" w:cs="TUOS Blake"/>
        </w:rPr>
        <w:t xml:space="preserve">, 341. </w:t>
      </w:r>
      <w:hyperlink r:id="rId118" w:history="1">
        <w:r w:rsidR="00C81415" w:rsidRPr="000D4288">
          <w:rPr>
            <w:rStyle w:val="Hyperlink"/>
            <w:rFonts w:ascii="TUOS Blake" w:eastAsiaTheme="minorEastAsia" w:hAnsi="TUOS Blake" w:cs="TUOS Blake"/>
          </w:rPr>
          <w:t>http://doi.org/10.1186/1471-2164-13-341</w:t>
        </w:r>
      </w:hyperlink>
    </w:p>
    <w:p w14:paraId="7B832E86"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B4A4173" w14:textId="0A81CA3B"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Rabinovitch, M. (2012). Molecular pathogenesis of pulmonary arterial hypertension. - PubMed - NCBI. </w:t>
      </w:r>
      <w:r>
        <w:rPr>
          <w:rFonts w:ascii="TUOS Blake" w:eastAsiaTheme="minorEastAsia" w:hAnsi="TUOS Blake" w:cs="TUOS Blake"/>
          <w:i/>
          <w:iCs/>
        </w:rPr>
        <w:t>Journal of Clinical Investigation</w:t>
      </w:r>
      <w:r>
        <w:rPr>
          <w:rFonts w:ascii="TUOS Blake" w:eastAsiaTheme="minorEastAsia" w:hAnsi="TUOS Blake" w:cs="TUOS Blake"/>
        </w:rPr>
        <w:t xml:space="preserve">, </w:t>
      </w:r>
      <w:r>
        <w:rPr>
          <w:rFonts w:ascii="TUOS Blake" w:eastAsiaTheme="minorEastAsia" w:hAnsi="TUOS Blake" w:cs="TUOS Blake"/>
          <w:i/>
          <w:iCs/>
        </w:rPr>
        <w:t>122</w:t>
      </w:r>
      <w:r>
        <w:rPr>
          <w:rFonts w:ascii="TUOS Blake" w:eastAsiaTheme="minorEastAsia" w:hAnsi="TUOS Blake" w:cs="TUOS Blake"/>
        </w:rPr>
        <w:t xml:space="preserve">(12), 4306–4313. </w:t>
      </w:r>
      <w:hyperlink r:id="rId119" w:history="1">
        <w:r w:rsidR="00C81415" w:rsidRPr="000D4288">
          <w:rPr>
            <w:rStyle w:val="Hyperlink"/>
            <w:rFonts w:ascii="TUOS Blake" w:eastAsiaTheme="minorEastAsia" w:hAnsi="TUOS Blake" w:cs="TUOS Blake"/>
          </w:rPr>
          <w:t>http://doi.org/10.1172/JCI60658</w:t>
        </w:r>
      </w:hyperlink>
    </w:p>
    <w:p w14:paraId="1A55F056"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2ABD9E16" w14:textId="034612BE"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Radchenko</w:t>
      </w:r>
      <w:proofErr w:type="spellEnd"/>
      <w:r>
        <w:rPr>
          <w:rFonts w:ascii="TUOS Blake" w:eastAsiaTheme="minorEastAsia" w:hAnsi="TUOS Blake" w:cs="TUOS Blake"/>
        </w:rPr>
        <w:t xml:space="preserve">, G. D., </w:t>
      </w:r>
      <w:proofErr w:type="spellStart"/>
      <w:r>
        <w:rPr>
          <w:rFonts w:ascii="TUOS Blake" w:eastAsiaTheme="minorEastAsia" w:hAnsi="TUOS Blake" w:cs="TUOS Blake"/>
        </w:rPr>
        <w:t>Zhyvylo</w:t>
      </w:r>
      <w:proofErr w:type="spellEnd"/>
      <w:r>
        <w:rPr>
          <w:rFonts w:ascii="TUOS Blake" w:eastAsiaTheme="minorEastAsia" w:hAnsi="TUOS Blake" w:cs="TUOS Blake"/>
        </w:rPr>
        <w:t xml:space="preserve">, I. O., &amp; </w:t>
      </w:r>
      <w:proofErr w:type="spellStart"/>
      <w:r>
        <w:rPr>
          <w:rFonts w:ascii="TUOS Blake" w:eastAsiaTheme="minorEastAsia" w:hAnsi="TUOS Blake" w:cs="TUOS Blake"/>
        </w:rPr>
        <w:t>Sirenko</w:t>
      </w:r>
      <w:proofErr w:type="spellEnd"/>
      <w:r>
        <w:rPr>
          <w:rFonts w:ascii="TUOS Blake" w:eastAsiaTheme="minorEastAsia" w:hAnsi="TUOS Blake" w:cs="TUOS Blake"/>
        </w:rPr>
        <w:t xml:space="preserve">, Y. M. (2019). Analysis of pulmonary hypertension patient survival after treatment in referral </w:t>
      </w:r>
      <w:proofErr w:type="spellStart"/>
      <w:r>
        <w:rPr>
          <w:rFonts w:ascii="TUOS Blake" w:eastAsiaTheme="minorEastAsia" w:hAnsi="TUOS Blake" w:cs="TUOS Blake"/>
        </w:rPr>
        <w:t>center</w:t>
      </w:r>
      <w:proofErr w:type="spellEnd"/>
      <w:r>
        <w:rPr>
          <w:rFonts w:ascii="TUOS Blake" w:eastAsiaTheme="minorEastAsia" w:hAnsi="TUOS Blake" w:cs="TUOS Blake"/>
        </w:rPr>
        <w:t xml:space="preserve"> (data of first Ukrainian register). </w:t>
      </w:r>
      <w:r>
        <w:rPr>
          <w:rFonts w:ascii="TUOS Blake" w:eastAsiaTheme="minorEastAsia" w:hAnsi="TUOS Blake" w:cs="TUOS Blake"/>
          <w:i/>
          <w:iCs/>
        </w:rPr>
        <w:t>Pulmonary Circulation</w:t>
      </w:r>
      <w:r>
        <w:rPr>
          <w:rFonts w:ascii="TUOS Blake" w:eastAsiaTheme="minorEastAsia" w:hAnsi="TUOS Blake" w:cs="TUOS Blake"/>
        </w:rPr>
        <w:t xml:space="preserve">, </w:t>
      </w:r>
      <w:r>
        <w:rPr>
          <w:rFonts w:ascii="TUOS Blake" w:eastAsiaTheme="minorEastAsia" w:hAnsi="TUOS Blake" w:cs="TUOS Blake"/>
          <w:i/>
          <w:iCs/>
        </w:rPr>
        <w:t>9</w:t>
      </w:r>
      <w:r>
        <w:rPr>
          <w:rFonts w:ascii="TUOS Blake" w:eastAsiaTheme="minorEastAsia" w:hAnsi="TUOS Blake" w:cs="TUOS Blake"/>
        </w:rPr>
        <w:t xml:space="preserve">(2), 204589401984560. </w:t>
      </w:r>
      <w:hyperlink r:id="rId120" w:history="1">
        <w:r w:rsidR="00C81415" w:rsidRPr="000D4288">
          <w:rPr>
            <w:rStyle w:val="Hyperlink"/>
            <w:rFonts w:ascii="TUOS Blake" w:eastAsiaTheme="minorEastAsia" w:hAnsi="TUOS Blake" w:cs="TUOS Blake"/>
          </w:rPr>
          <w:t>http://doi.org/10.1177/2045894019845604</w:t>
        </w:r>
      </w:hyperlink>
    </w:p>
    <w:p w14:paraId="6FAD541A"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7668C81" w14:textId="2F1C22FF"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Reyfman</w:t>
      </w:r>
      <w:proofErr w:type="spellEnd"/>
      <w:r>
        <w:rPr>
          <w:rFonts w:ascii="TUOS Blake" w:eastAsiaTheme="minorEastAsia" w:hAnsi="TUOS Blake" w:cs="TUOS Blake"/>
        </w:rPr>
        <w:t xml:space="preserve">, P. A., Walter, J. M., Joshi, N., </w:t>
      </w:r>
      <w:proofErr w:type="spellStart"/>
      <w:r>
        <w:rPr>
          <w:rFonts w:ascii="TUOS Blake" w:eastAsiaTheme="minorEastAsia" w:hAnsi="TUOS Blake" w:cs="TUOS Blake"/>
        </w:rPr>
        <w:t>Anekalla</w:t>
      </w:r>
      <w:proofErr w:type="spellEnd"/>
      <w:r>
        <w:rPr>
          <w:rFonts w:ascii="TUOS Blake" w:eastAsiaTheme="minorEastAsia" w:hAnsi="TUOS Blake" w:cs="TUOS Blake"/>
        </w:rPr>
        <w:t xml:space="preserve">, K. R., </w:t>
      </w:r>
      <w:proofErr w:type="spellStart"/>
      <w:r>
        <w:rPr>
          <w:rFonts w:ascii="TUOS Blake" w:eastAsiaTheme="minorEastAsia" w:hAnsi="TUOS Blake" w:cs="TUOS Blake"/>
        </w:rPr>
        <w:t>McQuattie</w:t>
      </w:r>
      <w:proofErr w:type="spellEnd"/>
      <w:r>
        <w:rPr>
          <w:rFonts w:ascii="TUOS Blake" w:eastAsiaTheme="minorEastAsia" w:hAnsi="TUOS Blake" w:cs="TUOS Blake"/>
        </w:rPr>
        <w:t xml:space="preserve">-Pimentel, A. C., Chiu, S., et al. (2019). Single-Cell Transcriptomic Analysis of Human Lung Provides Insights into the Pathobiology of Pulmonary Fibrosis. </w:t>
      </w:r>
      <w:r>
        <w:rPr>
          <w:rFonts w:ascii="TUOS Blake" w:eastAsiaTheme="minorEastAsia" w:hAnsi="TUOS Blake" w:cs="TUOS Blake"/>
          <w:i/>
          <w:iCs/>
        </w:rPr>
        <w:t>American Journal of Respiratory and Critical Care Medicine</w:t>
      </w:r>
      <w:r>
        <w:rPr>
          <w:rFonts w:ascii="TUOS Blake" w:eastAsiaTheme="minorEastAsia" w:hAnsi="TUOS Blake" w:cs="TUOS Blake"/>
        </w:rPr>
        <w:t xml:space="preserve">, </w:t>
      </w:r>
      <w:r>
        <w:rPr>
          <w:rFonts w:ascii="TUOS Blake" w:eastAsiaTheme="minorEastAsia" w:hAnsi="TUOS Blake" w:cs="TUOS Blake"/>
          <w:i/>
          <w:iCs/>
        </w:rPr>
        <w:t>199</w:t>
      </w:r>
      <w:r>
        <w:rPr>
          <w:rFonts w:ascii="TUOS Blake" w:eastAsiaTheme="minorEastAsia" w:hAnsi="TUOS Blake" w:cs="TUOS Blake"/>
        </w:rPr>
        <w:t xml:space="preserve">(12), 1517–1536. </w:t>
      </w:r>
      <w:hyperlink r:id="rId121" w:history="1">
        <w:r w:rsidR="00C81415" w:rsidRPr="000D4288">
          <w:rPr>
            <w:rStyle w:val="Hyperlink"/>
            <w:rFonts w:ascii="TUOS Blake" w:eastAsiaTheme="minorEastAsia" w:hAnsi="TUOS Blake" w:cs="TUOS Blake"/>
          </w:rPr>
          <w:t>http://doi.org/10.1164/rccm.201712-2410OC</w:t>
        </w:r>
      </w:hyperlink>
    </w:p>
    <w:p w14:paraId="52412EC9"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4291AE3" w14:textId="6135256B"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Rhodes, C. J., Wharton, J., Boon, R. A., </w:t>
      </w:r>
      <w:proofErr w:type="spellStart"/>
      <w:r>
        <w:rPr>
          <w:rFonts w:ascii="TUOS Blake" w:eastAsiaTheme="minorEastAsia" w:hAnsi="TUOS Blake" w:cs="TUOS Blake"/>
        </w:rPr>
        <w:t>Roexe</w:t>
      </w:r>
      <w:proofErr w:type="spellEnd"/>
      <w:r>
        <w:rPr>
          <w:rFonts w:ascii="TUOS Blake" w:eastAsiaTheme="minorEastAsia" w:hAnsi="TUOS Blake" w:cs="TUOS Blake"/>
        </w:rPr>
        <w:t xml:space="preserve">, T., Tsang, H., </w:t>
      </w:r>
      <w:proofErr w:type="spellStart"/>
      <w:r>
        <w:rPr>
          <w:rFonts w:ascii="TUOS Blake" w:eastAsiaTheme="minorEastAsia" w:hAnsi="TUOS Blake" w:cs="TUOS Blake"/>
        </w:rPr>
        <w:t>Wojciak-Stothard</w:t>
      </w:r>
      <w:proofErr w:type="spellEnd"/>
      <w:r>
        <w:rPr>
          <w:rFonts w:ascii="TUOS Blake" w:eastAsiaTheme="minorEastAsia" w:hAnsi="TUOS Blake" w:cs="TUOS Blake"/>
        </w:rPr>
        <w:t xml:space="preserve">, B., et al. (2013). Reduced microRNA-150 is associated with poor survival in pulmonary arterial hypertension. </w:t>
      </w:r>
      <w:r>
        <w:rPr>
          <w:rFonts w:ascii="TUOS Blake" w:eastAsiaTheme="minorEastAsia" w:hAnsi="TUOS Blake" w:cs="TUOS Blake"/>
          <w:i/>
          <w:iCs/>
        </w:rPr>
        <w:t>American Journal of Respiratory and Critical Care Medicine</w:t>
      </w:r>
      <w:r>
        <w:rPr>
          <w:rFonts w:ascii="TUOS Blake" w:eastAsiaTheme="minorEastAsia" w:hAnsi="TUOS Blake" w:cs="TUOS Blake"/>
        </w:rPr>
        <w:t xml:space="preserve">, </w:t>
      </w:r>
      <w:r>
        <w:rPr>
          <w:rFonts w:ascii="TUOS Blake" w:eastAsiaTheme="minorEastAsia" w:hAnsi="TUOS Blake" w:cs="TUOS Blake"/>
          <w:i/>
          <w:iCs/>
        </w:rPr>
        <w:t>187</w:t>
      </w:r>
      <w:r>
        <w:rPr>
          <w:rFonts w:ascii="TUOS Blake" w:eastAsiaTheme="minorEastAsia" w:hAnsi="TUOS Blake" w:cs="TUOS Blake"/>
        </w:rPr>
        <w:t xml:space="preserve">(3), 294–302. </w:t>
      </w:r>
      <w:hyperlink r:id="rId122" w:history="1">
        <w:r w:rsidR="00C81415" w:rsidRPr="000D4288">
          <w:rPr>
            <w:rStyle w:val="Hyperlink"/>
            <w:rFonts w:ascii="TUOS Blake" w:eastAsiaTheme="minorEastAsia" w:hAnsi="TUOS Blake" w:cs="TUOS Blake"/>
          </w:rPr>
          <w:t>http://doi.org/10.1164/rccm.201205-0839OC</w:t>
        </w:r>
      </w:hyperlink>
    </w:p>
    <w:p w14:paraId="2CFB2D02"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77F95120" w14:textId="0CD9020E"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Ritchie, M. E., </w:t>
      </w:r>
      <w:proofErr w:type="spellStart"/>
      <w:r>
        <w:rPr>
          <w:rFonts w:ascii="TUOS Blake" w:eastAsiaTheme="minorEastAsia" w:hAnsi="TUOS Blake" w:cs="TUOS Blake"/>
        </w:rPr>
        <w:t>Phipson</w:t>
      </w:r>
      <w:proofErr w:type="spellEnd"/>
      <w:r>
        <w:rPr>
          <w:rFonts w:ascii="TUOS Blake" w:eastAsiaTheme="minorEastAsia" w:hAnsi="TUOS Blake" w:cs="TUOS Blake"/>
        </w:rPr>
        <w:t xml:space="preserve">, B., Wu, D., Hu, Y., Law, C. W., Shi, W., &amp; Smyth, G. K. (2015). </w:t>
      </w:r>
      <w:proofErr w:type="spellStart"/>
      <w:r>
        <w:rPr>
          <w:rFonts w:ascii="TUOS Blake" w:eastAsiaTheme="minorEastAsia" w:hAnsi="TUOS Blake" w:cs="TUOS Blake"/>
        </w:rPr>
        <w:t>limma</w:t>
      </w:r>
      <w:proofErr w:type="spellEnd"/>
      <w:r>
        <w:rPr>
          <w:rFonts w:ascii="TUOS Blake" w:eastAsiaTheme="minorEastAsia" w:hAnsi="TUOS Blake" w:cs="TUOS Blake"/>
        </w:rPr>
        <w:t xml:space="preserve"> powers differential expression analyses for RNA-sequencing and microarray studies. </w:t>
      </w:r>
      <w:r>
        <w:rPr>
          <w:rFonts w:ascii="TUOS Blake" w:eastAsiaTheme="minorEastAsia" w:hAnsi="TUOS Blake" w:cs="TUOS Blake"/>
          <w:i/>
          <w:iCs/>
        </w:rPr>
        <w:t>Nucleic Acids Research</w:t>
      </w:r>
      <w:r>
        <w:rPr>
          <w:rFonts w:ascii="TUOS Blake" w:eastAsiaTheme="minorEastAsia" w:hAnsi="TUOS Blake" w:cs="TUOS Blake"/>
        </w:rPr>
        <w:t xml:space="preserve">, </w:t>
      </w:r>
      <w:r>
        <w:rPr>
          <w:rFonts w:ascii="TUOS Blake" w:eastAsiaTheme="minorEastAsia" w:hAnsi="TUOS Blake" w:cs="TUOS Blake"/>
          <w:i/>
          <w:iCs/>
        </w:rPr>
        <w:t>43</w:t>
      </w:r>
      <w:r>
        <w:rPr>
          <w:rFonts w:ascii="TUOS Blake" w:eastAsiaTheme="minorEastAsia" w:hAnsi="TUOS Blake" w:cs="TUOS Blake"/>
        </w:rPr>
        <w:t xml:space="preserve">(7), e47–e47. </w:t>
      </w:r>
      <w:hyperlink r:id="rId123" w:history="1">
        <w:r w:rsidR="00C81415" w:rsidRPr="000D4288">
          <w:rPr>
            <w:rStyle w:val="Hyperlink"/>
            <w:rFonts w:ascii="TUOS Blake" w:eastAsiaTheme="minorEastAsia" w:hAnsi="TUOS Blake" w:cs="TUOS Blake"/>
          </w:rPr>
          <w:t>http://doi.org/10.1093/nar/gkv007</w:t>
        </w:r>
      </w:hyperlink>
    </w:p>
    <w:p w14:paraId="6D4224FA"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2AA3096" w14:textId="23DB4435"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Roderburg</w:t>
      </w:r>
      <w:proofErr w:type="spellEnd"/>
      <w:r>
        <w:rPr>
          <w:rFonts w:ascii="TUOS Blake" w:eastAsiaTheme="minorEastAsia" w:hAnsi="TUOS Blake" w:cs="TUOS Blake"/>
        </w:rPr>
        <w:t xml:space="preserve">, C., </w:t>
      </w:r>
      <w:proofErr w:type="spellStart"/>
      <w:r>
        <w:rPr>
          <w:rFonts w:ascii="TUOS Blake" w:eastAsiaTheme="minorEastAsia" w:hAnsi="TUOS Blake" w:cs="TUOS Blake"/>
        </w:rPr>
        <w:t>Luedde</w:t>
      </w:r>
      <w:proofErr w:type="spellEnd"/>
      <w:r>
        <w:rPr>
          <w:rFonts w:ascii="TUOS Blake" w:eastAsiaTheme="minorEastAsia" w:hAnsi="TUOS Blake" w:cs="TUOS Blake"/>
        </w:rPr>
        <w:t xml:space="preserve">, M., Vargas Cardenas, D., </w:t>
      </w:r>
      <w:proofErr w:type="spellStart"/>
      <w:r>
        <w:rPr>
          <w:rFonts w:ascii="TUOS Blake" w:eastAsiaTheme="minorEastAsia" w:hAnsi="TUOS Blake" w:cs="TUOS Blake"/>
        </w:rPr>
        <w:t>Vucur</w:t>
      </w:r>
      <w:proofErr w:type="spellEnd"/>
      <w:r>
        <w:rPr>
          <w:rFonts w:ascii="TUOS Blake" w:eastAsiaTheme="minorEastAsia" w:hAnsi="TUOS Blake" w:cs="TUOS Blake"/>
        </w:rPr>
        <w:t xml:space="preserve">, M., Scholten, D., Frey, N., et al. (2013). Circulating microRNA-150 serum levels predict survival in patients with critical illness and sepsis. </w:t>
      </w:r>
      <w:proofErr w:type="spellStart"/>
      <w:r>
        <w:rPr>
          <w:rFonts w:ascii="TUOS Blake" w:eastAsiaTheme="minorEastAsia" w:hAnsi="TUOS Blake" w:cs="TUOS Blake"/>
          <w:i/>
          <w:iCs/>
        </w:rPr>
        <w:t>PloS</w:t>
      </w:r>
      <w:proofErr w:type="spellEnd"/>
      <w:r>
        <w:rPr>
          <w:rFonts w:ascii="TUOS Blake" w:eastAsiaTheme="minorEastAsia" w:hAnsi="TUOS Blake" w:cs="TUOS Blake"/>
          <w:i/>
          <w:iCs/>
        </w:rPr>
        <w:t xml:space="preserve"> One</w:t>
      </w:r>
      <w:r>
        <w:rPr>
          <w:rFonts w:ascii="TUOS Blake" w:eastAsiaTheme="minorEastAsia" w:hAnsi="TUOS Blake" w:cs="TUOS Blake"/>
        </w:rPr>
        <w:t xml:space="preserve">, </w:t>
      </w:r>
      <w:r>
        <w:rPr>
          <w:rFonts w:ascii="TUOS Blake" w:eastAsiaTheme="minorEastAsia" w:hAnsi="TUOS Blake" w:cs="TUOS Blake"/>
          <w:i/>
          <w:iCs/>
        </w:rPr>
        <w:t>8</w:t>
      </w:r>
      <w:r>
        <w:rPr>
          <w:rFonts w:ascii="TUOS Blake" w:eastAsiaTheme="minorEastAsia" w:hAnsi="TUOS Blake" w:cs="TUOS Blake"/>
        </w:rPr>
        <w:t xml:space="preserve">(1), e54612. </w:t>
      </w:r>
      <w:hyperlink r:id="rId124" w:history="1">
        <w:r w:rsidR="00C81415" w:rsidRPr="000D4288">
          <w:rPr>
            <w:rStyle w:val="Hyperlink"/>
            <w:rFonts w:ascii="TUOS Blake" w:eastAsiaTheme="minorEastAsia" w:hAnsi="TUOS Blake" w:cs="TUOS Blake"/>
          </w:rPr>
          <w:t>http://doi.org/10.1371/journal.pone.0054612</w:t>
        </w:r>
      </w:hyperlink>
    </w:p>
    <w:p w14:paraId="6E1143B0"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616BCFD" w14:textId="343417A2"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Rothman, A. M. K., Arnold, N. D., </w:t>
      </w:r>
      <w:proofErr w:type="spellStart"/>
      <w:r>
        <w:rPr>
          <w:rFonts w:ascii="TUOS Blake" w:eastAsiaTheme="minorEastAsia" w:hAnsi="TUOS Blake" w:cs="TUOS Blake"/>
        </w:rPr>
        <w:t>Pickworth</w:t>
      </w:r>
      <w:proofErr w:type="spellEnd"/>
      <w:r>
        <w:rPr>
          <w:rFonts w:ascii="TUOS Blake" w:eastAsiaTheme="minorEastAsia" w:hAnsi="TUOS Blake" w:cs="TUOS Blake"/>
        </w:rPr>
        <w:t xml:space="preserve">, J. A., </w:t>
      </w:r>
      <w:proofErr w:type="spellStart"/>
      <w:r>
        <w:rPr>
          <w:rFonts w:ascii="TUOS Blake" w:eastAsiaTheme="minorEastAsia" w:hAnsi="TUOS Blake" w:cs="TUOS Blake"/>
        </w:rPr>
        <w:t>Iremonger</w:t>
      </w:r>
      <w:proofErr w:type="spellEnd"/>
      <w:r>
        <w:rPr>
          <w:rFonts w:ascii="TUOS Blake" w:eastAsiaTheme="minorEastAsia" w:hAnsi="TUOS Blake" w:cs="TUOS Blake"/>
        </w:rPr>
        <w:t xml:space="preserve">, J., </w:t>
      </w:r>
      <w:proofErr w:type="spellStart"/>
      <w:r>
        <w:rPr>
          <w:rFonts w:ascii="TUOS Blake" w:eastAsiaTheme="minorEastAsia" w:hAnsi="TUOS Blake" w:cs="TUOS Blake"/>
        </w:rPr>
        <w:t>Ciuclan</w:t>
      </w:r>
      <w:proofErr w:type="spellEnd"/>
      <w:r>
        <w:rPr>
          <w:rFonts w:ascii="TUOS Blake" w:eastAsiaTheme="minorEastAsia" w:hAnsi="TUOS Blake" w:cs="TUOS Blake"/>
        </w:rPr>
        <w:t xml:space="preserve">, L., Allen, R. M. H., et al. (2016). MicroRNA-140-5p and SMURF1 regulate pulmonary arterial hypertension. </w:t>
      </w:r>
      <w:r>
        <w:rPr>
          <w:rFonts w:ascii="TUOS Blake" w:eastAsiaTheme="minorEastAsia" w:hAnsi="TUOS Blake" w:cs="TUOS Blake"/>
          <w:i/>
          <w:iCs/>
        </w:rPr>
        <w:t>Journal of Clinical Investigation</w:t>
      </w:r>
      <w:r>
        <w:rPr>
          <w:rFonts w:ascii="TUOS Blake" w:eastAsiaTheme="minorEastAsia" w:hAnsi="TUOS Blake" w:cs="TUOS Blake"/>
        </w:rPr>
        <w:t xml:space="preserve">, </w:t>
      </w:r>
      <w:r>
        <w:rPr>
          <w:rFonts w:ascii="TUOS Blake" w:eastAsiaTheme="minorEastAsia" w:hAnsi="TUOS Blake" w:cs="TUOS Blake"/>
          <w:i/>
          <w:iCs/>
        </w:rPr>
        <w:t>126</w:t>
      </w:r>
      <w:r>
        <w:rPr>
          <w:rFonts w:ascii="TUOS Blake" w:eastAsiaTheme="minorEastAsia" w:hAnsi="TUOS Blake" w:cs="TUOS Blake"/>
        </w:rPr>
        <w:t xml:space="preserve">(7), 2495–2508. </w:t>
      </w:r>
      <w:hyperlink r:id="rId125" w:history="1">
        <w:r w:rsidR="00C81415" w:rsidRPr="000D4288">
          <w:rPr>
            <w:rStyle w:val="Hyperlink"/>
            <w:rFonts w:ascii="TUOS Blake" w:eastAsiaTheme="minorEastAsia" w:hAnsi="TUOS Blake" w:cs="TUOS Blake"/>
          </w:rPr>
          <w:t>http://doi.org/10.1172/JCI83361</w:t>
        </w:r>
      </w:hyperlink>
    </w:p>
    <w:p w14:paraId="4AD7BC01"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715D0F39" w14:textId="53BAB154"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lastRenderedPageBreak/>
        <w:t xml:space="preserve">Ruby, J. G., Jan, C. H., &amp; </w:t>
      </w:r>
      <w:proofErr w:type="spellStart"/>
      <w:r>
        <w:rPr>
          <w:rFonts w:ascii="TUOS Blake" w:eastAsiaTheme="minorEastAsia" w:hAnsi="TUOS Blake" w:cs="TUOS Blake"/>
        </w:rPr>
        <w:t>Bartel</w:t>
      </w:r>
      <w:proofErr w:type="spellEnd"/>
      <w:r>
        <w:rPr>
          <w:rFonts w:ascii="TUOS Blake" w:eastAsiaTheme="minorEastAsia" w:hAnsi="TUOS Blake" w:cs="TUOS Blake"/>
        </w:rPr>
        <w:t xml:space="preserve">, D. P. (2007). Intronic microRNA precursors that bypass Drosha processing. </w:t>
      </w:r>
      <w:r>
        <w:rPr>
          <w:rFonts w:ascii="TUOS Blake" w:eastAsiaTheme="minorEastAsia" w:hAnsi="TUOS Blake" w:cs="TUOS Blake"/>
          <w:i/>
          <w:iCs/>
        </w:rPr>
        <w:t>Nature</w:t>
      </w:r>
      <w:r>
        <w:rPr>
          <w:rFonts w:ascii="TUOS Blake" w:eastAsiaTheme="minorEastAsia" w:hAnsi="TUOS Blake" w:cs="TUOS Blake"/>
        </w:rPr>
        <w:t xml:space="preserve">, </w:t>
      </w:r>
      <w:r>
        <w:rPr>
          <w:rFonts w:ascii="TUOS Blake" w:eastAsiaTheme="minorEastAsia" w:hAnsi="TUOS Blake" w:cs="TUOS Blake"/>
          <w:i/>
          <w:iCs/>
        </w:rPr>
        <w:t>448</w:t>
      </w:r>
      <w:r>
        <w:rPr>
          <w:rFonts w:ascii="TUOS Blake" w:eastAsiaTheme="minorEastAsia" w:hAnsi="TUOS Blake" w:cs="TUOS Blake"/>
        </w:rPr>
        <w:t xml:space="preserve">(7149), 83–86. </w:t>
      </w:r>
      <w:hyperlink r:id="rId126" w:history="1">
        <w:r w:rsidR="00C81415" w:rsidRPr="000D4288">
          <w:rPr>
            <w:rStyle w:val="Hyperlink"/>
            <w:rFonts w:ascii="TUOS Blake" w:eastAsiaTheme="minorEastAsia" w:hAnsi="TUOS Blake" w:cs="TUOS Blake"/>
          </w:rPr>
          <w:t>http://doi.org/10.1038/nature05983</w:t>
        </w:r>
      </w:hyperlink>
    </w:p>
    <w:p w14:paraId="1511494E"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1A1DEB54" w14:textId="5E0586C8"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Saliminejad</w:t>
      </w:r>
      <w:proofErr w:type="spellEnd"/>
      <w:r>
        <w:rPr>
          <w:rFonts w:ascii="TUOS Blake" w:eastAsiaTheme="minorEastAsia" w:hAnsi="TUOS Blake" w:cs="TUOS Blake"/>
        </w:rPr>
        <w:t xml:space="preserve">, K., </w:t>
      </w:r>
      <w:proofErr w:type="spellStart"/>
      <w:r>
        <w:rPr>
          <w:rFonts w:ascii="TUOS Blake" w:eastAsiaTheme="minorEastAsia" w:hAnsi="TUOS Blake" w:cs="TUOS Blake"/>
        </w:rPr>
        <w:t>Khorram</w:t>
      </w:r>
      <w:proofErr w:type="spellEnd"/>
      <w:r>
        <w:rPr>
          <w:rFonts w:ascii="TUOS Blake" w:eastAsiaTheme="minorEastAsia" w:hAnsi="TUOS Blake" w:cs="TUOS Blake"/>
        </w:rPr>
        <w:t xml:space="preserve"> </w:t>
      </w:r>
      <w:proofErr w:type="spellStart"/>
      <w:r>
        <w:rPr>
          <w:rFonts w:ascii="TUOS Blake" w:eastAsiaTheme="minorEastAsia" w:hAnsi="TUOS Blake" w:cs="TUOS Blake"/>
        </w:rPr>
        <w:t>Khorshid</w:t>
      </w:r>
      <w:proofErr w:type="spellEnd"/>
      <w:r>
        <w:rPr>
          <w:rFonts w:ascii="TUOS Blake" w:eastAsiaTheme="minorEastAsia" w:hAnsi="TUOS Blake" w:cs="TUOS Blake"/>
        </w:rPr>
        <w:t xml:space="preserve">, H. R., &amp; </w:t>
      </w:r>
      <w:proofErr w:type="spellStart"/>
      <w:r>
        <w:rPr>
          <w:rFonts w:ascii="TUOS Blake" w:eastAsiaTheme="minorEastAsia" w:hAnsi="TUOS Blake" w:cs="TUOS Blake"/>
        </w:rPr>
        <w:t>Ghaffari</w:t>
      </w:r>
      <w:proofErr w:type="spellEnd"/>
      <w:r>
        <w:rPr>
          <w:rFonts w:ascii="TUOS Blake" w:eastAsiaTheme="minorEastAsia" w:hAnsi="TUOS Blake" w:cs="TUOS Blake"/>
        </w:rPr>
        <w:t xml:space="preserve">, S. H. (2019). Why have microRNA biomarkers not been translated from bench to clinic? </w:t>
      </w:r>
      <w:r>
        <w:rPr>
          <w:rFonts w:ascii="TUOS Blake" w:eastAsiaTheme="minorEastAsia" w:hAnsi="TUOS Blake" w:cs="TUOS Blake"/>
          <w:i/>
          <w:iCs/>
        </w:rPr>
        <w:t>Future Oncology</w:t>
      </w:r>
      <w:r>
        <w:rPr>
          <w:rFonts w:ascii="TUOS Blake" w:eastAsiaTheme="minorEastAsia" w:hAnsi="TUOS Blake" w:cs="TUOS Blake"/>
        </w:rPr>
        <w:t xml:space="preserve">, </w:t>
      </w:r>
      <w:r>
        <w:rPr>
          <w:rFonts w:ascii="TUOS Blake" w:eastAsiaTheme="minorEastAsia" w:hAnsi="TUOS Blake" w:cs="TUOS Blake"/>
          <w:i/>
          <w:iCs/>
        </w:rPr>
        <w:t>15</w:t>
      </w:r>
      <w:r>
        <w:rPr>
          <w:rFonts w:ascii="TUOS Blake" w:eastAsiaTheme="minorEastAsia" w:hAnsi="TUOS Blake" w:cs="TUOS Blake"/>
        </w:rPr>
        <w:t xml:space="preserve">(8), 801–803. </w:t>
      </w:r>
      <w:hyperlink r:id="rId127" w:history="1">
        <w:r w:rsidR="00C81415" w:rsidRPr="000D4288">
          <w:rPr>
            <w:rStyle w:val="Hyperlink"/>
            <w:rFonts w:ascii="TUOS Blake" w:eastAsiaTheme="minorEastAsia" w:hAnsi="TUOS Blake" w:cs="TUOS Blake"/>
          </w:rPr>
          <w:t>http://doi.org/10.2217/fon-2018-0812</w:t>
        </w:r>
      </w:hyperlink>
    </w:p>
    <w:p w14:paraId="5A542813"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8D9C578" w14:textId="52B27944"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Sanada</w:t>
      </w:r>
      <w:proofErr w:type="spellEnd"/>
      <w:r>
        <w:rPr>
          <w:rFonts w:ascii="TUOS Blake" w:eastAsiaTheme="minorEastAsia" w:hAnsi="TUOS Blake" w:cs="TUOS Blake"/>
        </w:rPr>
        <w:t xml:space="preserve">, T. J., Tanabe, N., Ishibashi-Ueda, H., Ishida, K., Naito, A., </w:t>
      </w:r>
      <w:proofErr w:type="spellStart"/>
      <w:r>
        <w:rPr>
          <w:rFonts w:ascii="TUOS Blake" w:eastAsiaTheme="minorEastAsia" w:hAnsi="TUOS Blake" w:cs="TUOS Blake"/>
        </w:rPr>
        <w:t>Sakao</w:t>
      </w:r>
      <w:proofErr w:type="spellEnd"/>
      <w:r>
        <w:rPr>
          <w:rFonts w:ascii="TUOS Blake" w:eastAsiaTheme="minorEastAsia" w:hAnsi="TUOS Blake" w:cs="TUOS Blake"/>
        </w:rPr>
        <w:t xml:space="preserve">, S., et al. (2019). Involvement of pulmonary arteriopathy in the development and severity of reperfusion pulmonary </w:t>
      </w:r>
      <w:proofErr w:type="spellStart"/>
      <w:r>
        <w:rPr>
          <w:rFonts w:ascii="TUOS Blake" w:eastAsiaTheme="minorEastAsia" w:hAnsi="TUOS Blake" w:cs="TUOS Blake"/>
        </w:rPr>
        <w:t>edema</w:t>
      </w:r>
      <w:proofErr w:type="spellEnd"/>
      <w:r>
        <w:rPr>
          <w:rFonts w:ascii="TUOS Blake" w:eastAsiaTheme="minorEastAsia" w:hAnsi="TUOS Blake" w:cs="TUOS Blake"/>
        </w:rPr>
        <w:t xml:space="preserve"> after pulmonary endarterectomy. </w:t>
      </w:r>
      <w:r>
        <w:rPr>
          <w:rFonts w:ascii="TUOS Blake" w:eastAsiaTheme="minorEastAsia" w:hAnsi="TUOS Blake" w:cs="TUOS Blake"/>
          <w:i/>
          <w:iCs/>
        </w:rPr>
        <w:t>Pulmonary Circulation</w:t>
      </w:r>
      <w:r>
        <w:rPr>
          <w:rFonts w:ascii="TUOS Blake" w:eastAsiaTheme="minorEastAsia" w:hAnsi="TUOS Blake" w:cs="TUOS Blake"/>
        </w:rPr>
        <w:t xml:space="preserve">, </w:t>
      </w:r>
      <w:r>
        <w:rPr>
          <w:rFonts w:ascii="TUOS Blake" w:eastAsiaTheme="minorEastAsia" w:hAnsi="TUOS Blake" w:cs="TUOS Blake"/>
          <w:i/>
          <w:iCs/>
        </w:rPr>
        <w:t>9</w:t>
      </w:r>
      <w:r>
        <w:rPr>
          <w:rFonts w:ascii="TUOS Blake" w:eastAsiaTheme="minorEastAsia" w:hAnsi="TUOS Blake" w:cs="TUOS Blake"/>
        </w:rPr>
        <w:t xml:space="preserve">(2), 2045894019846439. </w:t>
      </w:r>
      <w:hyperlink r:id="rId128" w:history="1">
        <w:r w:rsidR="00C81415" w:rsidRPr="000D4288">
          <w:rPr>
            <w:rStyle w:val="Hyperlink"/>
            <w:rFonts w:ascii="TUOS Blake" w:eastAsiaTheme="minorEastAsia" w:hAnsi="TUOS Blake" w:cs="TUOS Blake"/>
          </w:rPr>
          <w:t>http://doi.org/10.1177/2045894019846439</w:t>
        </w:r>
      </w:hyperlink>
    </w:p>
    <w:p w14:paraId="39CD03E1"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257938CE" w14:textId="09FEADB8"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Sanders, J. L., Han, Y., Urbina, M. F., Systrom, D. M., &amp; Waxman, A. B. (2019). Metabolomics of exercise pulmonary hypertension are intermediate between controls and patients with pulmonary arterial hypertension. </w:t>
      </w:r>
      <w:r>
        <w:rPr>
          <w:rFonts w:ascii="TUOS Blake" w:eastAsiaTheme="minorEastAsia" w:hAnsi="TUOS Blake" w:cs="TUOS Blake"/>
          <w:i/>
          <w:iCs/>
        </w:rPr>
        <w:t>Pulmonary Circulation</w:t>
      </w:r>
      <w:r>
        <w:rPr>
          <w:rFonts w:ascii="TUOS Blake" w:eastAsiaTheme="minorEastAsia" w:hAnsi="TUOS Blake" w:cs="TUOS Blake"/>
        </w:rPr>
        <w:t xml:space="preserve">, </w:t>
      </w:r>
      <w:r>
        <w:rPr>
          <w:rFonts w:ascii="TUOS Blake" w:eastAsiaTheme="minorEastAsia" w:hAnsi="TUOS Blake" w:cs="TUOS Blake"/>
          <w:i/>
          <w:iCs/>
        </w:rPr>
        <w:t>9</w:t>
      </w:r>
      <w:r>
        <w:rPr>
          <w:rFonts w:ascii="TUOS Blake" w:eastAsiaTheme="minorEastAsia" w:hAnsi="TUOS Blake" w:cs="TUOS Blake"/>
        </w:rPr>
        <w:t xml:space="preserve">(4), 2045894019882623. </w:t>
      </w:r>
      <w:hyperlink r:id="rId129" w:history="1">
        <w:r w:rsidR="00C81415" w:rsidRPr="000D4288">
          <w:rPr>
            <w:rStyle w:val="Hyperlink"/>
            <w:rFonts w:ascii="TUOS Blake" w:eastAsiaTheme="minorEastAsia" w:hAnsi="TUOS Blake" w:cs="TUOS Blake"/>
          </w:rPr>
          <w:t>http://doi.org/10.1177/2045894019882623</w:t>
        </w:r>
      </w:hyperlink>
    </w:p>
    <w:p w14:paraId="581BB607" w14:textId="77777777" w:rsidR="00C81415" w:rsidRDefault="00C8141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684F0C2" w14:textId="44662DED"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Sarrion</w:t>
      </w:r>
      <w:proofErr w:type="spellEnd"/>
      <w:r>
        <w:rPr>
          <w:rFonts w:ascii="TUOS Blake" w:eastAsiaTheme="minorEastAsia" w:hAnsi="TUOS Blake" w:cs="TUOS Blake"/>
        </w:rPr>
        <w:t xml:space="preserve">, I., </w:t>
      </w:r>
      <w:proofErr w:type="spellStart"/>
      <w:r>
        <w:rPr>
          <w:rFonts w:ascii="TUOS Blake" w:eastAsiaTheme="minorEastAsia" w:hAnsi="TUOS Blake" w:cs="TUOS Blake"/>
        </w:rPr>
        <w:t>Milian</w:t>
      </w:r>
      <w:proofErr w:type="spellEnd"/>
      <w:r>
        <w:rPr>
          <w:rFonts w:ascii="TUOS Blake" w:eastAsiaTheme="minorEastAsia" w:hAnsi="TUOS Blake" w:cs="TUOS Blake"/>
        </w:rPr>
        <w:t xml:space="preserve">, L., Juan, G., Ramon, M., </w:t>
      </w:r>
      <w:proofErr w:type="spellStart"/>
      <w:r>
        <w:rPr>
          <w:rFonts w:ascii="TUOS Blake" w:eastAsiaTheme="minorEastAsia" w:hAnsi="TUOS Blake" w:cs="TUOS Blake"/>
        </w:rPr>
        <w:t>Furest</w:t>
      </w:r>
      <w:proofErr w:type="spellEnd"/>
      <w:r>
        <w:rPr>
          <w:rFonts w:ascii="TUOS Blake" w:eastAsiaTheme="minorEastAsia" w:hAnsi="TUOS Blake" w:cs="TUOS Blake"/>
        </w:rPr>
        <w:t xml:space="preserve">, I., </w:t>
      </w:r>
      <w:proofErr w:type="spellStart"/>
      <w:r>
        <w:rPr>
          <w:rFonts w:ascii="TUOS Blake" w:eastAsiaTheme="minorEastAsia" w:hAnsi="TUOS Blake" w:cs="TUOS Blake"/>
        </w:rPr>
        <w:t>Carda</w:t>
      </w:r>
      <w:proofErr w:type="spellEnd"/>
      <w:r>
        <w:rPr>
          <w:rFonts w:ascii="TUOS Blake" w:eastAsiaTheme="minorEastAsia" w:hAnsi="TUOS Blake" w:cs="TUOS Blake"/>
        </w:rPr>
        <w:t xml:space="preserve">, C., et al. (2015). Role of Circulating miRNAs as Biomarkers in Idiopathic Pulmonary Arterial Hypertension: Possible Relevance of miR-23a. - PubMed - NCBI. </w:t>
      </w:r>
      <w:r>
        <w:rPr>
          <w:rFonts w:ascii="TUOS Blake" w:eastAsiaTheme="minorEastAsia" w:hAnsi="TUOS Blake" w:cs="TUOS Blake"/>
          <w:i/>
          <w:iCs/>
        </w:rPr>
        <w:t>Oxidative Medicine and Cellular Longevity</w:t>
      </w:r>
      <w:r>
        <w:rPr>
          <w:rFonts w:ascii="TUOS Blake" w:eastAsiaTheme="minorEastAsia" w:hAnsi="TUOS Blake" w:cs="TUOS Blake"/>
        </w:rPr>
        <w:t xml:space="preserve">, </w:t>
      </w:r>
      <w:r>
        <w:rPr>
          <w:rFonts w:ascii="TUOS Blake" w:eastAsiaTheme="minorEastAsia" w:hAnsi="TUOS Blake" w:cs="TUOS Blake"/>
          <w:i/>
          <w:iCs/>
        </w:rPr>
        <w:t>2015</w:t>
      </w:r>
      <w:r>
        <w:rPr>
          <w:rFonts w:ascii="TUOS Blake" w:eastAsiaTheme="minorEastAsia" w:hAnsi="TUOS Blake" w:cs="TUOS Blake"/>
        </w:rPr>
        <w:t xml:space="preserve">(20), 1–10. </w:t>
      </w:r>
      <w:hyperlink r:id="rId130" w:history="1">
        <w:r w:rsidR="005C3286" w:rsidRPr="000D4288">
          <w:rPr>
            <w:rStyle w:val="Hyperlink"/>
            <w:rFonts w:ascii="TUOS Blake" w:eastAsiaTheme="minorEastAsia" w:hAnsi="TUOS Blake" w:cs="TUOS Blake"/>
          </w:rPr>
          <w:t>http://doi.org/10.1155/2015/792846</w:t>
        </w:r>
      </w:hyperlink>
    </w:p>
    <w:p w14:paraId="2D26389C" w14:textId="77777777" w:rsidR="005C3286" w:rsidRDefault="005C3286"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2515059D" w14:textId="4EA8564D"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Sato, F., Tsuchiya, S., </w:t>
      </w:r>
      <w:proofErr w:type="spellStart"/>
      <w:r>
        <w:rPr>
          <w:rFonts w:ascii="TUOS Blake" w:eastAsiaTheme="minorEastAsia" w:hAnsi="TUOS Blake" w:cs="TUOS Blake"/>
        </w:rPr>
        <w:t>Terasawa</w:t>
      </w:r>
      <w:proofErr w:type="spellEnd"/>
      <w:r>
        <w:rPr>
          <w:rFonts w:ascii="TUOS Blake" w:eastAsiaTheme="minorEastAsia" w:hAnsi="TUOS Blake" w:cs="TUOS Blake"/>
        </w:rPr>
        <w:t xml:space="preserve">, K., &amp; </w:t>
      </w:r>
      <w:proofErr w:type="spellStart"/>
      <w:r>
        <w:rPr>
          <w:rFonts w:ascii="TUOS Blake" w:eastAsiaTheme="minorEastAsia" w:hAnsi="TUOS Blake" w:cs="TUOS Blake"/>
        </w:rPr>
        <w:t>Tsujimoto</w:t>
      </w:r>
      <w:proofErr w:type="spellEnd"/>
      <w:r>
        <w:rPr>
          <w:rFonts w:ascii="TUOS Blake" w:eastAsiaTheme="minorEastAsia" w:hAnsi="TUOS Blake" w:cs="TUOS Blake"/>
        </w:rPr>
        <w:t xml:space="preserve">, G. (2009). Intra-Platform Repeatability and Inter-Platform Comparability of MicroRNA Microarray Technology. </w:t>
      </w:r>
      <w:proofErr w:type="spellStart"/>
      <w:r>
        <w:rPr>
          <w:rFonts w:ascii="TUOS Blake" w:eastAsiaTheme="minorEastAsia" w:hAnsi="TUOS Blake" w:cs="TUOS Blake"/>
          <w:i/>
          <w:iCs/>
        </w:rPr>
        <w:t>PloS</w:t>
      </w:r>
      <w:proofErr w:type="spellEnd"/>
      <w:r>
        <w:rPr>
          <w:rFonts w:ascii="TUOS Blake" w:eastAsiaTheme="minorEastAsia" w:hAnsi="TUOS Blake" w:cs="TUOS Blake"/>
          <w:i/>
          <w:iCs/>
        </w:rPr>
        <w:t xml:space="preserve"> One</w:t>
      </w:r>
      <w:r>
        <w:rPr>
          <w:rFonts w:ascii="TUOS Blake" w:eastAsiaTheme="minorEastAsia" w:hAnsi="TUOS Blake" w:cs="TUOS Blake"/>
        </w:rPr>
        <w:t xml:space="preserve">, </w:t>
      </w:r>
      <w:r>
        <w:rPr>
          <w:rFonts w:ascii="TUOS Blake" w:eastAsiaTheme="minorEastAsia" w:hAnsi="TUOS Blake" w:cs="TUOS Blake"/>
          <w:i/>
          <w:iCs/>
        </w:rPr>
        <w:t>4</w:t>
      </w:r>
      <w:r>
        <w:rPr>
          <w:rFonts w:ascii="TUOS Blake" w:eastAsiaTheme="minorEastAsia" w:hAnsi="TUOS Blake" w:cs="TUOS Blake"/>
        </w:rPr>
        <w:t xml:space="preserve">(5), e5540. </w:t>
      </w:r>
      <w:hyperlink r:id="rId131" w:history="1">
        <w:r w:rsidR="005C3286" w:rsidRPr="000D4288">
          <w:rPr>
            <w:rStyle w:val="Hyperlink"/>
            <w:rFonts w:ascii="TUOS Blake" w:eastAsiaTheme="minorEastAsia" w:hAnsi="TUOS Blake" w:cs="TUOS Blake"/>
          </w:rPr>
          <w:t>http://doi.org/10.1371/journal.pone.0005540</w:t>
        </w:r>
      </w:hyperlink>
    </w:p>
    <w:p w14:paraId="5F05F23D" w14:textId="77777777" w:rsidR="005C3286" w:rsidRDefault="005C3286"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2852849" w14:textId="098615BC"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Schlosser, K., McIntyre, L. A., White, R. J., &amp; Stewart, D. J. (2015). Customized Internal Reference Controls for Improved Assessment of Circulating MicroRNAs in Disease. </w:t>
      </w:r>
      <w:proofErr w:type="spellStart"/>
      <w:r>
        <w:rPr>
          <w:rFonts w:ascii="TUOS Blake" w:eastAsiaTheme="minorEastAsia" w:hAnsi="TUOS Blake" w:cs="TUOS Blake"/>
          <w:i/>
          <w:iCs/>
        </w:rPr>
        <w:t>PloS</w:t>
      </w:r>
      <w:proofErr w:type="spellEnd"/>
      <w:r>
        <w:rPr>
          <w:rFonts w:ascii="TUOS Blake" w:eastAsiaTheme="minorEastAsia" w:hAnsi="TUOS Blake" w:cs="TUOS Blake"/>
          <w:i/>
          <w:iCs/>
        </w:rPr>
        <w:t xml:space="preserve"> One</w:t>
      </w:r>
      <w:r>
        <w:rPr>
          <w:rFonts w:ascii="TUOS Blake" w:eastAsiaTheme="minorEastAsia" w:hAnsi="TUOS Blake" w:cs="TUOS Blake"/>
        </w:rPr>
        <w:t xml:space="preserve">, </w:t>
      </w:r>
      <w:r>
        <w:rPr>
          <w:rFonts w:ascii="TUOS Blake" w:eastAsiaTheme="minorEastAsia" w:hAnsi="TUOS Blake" w:cs="TUOS Blake"/>
          <w:i/>
          <w:iCs/>
        </w:rPr>
        <w:t>10</w:t>
      </w:r>
      <w:r>
        <w:rPr>
          <w:rFonts w:ascii="TUOS Blake" w:eastAsiaTheme="minorEastAsia" w:hAnsi="TUOS Blake" w:cs="TUOS Blake"/>
        </w:rPr>
        <w:t xml:space="preserve">(5), e0127443–22. </w:t>
      </w:r>
      <w:hyperlink r:id="rId132" w:history="1">
        <w:r w:rsidR="005C3286" w:rsidRPr="000D4288">
          <w:rPr>
            <w:rStyle w:val="Hyperlink"/>
            <w:rFonts w:ascii="TUOS Blake" w:eastAsiaTheme="minorEastAsia" w:hAnsi="TUOS Blake" w:cs="TUOS Blake"/>
          </w:rPr>
          <w:t>http://doi.org/10.1371/journal.pone.0127443</w:t>
        </w:r>
      </w:hyperlink>
    </w:p>
    <w:p w14:paraId="44554664" w14:textId="77777777" w:rsidR="005C3286" w:rsidRDefault="005C3286"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967409A" w14:textId="1D1DB67B"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Sehgal, S., Chowdhury, A., </w:t>
      </w:r>
      <w:proofErr w:type="spellStart"/>
      <w:r>
        <w:rPr>
          <w:rFonts w:ascii="TUOS Blake" w:eastAsiaTheme="minorEastAsia" w:hAnsi="TUOS Blake" w:cs="TUOS Blake"/>
        </w:rPr>
        <w:t>Rabih</w:t>
      </w:r>
      <w:proofErr w:type="spellEnd"/>
      <w:r>
        <w:rPr>
          <w:rFonts w:ascii="TUOS Blake" w:eastAsiaTheme="minorEastAsia" w:hAnsi="TUOS Blake" w:cs="TUOS Blake"/>
        </w:rPr>
        <w:t xml:space="preserve">, F., </w:t>
      </w:r>
      <w:proofErr w:type="spellStart"/>
      <w:r>
        <w:rPr>
          <w:rFonts w:ascii="TUOS Blake" w:eastAsiaTheme="minorEastAsia" w:hAnsi="TUOS Blake" w:cs="TUOS Blake"/>
        </w:rPr>
        <w:t>Gadre</w:t>
      </w:r>
      <w:proofErr w:type="spellEnd"/>
      <w:r>
        <w:rPr>
          <w:rFonts w:ascii="TUOS Blake" w:eastAsiaTheme="minorEastAsia" w:hAnsi="TUOS Blake" w:cs="TUOS Blake"/>
        </w:rPr>
        <w:t xml:space="preserve">, A., Park, M. M., Li, M., et al. (2019). Counting Steps: A New Way to Monitor Patients with Pulmonary Arterial Hypertension. </w:t>
      </w:r>
      <w:r>
        <w:rPr>
          <w:rFonts w:ascii="TUOS Blake" w:eastAsiaTheme="minorEastAsia" w:hAnsi="TUOS Blake" w:cs="TUOS Blake"/>
          <w:i/>
          <w:iCs/>
        </w:rPr>
        <w:t>Lung</w:t>
      </w:r>
      <w:r>
        <w:rPr>
          <w:rFonts w:ascii="TUOS Blake" w:eastAsiaTheme="minorEastAsia" w:hAnsi="TUOS Blake" w:cs="TUOS Blake"/>
        </w:rPr>
        <w:t xml:space="preserve">, </w:t>
      </w:r>
      <w:r>
        <w:rPr>
          <w:rFonts w:ascii="TUOS Blake" w:eastAsiaTheme="minorEastAsia" w:hAnsi="TUOS Blake" w:cs="TUOS Blake"/>
          <w:i/>
          <w:iCs/>
        </w:rPr>
        <w:t>197</w:t>
      </w:r>
      <w:r>
        <w:rPr>
          <w:rFonts w:ascii="TUOS Blake" w:eastAsiaTheme="minorEastAsia" w:hAnsi="TUOS Blake" w:cs="TUOS Blake"/>
        </w:rPr>
        <w:t xml:space="preserve">(4), 501–508. </w:t>
      </w:r>
      <w:hyperlink r:id="rId133" w:history="1">
        <w:r w:rsidR="005C3286" w:rsidRPr="000D4288">
          <w:rPr>
            <w:rStyle w:val="Hyperlink"/>
            <w:rFonts w:ascii="TUOS Blake" w:eastAsiaTheme="minorEastAsia" w:hAnsi="TUOS Blake" w:cs="TUOS Blake"/>
          </w:rPr>
          <w:t>http://doi.org/10.1007/s00408-019-00239-y</w:t>
        </w:r>
      </w:hyperlink>
    </w:p>
    <w:p w14:paraId="2D5AD84D" w14:textId="77777777" w:rsidR="005C3286" w:rsidRDefault="005C3286"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92623BE" w14:textId="4035D2EA"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Shanmugam, E., Jena, A., &amp; George, M. (2015). </w:t>
      </w:r>
      <w:proofErr w:type="spellStart"/>
      <w:r>
        <w:rPr>
          <w:rFonts w:ascii="TUOS Blake" w:eastAsiaTheme="minorEastAsia" w:hAnsi="TUOS Blake" w:cs="TUOS Blake"/>
        </w:rPr>
        <w:t>Riociguat</w:t>
      </w:r>
      <w:proofErr w:type="spellEnd"/>
      <w:r>
        <w:rPr>
          <w:rFonts w:ascii="TUOS Blake" w:eastAsiaTheme="minorEastAsia" w:hAnsi="TUOS Blake" w:cs="TUOS Blake"/>
        </w:rPr>
        <w:t xml:space="preserve">: Something new in pulmonary hypertension therapeutics? </w:t>
      </w:r>
      <w:r>
        <w:rPr>
          <w:rFonts w:ascii="TUOS Blake" w:eastAsiaTheme="minorEastAsia" w:hAnsi="TUOS Blake" w:cs="TUOS Blake"/>
          <w:i/>
          <w:iCs/>
        </w:rPr>
        <w:t>Journal of Pharmacology &amp; Pharmacotherapeutics</w:t>
      </w:r>
      <w:r>
        <w:rPr>
          <w:rFonts w:ascii="TUOS Blake" w:eastAsiaTheme="minorEastAsia" w:hAnsi="TUOS Blake" w:cs="TUOS Blake"/>
        </w:rPr>
        <w:t xml:space="preserve">, </w:t>
      </w:r>
      <w:r>
        <w:rPr>
          <w:rFonts w:ascii="TUOS Blake" w:eastAsiaTheme="minorEastAsia" w:hAnsi="TUOS Blake" w:cs="TUOS Blake"/>
          <w:i/>
          <w:iCs/>
        </w:rPr>
        <w:t>6</w:t>
      </w:r>
      <w:r>
        <w:rPr>
          <w:rFonts w:ascii="TUOS Blake" w:eastAsiaTheme="minorEastAsia" w:hAnsi="TUOS Blake" w:cs="TUOS Blake"/>
        </w:rPr>
        <w:t xml:space="preserve">(1), 3–6. </w:t>
      </w:r>
      <w:hyperlink r:id="rId134" w:history="1">
        <w:r w:rsidR="005C3286" w:rsidRPr="000D4288">
          <w:rPr>
            <w:rStyle w:val="Hyperlink"/>
            <w:rFonts w:ascii="TUOS Blake" w:eastAsiaTheme="minorEastAsia" w:hAnsi="TUOS Blake" w:cs="TUOS Blake"/>
          </w:rPr>
          <w:t>http://doi.org/10.4103/0976-500X.149132</w:t>
        </w:r>
      </w:hyperlink>
    </w:p>
    <w:p w14:paraId="2CBDF86F" w14:textId="77777777" w:rsidR="005C3286" w:rsidRDefault="005C3286"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7361B05" w14:textId="2C272696"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Simonneau</w:t>
      </w:r>
      <w:proofErr w:type="spellEnd"/>
      <w:r>
        <w:rPr>
          <w:rFonts w:ascii="TUOS Blake" w:eastAsiaTheme="minorEastAsia" w:hAnsi="TUOS Blake" w:cs="TUOS Blake"/>
        </w:rPr>
        <w:t xml:space="preserve">, G., </w:t>
      </w:r>
      <w:proofErr w:type="spellStart"/>
      <w:r>
        <w:rPr>
          <w:rFonts w:ascii="TUOS Blake" w:eastAsiaTheme="minorEastAsia" w:hAnsi="TUOS Blake" w:cs="TUOS Blake"/>
        </w:rPr>
        <w:t>Gatzoulis</w:t>
      </w:r>
      <w:proofErr w:type="spellEnd"/>
      <w:r>
        <w:rPr>
          <w:rFonts w:ascii="TUOS Blake" w:eastAsiaTheme="minorEastAsia" w:hAnsi="TUOS Blake" w:cs="TUOS Blake"/>
        </w:rPr>
        <w:t xml:space="preserve">, M. A., </w:t>
      </w:r>
      <w:proofErr w:type="spellStart"/>
      <w:r>
        <w:rPr>
          <w:rFonts w:ascii="TUOS Blake" w:eastAsiaTheme="minorEastAsia" w:hAnsi="TUOS Blake" w:cs="TUOS Blake"/>
        </w:rPr>
        <w:t>Adatia</w:t>
      </w:r>
      <w:proofErr w:type="spellEnd"/>
      <w:r>
        <w:rPr>
          <w:rFonts w:ascii="TUOS Blake" w:eastAsiaTheme="minorEastAsia" w:hAnsi="TUOS Blake" w:cs="TUOS Blake"/>
        </w:rPr>
        <w:t xml:space="preserve">, I., </w:t>
      </w:r>
      <w:proofErr w:type="spellStart"/>
      <w:r>
        <w:rPr>
          <w:rFonts w:ascii="TUOS Blake" w:eastAsiaTheme="minorEastAsia" w:hAnsi="TUOS Blake" w:cs="TUOS Blake"/>
        </w:rPr>
        <w:t>Celermajer</w:t>
      </w:r>
      <w:proofErr w:type="spellEnd"/>
      <w:r>
        <w:rPr>
          <w:rFonts w:ascii="TUOS Blake" w:eastAsiaTheme="minorEastAsia" w:hAnsi="TUOS Blake" w:cs="TUOS Blake"/>
        </w:rPr>
        <w:t xml:space="preserve">, D., Denton, C., </w:t>
      </w:r>
      <w:proofErr w:type="spellStart"/>
      <w:r>
        <w:rPr>
          <w:rFonts w:ascii="TUOS Blake" w:eastAsiaTheme="minorEastAsia" w:hAnsi="TUOS Blake" w:cs="TUOS Blake"/>
        </w:rPr>
        <w:t>Ghofrani</w:t>
      </w:r>
      <w:proofErr w:type="spellEnd"/>
      <w:r>
        <w:rPr>
          <w:rFonts w:ascii="TUOS Blake" w:eastAsiaTheme="minorEastAsia" w:hAnsi="TUOS Blake" w:cs="TUOS Blake"/>
        </w:rPr>
        <w:t xml:space="preserve">, A., et al. (2013). Updated clinical classification of pulmonary hypertension. </w:t>
      </w:r>
      <w:r>
        <w:rPr>
          <w:rFonts w:ascii="TUOS Blake" w:eastAsiaTheme="minorEastAsia" w:hAnsi="TUOS Blake" w:cs="TUOS Blake"/>
          <w:i/>
          <w:iCs/>
        </w:rPr>
        <w:t>Journal of the American College of Cardiology</w:t>
      </w:r>
      <w:r>
        <w:rPr>
          <w:rFonts w:ascii="TUOS Blake" w:eastAsiaTheme="minorEastAsia" w:hAnsi="TUOS Blake" w:cs="TUOS Blake"/>
        </w:rPr>
        <w:t xml:space="preserve">, </w:t>
      </w:r>
      <w:r>
        <w:rPr>
          <w:rFonts w:ascii="TUOS Blake" w:eastAsiaTheme="minorEastAsia" w:hAnsi="TUOS Blake" w:cs="TUOS Blake"/>
          <w:i/>
          <w:iCs/>
        </w:rPr>
        <w:t>62</w:t>
      </w:r>
      <w:r>
        <w:rPr>
          <w:rFonts w:ascii="TUOS Blake" w:eastAsiaTheme="minorEastAsia" w:hAnsi="TUOS Blake" w:cs="TUOS Blake"/>
        </w:rPr>
        <w:t xml:space="preserve">(25 </w:t>
      </w:r>
      <w:proofErr w:type="spellStart"/>
      <w:r>
        <w:rPr>
          <w:rFonts w:ascii="TUOS Blake" w:eastAsiaTheme="minorEastAsia" w:hAnsi="TUOS Blake" w:cs="TUOS Blake"/>
        </w:rPr>
        <w:t>Suppl</w:t>
      </w:r>
      <w:proofErr w:type="spellEnd"/>
      <w:r>
        <w:rPr>
          <w:rFonts w:ascii="TUOS Blake" w:eastAsiaTheme="minorEastAsia" w:hAnsi="TUOS Blake" w:cs="TUOS Blake"/>
        </w:rPr>
        <w:t xml:space="preserve">), D34–41. </w:t>
      </w:r>
      <w:hyperlink r:id="rId135" w:history="1">
        <w:r w:rsidR="005C3286" w:rsidRPr="000D4288">
          <w:rPr>
            <w:rStyle w:val="Hyperlink"/>
            <w:rFonts w:ascii="TUOS Blake" w:eastAsiaTheme="minorEastAsia" w:hAnsi="TUOS Blake" w:cs="TUOS Blake"/>
          </w:rPr>
          <w:t>http://doi.org/10.1016/j.jacc.2013.10.029</w:t>
        </w:r>
      </w:hyperlink>
    </w:p>
    <w:p w14:paraId="6B022CFF" w14:textId="77777777" w:rsidR="005C3286" w:rsidRDefault="005C3286"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1B77757" w14:textId="5CAB5751"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Simonneau</w:t>
      </w:r>
      <w:proofErr w:type="spellEnd"/>
      <w:r>
        <w:rPr>
          <w:rFonts w:ascii="TUOS Blake" w:eastAsiaTheme="minorEastAsia" w:hAnsi="TUOS Blake" w:cs="TUOS Blake"/>
        </w:rPr>
        <w:t xml:space="preserve">, G., </w:t>
      </w:r>
      <w:proofErr w:type="spellStart"/>
      <w:r>
        <w:rPr>
          <w:rFonts w:ascii="TUOS Blake" w:eastAsiaTheme="minorEastAsia" w:hAnsi="TUOS Blake" w:cs="TUOS Blake"/>
        </w:rPr>
        <w:t>Montani</w:t>
      </w:r>
      <w:proofErr w:type="spellEnd"/>
      <w:r>
        <w:rPr>
          <w:rFonts w:ascii="TUOS Blake" w:eastAsiaTheme="minorEastAsia" w:hAnsi="TUOS Blake" w:cs="TUOS Blake"/>
        </w:rPr>
        <w:t xml:space="preserve">, D., </w:t>
      </w:r>
      <w:proofErr w:type="spellStart"/>
      <w:r>
        <w:rPr>
          <w:rFonts w:ascii="TUOS Blake" w:eastAsiaTheme="minorEastAsia" w:hAnsi="TUOS Blake" w:cs="TUOS Blake"/>
        </w:rPr>
        <w:t>Celermajer</w:t>
      </w:r>
      <w:proofErr w:type="spellEnd"/>
      <w:r>
        <w:rPr>
          <w:rFonts w:ascii="TUOS Blake" w:eastAsiaTheme="minorEastAsia" w:hAnsi="TUOS Blake" w:cs="TUOS Blake"/>
        </w:rPr>
        <w:t xml:space="preserve">, D. S., Denton, C. P., </w:t>
      </w:r>
      <w:proofErr w:type="spellStart"/>
      <w:r>
        <w:rPr>
          <w:rFonts w:ascii="TUOS Blake" w:eastAsiaTheme="minorEastAsia" w:hAnsi="TUOS Blake" w:cs="TUOS Blake"/>
        </w:rPr>
        <w:t>Gatzoulis</w:t>
      </w:r>
      <w:proofErr w:type="spellEnd"/>
      <w:r>
        <w:rPr>
          <w:rFonts w:ascii="TUOS Blake" w:eastAsiaTheme="minorEastAsia" w:hAnsi="TUOS Blake" w:cs="TUOS Blake"/>
        </w:rPr>
        <w:t xml:space="preserve">, M. A., </w:t>
      </w:r>
      <w:proofErr w:type="spellStart"/>
      <w:r>
        <w:rPr>
          <w:rFonts w:ascii="TUOS Blake" w:eastAsiaTheme="minorEastAsia" w:hAnsi="TUOS Blake" w:cs="TUOS Blake"/>
        </w:rPr>
        <w:t>Krowka</w:t>
      </w:r>
      <w:proofErr w:type="spellEnd"/>
      <w:r>
        <w:rPr>
          <w:rFonts w:ascii="TUOS Blake" w:eastAsiaTheme="minorEastAsia" w:hAnsi="TUOS Blake" w:cs="TUOS Blake"/>
        </w:rPr>
        <w:t xml:space="preserve">, M., et al. (2019). Haemodynamic definitions and updated clinical classification of pulmonary hypertension. </w:t>
      </w:r>
      <w:r>
        <w:rPr>
          <w:rFonts w:ascii="TUOS Blake" w:eastAsiaTheme="minorEastAsia" w:hAnsi="TUOS Blake" w:cs="TUOS Blake"/>
          <w:i/>
          <w:iCs/>
        </w:rPr>
        <w:t>European Respiratory Journal</w:t>
      </w:r>
      <w:r>
        <w:rPr>
          <w:rFonts w:ascii="TUOS Blake" w:eastAsiaTheme="minorEastAsia" w:hAnsi="TUOS Blake" w:cs="TUOS Blake"/>
        </w:rPr>
        <w:t xml:space="preserve">, </w:t>
      </w:r>
      <w:r>
        <w:rPr>
          <w:rFonts w:ascii="TUOS Blake" w:eastAsiaTheme="minorEastAsia" w:hAnsi="TUOS Blake" w:cs="TUOS Blake"/>
          <w:i/>
          <w:iCs/>
        </w:rPr>
        <w:t>53</w:t>
      </w:r>
      <w:r>
        <w:rPr>
          <w:rFonts w:ascii="TUOS Blake" w:eastAsiaTheme="minorEastAsia" w:hAnsi="TUOS Blake" w:cs="TUOS Blake"/>
        </w:rPr>
        <w:t xml:space="preserve">(1), 1801913. </w:t>
      </w:r>
      <w:hyperlink r:id="rId136" w:history="1">
        <w:r w:rsidR="005C3286" w:rsidRPr="000D4288">
          <w:rPr>
            <w:rStyle w:val="Hyperlink"/>
            <w:rFonts w:ascii="TUOS Blake" w:eastAsiaTheme="minorEastAsia" w:hAnsi="TUOS Blake" w:cs="TUOS Blake"/>
          </w:rPr>
          <w:t>http://doi.org/10.1183/13993003.01913-2018</w:t>
        </w:r>
      </w:hyperlink>
    </w:p>
    <w:p w14:paraId="1E6EC85E" w14:textId="77777777" w:rsidR="005C3286" w:rsidRDefault="005C3286"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66A2D5C" w14:textId="5D1AD056"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Simonneau</w:t>
      </w:r>
      <w:proofErr w:type="spellEnd"/>
      <w:r>
        <w:rPr>
          <w:rFonts w:ascii="TUOS Blake" w:eastAsiaTheme="minorEastAsia" w:hAnsi="TUOS Blake" w:cs="TUOS Blake"/>
        </w:rPr>
        <w:t xml:space="preserve">, G., Robbins, I. M., </w:t>
      </w:r>
      <w:proofErr w:type="spellStart"/>
      <w:r>
        <w:rPr>
          <w:rFonts w:ascii="TUOS Blake" w:eastAsiaTheme="minorEastAsia" w:hAnsi="TUOS Blake" w:cs="TUOS Blake"/>
        </w:rPr>
        <w:t>Beghetti</w:t>
      </w:r>
      <w:proofErr w:type="spellEnd"/>
      <w:r>
        <w:rPr>
          <w:rFonts w:ascii="TUOS Blake" w:eastAsiaTheme="minorEastAsia" w:hAnsi="TUOS Blake" w:cs="TUOS Blake"/>
        </w:rPr>
        <w:t xml:space="preserve">, M., </w:t>
      </w:r>
      <w:proofErr w:type="spellStart"/>
      <w:r>
        <w:rPr>
          <w:rFonts w:ascii="TUOS Blake" w:eastAsiaTheme="minorEastAsia" w:hAnsi="TUOS Blake" w:cs="TUOS Blake"/>
        </w:rPr>
        <w:t>Channick</w:t>
      </w:r>
      <w:proofErr w:type="spellEnd"/>
      <w:r>
        <w:rPr>
          <w:rFonts w:ascii="TUOS Blake" w:eastAsiaTheme="minorEastAsia" w:hAnsi="TUOS Blake" w:cs="TUOS Blake"/>
        </w:rPr>
        <w:t xml:space="preserve">, R. N., Delcroix, M., Denton, C. P., et al. (2009). Updated Clinical Classification of Pulmonary Hypertension. </w:t>
      </w:r>
      <w:r>
        <w:rPr>
          <w:rFonts w:ascii="TUOS Blake" w:eastAsiaTheme="minorEastAsia" w:hAnsi="TUOS Blake" w:cs="TUOS Blake"/>
          <w:i/>
          <w:iCs/>
        </w:rPr>
        <w:t>Journal of the American College of Cardiology</w:t>
      </w:r>
      <w:r>
        <w:rPr>
          <w:rFonts w:ascii="TUOS Blake" w:eastAsiaTheme="minorEastAsia" w:hAnsi="TUOS Blake" w:cs="TUOS Blake"/>
        </w:rPr>
        <w:t xml:space="preserve">, </w:t>
      </w:r>
      <w:r>
        <w:rPr>
          <w:rFonts w:ascii="TUOS Blake" w:eastAsiaTheme="minorEastAsia" w:hAnsi="TUOS Blake" w:cs="TUOS Blake"/>
          <w:i/>
          <w:iCs/>
        </w:rPr>
        <w:t>54</w:t>
      </w:r>
      <w:r>
        <w:rPr>
          <w:rFonts w:ascii="TUOS Blake" w:eastAsiaTheme="minorEastAsia" w:hAnsi="TUOS Blake" w:cs="TUOS Blake"/>
        </w:rPr>
        <w:t xml:space="preserve">(1s1), S43–S54. </w:t>
      </w:r>
      <w:hyperlink r:id="rId137" w:history="1">
        <w:r w:rsidR="005C3286" w:rsidRPr="000D4288">
          <w:rPr>
            <w:rStyle w:val="Hyperlink"/>
            <w:rFonts w:ascii="TUOS Blake" w:eastAsiaTheme="minorEastAsia" w:hAnsi="TUOS Blake" w:cs="TUOS Blake"/>
          </w:rPr>
          <w:t>http://doi.org/10.1016/j.jacc.2009.04.012</w:t>
        </w:r>
      </w:hyperlink>
    </w:p>
    <w:p w14:paraId="5857E260" w14:textId="77777777" w:rsidR="005C3286" w:rsidRDefault="005C3286"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25AD35A" w14:textId="2ACDBEEA"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Srinivasan, S., Treacy, R., Herrero, T., Olsen, R., Leonardo, T. R., Zhang, X., et al. (2020a). Discovery and Verification of Extracellular miRNA Biomarkers for Non-invasive Prediction of Pre-eclampsia in Asymptomatic Women. </w:t>
      </w:r>
      <w:r>
        <w:rPr>
          <w:rFonts w:ascii="TUOS Blake" w:eastAsiaTheme="minorEastAsia" w:hAnsi="TUOS Blake" w:cs="TUOS Blake"/>
          <w:i/>
          <w:iCs/>
        </w:rPr>
        <w:t>Cell Reports. Medicine</w:t>
      </w:r>
      <w:r>
        <w:rPr>
          <w:rFonts w:ascii="TUOS Blake" w:eastAsiaTheme="minorEastAsia" w:hAnsi="TUOS Blake" w:cs="TUOS Blake"/>
        </w:rPr>
        <w:t xml:space="preserve">, </w:t>
      </w:r>
      <w:r>
        <w:rPr>
          <w:rFonts w:ascii="TUOS Blake" w:eastAsiaTheme="minorEastAsia" w:hAnsi="TUOS Blake" w:cs="TUOS Blake"/>
          <w:i/>
          <w:iCs/>
        </w:rPr>
        <w:t>1</w:t>
      </w:r>
      <w:r>
        <w:rPr>
          <w:rFonts w:ascii="TUOS Blake" w:eastAsiaTheme="minorEastAsia" w:hAnsi="TUOS Blake" w:cs="TUOS Blake"/>
        </w:rPr>
        <w:t xml:space="preserve">(2), 100013–100013. </w:t>
      </w:r>
      <w:hyperlink r:id="rId138" w:history="1">
        <w:r w:rsidR="008F7A3F" w:rsidRPr="000D4288">
          <w:rPr>
            <w:rStyle w:val="Hyperlink"/>
            <w:rFonts w:ascii="TUOS Blake" w:eastAsiaTheme="minorEastAsia" w:hAnsi="TUOS Blake" w:cs="TUOS Blake"/>
          </w:rPr>
          <w:t>http://doi.org/10.1016/j.xcrm.2020.100013</w:t>
        </w:r>
      </w:hyperlink>
    </w:p>
    <w:p w14:paraId="680EA50E"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616AEE9F" w14:textId="77777777"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i/>
          <w:iCs/>
        </w:rPr>
      </w:pPr>
      <w:r>
        <w:rPr>
          <w:rFonts w:ascii="TUOS Blake" w:eastAsiaTheme="minorEastAsia" w:hAnsi="TUOS Blake" w:cs="TUOS Blake"/>
        </w:rPr>
        <w:t xml:space="preserve">Srinivasan, S., Treacy, R., Herrero, T., Reports, R. O. C., 2020. (2020b). Discovery and Verification of Extracellular miRNA Biomarkers for Non-invasive Prediction of Pre-eclampsia in Asymptomatic Women. </w:t>
      </w:r>
      <w:r>
        <w:rPr>
          <w:rFonts w:ascii="TUOS Blake" w:eastAsiaTheme="minorEastAsia" w:hAnsi="TUOS Blake" w:cs="TUOS Blake"/>
          <w:i/>
          <w:iCs/>
        </w:rPr>
        <w:t>Elsevier</w:t>
      </w:r>
    </w:p>
    <w:p w14:paraId="5E513C2D" w14:textId="2D143BE7"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 </w:t>
      </w:r>
      <w:r>
        <w:rPr>
          <w:rFonts w:ascii="TUOS Blake" w:eastAsiaTheme="minorEastAsia" w:hAnsi="TUOS Blake" w:cs="TUOS Blake"/>
          <w:i/>
          <w:iCs/>
        </w:rPr>
        <w:t>1</w:t>
      </w:r>
      <w:r>
        <w:rPr>
          <w:rFonts w:ascii="TUOS Blake" w:eastAsiaTheme="minorEastAsia" w:hAnsi="TUOS Blake" w:cs="TUOS Blake"/>
        </w:rPr>
        <w:t xml:space="preserve">(2), 100013. </w:t>
      </w:r>
      <w:hyperlink r:id="rId139" w:history="1">
        <w:r w:rsidR="008F7A3F" w:rsidRPr="000D4288">
          <w:rPr>
            <w:rStyle w:val="Hyperlink"/>
            <w:rFonts w:ascii="TUOS Blake" w:eastAsiaTheme="minorEastAsia" w:hAnsi="TUOS Blake" w:cs="TUOS Blake"/>
          </w:rPr>
          <w:t>http://doi.org/10.1016/j.xcrm.2020.100013</w:t>
        </w:r>
      </w:hyperlink>
    </w:p>
    <w:p w14:paraId="59331CBF"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6D7E7232" w14:textId="4B4E8CC5"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T, A., M, N., Y, O., K, N., G, H., Y, G., et al. (2010). Plasma microRNA 499 as a biomarker of acute myocardial infarction. </w:t>
      </w:r>
      <w:r>
        <w:rPr>
          <w:rFonts w:ascii="TUOS Blake" w:eastAsiaTheme="minorEastAsia" w:hAnsi="TUOS Blake" w:cs="TUOS Blake"/>
          <w:i/>
          <w:iCs/>
        </w:rPr>
        <w:t>Clinical Chemistry</w:t>
      </w:r>
      <w:r>
        <w:rPr>
          <w:rFonts w:ascii="TUOS Blake" w:eastAsiaTheme="minorEastAsia" w:hAnsi="TUOS Blake" w:cs="TUOS Blake"/>
        </w:rPr>
        <w:t xml:space="preserve">, </w:t>
      </w:r>
      <w:r>
        <w:rPr>
          <w:rFonts w:ascii="TUOS Blake" w:eastAsiaTheme="minorEastAsia" w:hAnsi="TUOS Blake" w:cs="TUOS Blake"/>
          <w:i/>
          <w:iCs/>
        </w:rPr>
        <w:t>56</w:t>
      </w:r>
      <w:r>
        <w:rPr>
          <w:rFonts w:ascii="TUOS Blake" w:eastAsiaTheme="minorEastAsia" w:hAnsi="TUOS Blake" w:cs="TUOS Blake"/>
        </w:rPr>
        <w:t xml:space="preserve">(7), 1183–1185. </w:t>
      </w:r>
      <w:hyperlink r:id="rId140" w:history="1">
        <w:r w:rsidR="008F7A3F" w:rsidRPr="000D4288">
          <w:rPr>
            <w:rStyle w:val="Hyperlink"/>
            <w:rFonts w:ascii="TUOS Blake" w:eastAsiaTheme="minorEastAsia" w:hAnsi="TUOS Blake" w:cs="TUOS Blake"/>
          </w:rPr>
          <w:t>http://doi.org/10.1373/clinchem.2010.144121</w:t>
        </w:r>
      </w:hyperlink>
    </w:p>
    <w:p w14:paraId="5F21E20E"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26EFDEED" w14:textId="11B0B951"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Tang, P. (2018). Clinical diagnostic value of circulating serum miR-509-3p in pulmonary arterial hypertension with congenital heart disease. </w:t>
      </w:r>
      <w:r>
        <w:rPr>
          <w:rFonts w:ascii="TUOS Blake" w:eastAsiaTheme="minorEastAsia" w:hAnsi="TUOS Blake" w:cs="TUOS Blake"/>
          <w:i/>
          <w:iCs/>
        </w:rPr>
        <w:t xml:space="preserve">Hellenic Journal of </w:t>
      </w:r>
      <w:proofErr w:type="gramStart"/>
      <w:r>
        <w:rPr>
          <w:rFonts w:ascii="TUOS Blake" w:eastAsiaTheme="minorEastAsia" w:hAnsi="TUOS Blake" w:cs="TUOS Blake"/>
          <w:i/>
          <w:iCs/>
        </w:rPr>
        <w:t>Cardiology :</w:t>
      </w:r>
      <w:proofErr w:type="gramEnd"/>
      <w:r>
        <w:rPr>
          <w:rFonts w:ascii="TUOS Blake" w:eastAsiaTheme="minorEastAsia" w:hAnsi="TUOS Blake" w:cs="TUOS Blake"/>
          <w:i/>
          <w:iCs/>
        </w:rPr>
        <w:t xml:space="preserve"> HJC = </w:t>
      </w:r>
      <w:proofErr w:type="spellStart"/>
      <w:r>
        <w:rPr>
          <w:rFonts w:ascii="TUOS Blake" w:eastAsiaTheme="minorEastAsia" w:hAnsi="TUOS Blake" w:cs="TUOS Blake"/>
          <w:i/>
          <w:iCs/>
        </w:rPr>
        <w:t>Hellenike</w:t>
      </w:r>
      <w:proofErr w:type="spellEnd"/>
      <w:r>
        <w:rPr>
          <w:rFonts w:ascii="TUOS Blake" w:eastAsiaTheme="minorEastAsia" w:hAnsi="TUOS Blake" w:cs="TUOS Blake"/>
          <w:i/>
          <w:iCs/>
        </w:rPr>
        <w:t xml:space="preserve"> </w:t>
      </w:r>
      <w:proofErr w:type="spellStart"/>
      <w:r>
        <w:rPr>
          <w:rFonts w:ascii="TUOS Blake" w:eastAsiaTheme="minorEastAsia" w:hAnsi="TUOS Blake" w:cs="TUOS Blake"/>
          <w:i/>
          <w:iCs/>
        </w:rPr>
        <w:t>Kardiologike</w:t>
      </w:r>
      <w:proofErr w:type="spellEnd"/>
      <w:r>
        <w:rPr>
          <w:rFonts w:ascii="TUOS Blake" w:eastAsiaTheme="minorEastAsia" w:hAnsi="TUOS Blake" w:cs="TUOS Blake"/>
          <w:i/>
          <w:iCs/>
        </w:rPr>
        <w:t xml:space="preserve"> </w:t>
      </w:r>
      <w:proofErr w:type="spellStart"/>
      <w:r>
        <w:rPr>
          <w:rFonts w:ascii="TUOS Blake" w:eastAsiaTheme="minorEastAsia" w:hAnsi="TUOS Blake" w:cs="TUOS Blake"/>
          <w:i/>
          <w:iCs/>
        </w:rPr>
        <w:t>Epitheorese</w:t>
      </w:r>
      <w:proofErr w:type="spellEnd"/>
      <w:r>
        <w:rPr>
          <w:rFonts w:ascii="TUOS Blake" w:eastAsiaTheme="minorEastAsia" w:hAnsi="TUOS Blake" w:cs="TUOS Blake"/>
        </w:rPr>
        <w:t xml:space="preserve">. </w:t>
      </w:r>
      <w:hyperlink r:id="rId141" w:history="1">
        <w:r w:rsidR="008F7A3F" w:rsidRPr="000D4288">
          <w:rPr>
            <w:rStyle w:val="Hyperlink"/>
            <w:rFonts w:ascii="TUOS Blake" w:eastAsiaTheme="minorEastAsia" w:hAnsi="TUOS Blake" w:cs="TUOS Blake"/>
          </w:rPr>
          <w:t>http://doi.org/10.1016/j.hjc.2018.06.004</w:t>
        </w:r>
      </w:hyperlink>
    </w:p>
    <w:p w14:paraId="55FED250"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B480030" w14:textId="09E027E5"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Thakral, S., &amp; Ghoshal, K. (2015). miR-122 is a unique molecule with great potential in diagnosis, prognosis of liver disease, and therapy both as miRNA mimic and antimir. </w:t>
      </w:r>
      <w:r>
        <w:rPr>
          <w:rFonts w:ascii="TUOS Blake" w:eastAsiaTheme="minorEastAsia" w:hAnsi="TUOS Blake" w:cs="TUOS Blake"/>
          <w:i/>
          <w:iCs/>
        </w:rPr>
        <w:t>Current Gene Therapy</w:t>
      </w:r>
      <w:r>
        <w:rPr>
          <w:rFonts w:ascii="TUOS Blake" w:eastAsiaTheme="minorEastAsia" w:hAnsi="TUOS Blake" w:cs="TUOS Blake"/>
        </w:rPr>
        <w:t xml:space="preserve">, </w:t>
      </w:r>
      <w:r>
        <w:rPr>
          <w:rFonts w:ascii="TUOS Blake" w:eastAsiaTheme="minorEastAsia" w:hAnsi="TUOS Blake" w:cs="TUOS Blake"/>
          <w:i/>
          <w:iCs/>
        </w:rPr>
        <w:t>15</w:t>
      </w:r>
      <w:r>
        <w:rPr>
          <w:rFonts w:ascii="TUOS Blake" w:eastAsiaTheme="minorEastAsia" w:hAnsi="TUOS Blake" w:cs="TUOS Blake"/>
        </w:rPr>
        <w:t xml:space="preserve">(2), 142–150. </w:t>
      </w:r>
      <w:hyperlink r:id="rId142" w:history="1">
        <w:r w:rsidR="008F7A3F" w:rsidRPr="000D4288">
          <w:rPr>
            <w:rStyle w:val="Hyperlink"/>
            <w:rFonts w:ascii="TUOS Blake" w:eastAsiaTheme="minorEastAsia" w:hAnsi="TUOS Blake" w:cs="TUOS Blake"/>
          </w:rPr>
          <w:t>http://doi.org/10.2174/1566523214666141224095610</w:t>
        </w:r>
      </w:hyperlink>
    </w:p>
    <w:p w14:paraId="060791D4"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743C2653" w14:textId="2B3E8666"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Thygesen</w:t>
      </w:r>
      <w:proofErr w:type="spellEnd"/>
      <w:r>
        <w:rPr>
          <w:rFonts w:ascii="TUOS Blake" w:eastAsiaTheme="minorEastAsia" w:hAnsi="TUOS Blake" w:cs="TUOS Blake"/>
        </w:rPr>
        <w:t xml:space="preserve">, K., Mair, J., </w:t>
      </w:r>
      <w:proofErr w:type="spellStart"/>
      <w:r>
        <w:rPr>
          <w:rFonts w:ascii="TUOS Blake" w:eastAsiaTheme="minorEastAsia" w:hAnsi="TUOS Blake" w:cs="TUOS Blake"/>
        </w:rPr>
        <w:t>Katus</w:t>
      </w:r>
      <w:proofErr w:type="spellEnd"/>
      <w:r>
        <w:rPr>
          <w:rFonts w:ascii="TUOS Blake" w:eastAsiaTheme="minorEastAsia" w:hAnsi="TUOS Blake" w:cs="TUOS Blake"/>
        </w:rPr>
        <w:t xml:space="preserve">, H., </w:t>
      </w:r>
      <w:proofErr w:type="spellStart"/>
      <w:r>
        <w:rPr>
          <w:rFonts w:ascii="TUOS Blake" w:eastAsiaTheme="minorEastAsia" w:hAnsi="TUOS Blake" w:cs="TUOS Blake"/>
        </w:rPr>
        <w:t>Plebani</w:t>
      </w:r>
      <w:proofErr w:type="spellEnd"/>
      <w:r>
        <w:rPr>
          <w:rFonts w:ascii="TUOS Blake" w:eastAsiaTheme="minorEastAsia" w:hAnsi="TUOS Blake" w:cs="TUOS Blake"/>
        </w:rPr>
        <w:t xml:space="preserve">, M., Venge, P., Collinson, P., et al. (2010). Recommendations for the use of cardiac troponin measurement in acute cardiac care. </w:t>
      </w:r>
      <w:r>
        <w:rPr>
          <w:rFonts w:ascii="TUOS Blake" w:eastAsiaTheme="minorEastAsia" w:hAnsi="TUOS Blake" w:cs="TUOS Blake"/>
          <w:i/>
          <w:iCs/>
        </w:rPr>
        <w:t>European Heart Journal</w:t>
      </w:r>
      <w:r>
        <w:rPr>
          <w:rFonts w:ascii="TUOS Blake" w:eastAsiaTheme="minorEastAsia" w:hAnsi="TUOS Blake" w:cs="TUOS Blake"/>
        </w:rPr>
        <w:t xml:space="preserve">, </w:t>
      </w:r>
      <w:r>
        <w:rPr>
          <w:rFonts w:ascii="TUOS Blake" w:eastAsiaTheme="minorEastAsia" w:hAnsi="TUOS Blake" w:cs="TUOS Blake"/>
          <w:i/>
          <w:iCs/>
        </w:rPr>
        <w:t>31</w:t>
      </w:r>
      <w:r>
        <w:rPr>
          <w:rFonts w:ascii="TUOS Blake" w:eastAsiaTheme="minorEastAsia" w:hAnsi="TUOS Blake" w:cs="TUOS Blake"/>
        </w:rPr>
        <w:t xml:space="preserve">(18), 2197–2204. </w:t>
      </w:r>
      <w:hyperlink r:id="rId143" w:history="1">
        <w:r w:rsidR="008F7A3F" w:rsidRPr="000D4288">
          <w:rPr>
            <w:rStyle w:val="Hyperlink"/>
            <w:rFonts w:ascii="TUOS Blake" w:eastAsiaTheme="minorEastAsia" w:hAnsi="TUOS Blake" w:cs="TUOS Blake"/>
          </w:rPr>
          <w:t>http://doi.org/10.1093/eurheartj/ehq251</w:t>
        </w:r>
      </w:hyperlink>
    </w:p>
    <w:p w14:paraId="4D1AFF1A"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29725C7" w14:textId="7B2F6053"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Tian, F., Wang, J., Ouyang, T., Lu, N., Lu, J., Shen, Y., et al. (2019). MiR-486-5p Serves as a Good Biomarker in </w:t>
      </w:r>
      <w:proofErr w:type="spellStart"/>
      <w:r>
        <w:rPr>
          <w:rFonts w:ascii="TUOS Blake" w:eastAsiaTheme="minorEastAsia" w:hAnsi="TUOS Blake" w:cs="TUOS Blake"/>
        </w:rPr>
        <w:t>Nonsmall</w:t>
      </w:r>
      <w:proofErr w:type="spellEnd"/>
      <w:r>
        <w:rPr>
          <w:rFonts w:ascii="TUOS Blake" w:eastAsiaTheme="minorEastAsia" w:hAnsi="TUOS Blake" w:cs="TUOS Blake"/>
        </w:rPr>
        <w:t xml:space="preserve"> Cell Lung Cancer and Suppresses Cell Growth </w:t>
      </w:r>
      <w:proofErr w:type="gramStart"/>
      <w:r>
        <w:rPr>
          <w:rFonts w:ascii="TUOS Blake" w:eastAsiaTheme="minorEastAsia" w:hAnsi="TUOS Blake" w:cs="TUOS Blake"/>
        </w:rPr>
        <w:t>With</w:t>
      </w:r>
      <w:proofErr w:type="gramEnd"/>
      <w:r>
        <w:rPr>
          <w:rFonts w:ascii="TUOS Blake" w:eastAsiaTheme="minorEastAsia" w:hAnsi="TUOS Blake" w:cs="TUOS Blake"/>
        </w:rPr>
        <w:t xml:space="preserve"> the Involvement of a Target PIK3R1. </w:t>
      </w:r>
      <w:r>
        <w:rPr>
          <w:rFonts w:ascii="TUOS Blake" w:eastAsiaTheme="minorEastAsia" w:hAnsi="TUOS Blake" w:cs="TUOS Blake"/>
          <w:i/>
          <w:iCs/>
        </w:rPr>
        <w:t>Frontiers in Genetics</w:t>
      </w:r>
      <w:r>
        <w:rPr>
          <w:rFonts w:ascii="TUOS Blake" w:eastAsiaTheme="minorEastAsia" w:hAnsi="TUOS Blake" w:cs="TUOS Blake"/>
        </w:rPr>
        <w:t xml:space="preserve">, </w:t>
      </w:r>
      <w:r>
        <w:rPr>
          <w:rFonts w:ascii="TUOS Blake" w:eastAsiaTheme="minorEastAsia" w:hAnsi="TUOS Blake" w:cs="TUOS Blake"/>
          <w:i/>
          <w:iCs/>
        </w:rPr>
        <w:t>10</w:t>
      </w:r>
      <w:r>
        <w:rPr>
          <w:rFonts w:ascii="TUOS Blake" w:eastAsiaTheme="minorEastAsia" w:hAnsi="TUOS Blake" w:cs="TUOS Blake"/>
        </w:rPr>
        <w:t xml:space="preserve">, 673. </w:t>
      </w:r>
      <w:hyperlink r:id="rId144" w:history="1">
        <w:r w:rsidR="008F7A3F" w:rsidRPr="000D4288">
          <w:rPr>
            <w:rStyle w:val="Hyperlink"/>
            <w:rFonts w:ascii="TUOS Blake" w:eastAsiaTheme="minorEastAsia" w:hAnsi="TUOS Blake" w:cs="TUOS Blake"/>
          </w:rPr>
          <w:t>http://doi.org/10.3389/fgene.2019.00688</w:t>
        </w:r>
      </w:hyperlink>
    </w:p>
    <w:p w14:paraId="3428E487"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B91253A" w14:textId="569DD32C"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Tibshirani</w:t>
      </w:r>
      <w:proofErr w:type="spellEnd"/>
      <w:r>
        <w:rPr>
          <w:rFonts w:ascii="TUOS Blake" w:eastAsiaTheme="minorEastAsia" w:hAnsi="TUOS Blake" w:cs="TUOS Blake"/>
        </w:rPr>
        <w:t xml:space="preserve">, R. (1996). Regression shrinkage and selection via the lasso. </w:t>
      </w:r>
      <w:r>
        <w:rPr>
          <w:rFonts w:ascii="TUOS Blake" w:eastAsiaTheme="minorEastAsia" w:hAnsi="TUOS Blake" w:cs="TUOS Blake"/>
          <w:i/>
          <w:iCs/>
        </w:rPr>
        <w:t xml:space="preserve">Journal of the Royal Statistical Society Series B </w:t>
      </w:r>
      <w:r>
        <w:rPr>
          <w:rFonts w:ascii="TUOS Blake" w:eastAsiaTheme="minorEastAsia" w:hAnsi="TUOS Blake" w:cs="TUOS Blake"/>
        </w:rPr>
        <w:t xml:space="preserve"> </w:t>
      </w:r>
      <w:hyperlink r:id="rId145" w:history="1">
        <w:r w:rsidR="008F7A3F" w:rsidRPr="000D4288">
          <w:rPr>
            <w:rStyle w:val="Hyperlink"/>
            <w:rFonts w:ascii="TUOS Blake" w:eastAsiaTheme="minorEastAsia" w:hAnsi="TUOS Blake" w:cs="TUOS Blake"/>
          </w:rPr>
          <w:t>http://doi.org/10.2307/2346178</w:t>
        </w:r>
      </w:hyperlink>
    </w:p>
    <w:p w14:paraId="0DB9B169"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141A1C15" w14:textId="346C6EE0" w:rsidR="008F7A3F"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Trip, P., </w:t>
      </w:r>
      <w:proofErr w:type="spellStart"/>
      <w:r>
        <w:rPr>
          <w:rFonts w:ascii="TUOS Blake" w:eastAsiaTheme="minorEastAsia" w:hAnsi="TUOS Blake" w:cs="TUOS Blake"/>
        </w:rPr>
        <w:t>Nossent</w:t>
      </w:r>
      <w:proofErr w:type="spellEnd"/>
      <w:r>
        <w:rPr>
          <w:rFonts w:ascii="TUOS Blake" w:eastAsiaTheme="minorEastAsia" w:hAnsi="TUOS Blake" w:cs="TUOS Blake"/>
        </w:rPr>
        <w:t xml:space="preserve">, E. J., de Man, F. S., van den Berk, I. A. H., </w:t>
      </w:r>
      <w:proofErr w:type="spellStart"/>
      <w:r>
        <w:rPr>
          <w:rFonts w:ascii="TUOS Blake" w:eastAsiaTheme="minorEastAsia" w:hAnsi="TUOS Blake" w:cs="TUOS Blake"/>
        </w:rPr>
        <w:t>Boonstra</w:t>
      </w:r>
      <w:proofErr w:type="spellEnd"/>
      <w:r>
        <w:rPr>
          <w:rFonts w:ascii="TUOS Blake" w:eastAsiaTheme="minorEastAsia" w:hAnsi="TUOS Blake" w:cs="TUOS Blake"/>
        </w:rPr>
        <w:t xml:space="preserve">, A., </w:t>
      </w:r>
      <w:proofErr w:type="spellStart"/>
      <w:r>
        <w:rPr>
          <w:rFonts w:ascii="TUOS Blake" w:eastAsiaTheme="minorEastAsia" w:hAnsi="TUOS Blake" w:cs="TUOS Blake"/>
        </w:rPr>
        <w:t>Groepenhoff</w:t>
      </w:r>
      <w:proofErr w:type="spellEnd"/>
      <w:r>
        <w:rPr>
          <w:rFonts w:ascii="TUOS Blake" w:eastAsiaTheme="minorEastAsia" w:hAnsi="TUOS Blake" w:cs="TUOS Blake"/>
        </w:rPr>
        <w:t xml:space="preserve">, H., et al. (2013). Severely reduced diffusion capacity in idiopathic pulmonary arterial hypertension: patient characteristics and treatment responses. </w:t>
      </w:r>
      <w:r>
        <w:rPr>
          <w:rFonts w:ascii="TUOS Blake" w:eastAsiaTheme="minorEastAsia" w:hAnsi="TUOS Blake" w:cs="TUOS Blake"/>
          <w:i/>
          <w:iCs/>
        </w:rPr>
        <w:t>The European Respiratory Journal</w:t>
      </w:r>
      <w:r>
        <w:rPr>
          <w:rFonts w:ascii="TUOS Blake" w:eastAsiaTheme="minorEastAsia" w:hAnsi="TUOS Blake" w:cs="TUOS Blake"/>
        </w:rPr>
        <w:t xml:space="preserve">, </w:t>
      </w:r>
      <w:r>
        <w:rPr>
          <w:rFonts w:ascii="TUOS Blake" w:eastAsiaTheme="minorEastAsia" w:hAnsi="TUOS Blake" w:cs="TUOS Blake"/>
          <w:i/>
          <w:iCs/>
        </w:rPr>
        <w:t>42</w:t>
      </w:r>
      <w:r>
        <w:rPr>
          <w:rFonts w:ascii="TUOS Blake" w:eastAsiaTheme="minorEastAsia" w:hAnsi="TUOS Blake" w:cs="TUOS Blake"/>
        </w:rPr>
        <w:t xml:space="preserve">(6), 1575–1585. </w:t>
      </w:r>
      <w:hyperlink r:id="rId146" w:history="1">
        <w:r w:rsidR="008F7A3F" w:rsidRPr="000D4288">
          <w:rPr>
            <w:rStyle w:val="Hyperlink"/>
            <w:rFonts w:ascii="TUOS Blake" w:eastAsiaTheme="minorEastAsia" w:hAnsi="TUOS Blake" w:cs="TUOS Blake"/>
          </w:rPr>
          <w:t>http://doi.org/10.1183/09031936.00184412</w:t>
        </w:r>
      </w:hyperlink>
    </w:p>
    <w:p w14:paraId="27FB4358"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295932C3" w14:textId="276B510E"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lastRenderedPageBreak/>
        <w:t xml:space="preserve">Van </w:t>
      </w:r>
      <w:proofErr w:type="spellStart"/>
      <w:r>
        <w:rPr>
          <w:rFonts w:ascii="TUOS Blake" w:eastAsiaTheme="minorEastAsia" w:hAnsi="TUOS Blake" w:cs="TUOS Blake"/>
        </w:rPr>
        <w:t>Buuren</w:t>
      </w:r>
      <w:proofErr w:type="spellEnd"/>
      <w:r>
        <w:rPr>
          <w:rFonts w:ascii="TUOS Blake" w:eastAsiaTheme="minorEastAsia" w:hAnsi="TUOS Blake" w:cs="TUOS Blake"/>
        </w:rPr>
        <w:t xml:space="preserve">, S., Brand, J. P. L., </w:t>
      </w:r>
      <w:proofErr w:type="spellStart"/>
      <w:r>
        <w:rPr>
          <w:rFonts w:ascii="TUOS Blake" w:eastAsiaTheme="minorEastAsia" w:hAnsi="TUOS Blake" w:cs="TUOS Blake"/>
        </w:rPr>
        <w:t>Groothuis-Oudshoorn</w:t>
      </w:r>
      <w:proofErr w:type="spellEnd"/>
      <w:r>
        <w:rPr>
          <w:rFonts w:ascii="TUOS Blake" w:eastAsiaTheme="minorEastAsia" w:hAnsi="TUOS Blake" w:cs="TUOS Blake"/>
        </w:rPr>
        <w:t xml:space="preserve">, C. G. M., &amp; Rubin, D. B. (2006). Fully conditional specification in multivariate imputation. </w:t>
      </w:r>
      <w:r>
        <w:rPr>
          <w:rFonts w:ascii="TUOS Blake" w:eastAsiaTheme="minorEastAsia" w:hAnsi="TUOS Blake" w:cs="TUOS Blake"/>
          <w:i/>
          <w:iCs/>
        </w:rPr>
        <w:t>Journal of Statistical Computation and Simulation</w:t>
      </w:r>
      <w:r>
        <w:rPr>
          <w:rFonts w:ascii="TUOS Blake" w:eastAsiaTheme="minorEastAsia" w:hAnsi="TUOS Blake" w:cs="TUOS Blake"/>
        </w:rPr>
        <w:t xml:space="preserve">, </w:t>
      </w:r>
      <w:r>
        <w:rPr>
          <w:rFonts w:ascii="TUOS Blake" w:eastAsiaTheme="minorEastAsia" w:hAnsi="TUOS Blake" w:cs="TUOS Blake"/>
          <w:i/>
          <w:iCs/>
        </w:rPr>
        <w:t>76</w:t>
      </w:r>
      <w:r>
        <w:rPr>
          <w:rFonts w:ascii="TUOS Blake" w:eastAsiaTheme="minorEastAsia" w:hAnsi="TUOS Blake" w:cs="TUOS Blake"/>
        </w:rPr>
        <w:t xml:space="preserve">(12), 1049–1064. </w:t>
      </w:r>
      <w:hyperlink r:id="rId147" w:history="1">
        <w:r w:rsidR="008F7A3F" w:rsidRPr="000D4288">
          <w:rPr>
            <w:rStyle w:val="Hyperlink"/>
            <w:rFonts w:ascii="TUOS Blake" w:eastAsiaTheme="minorEastAsia" w:hAnsi="TUOS Blake" w:cs="TUOS Blake"/>
          </w:rPr>
          <w:t>http://doi.org/10.1080/10629360600810434</w:t>
        </w:r>
      </w:hyperlink>
    </w:p>
    <w:p w14:paraId="2E6BA846"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DFD3329" w14:textId="7B4E0827"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Vasilescu</w:t>
      </w:r>
      <w:proofErr w:type="spellEnd"/>
      <w:r>
        <w:rPr>
          <w:rFonts w:ascii="TUOS Blake" w:eastAsiaTheme="minorEastAsia" w:hAnsi="TUOS Blake" w:cs="TUOS Blake"/>
        </w:rPr>
        <w:t xml:space="preserve">, C., Rossi, S., Shimizu, M., Tudor, S., Veronese, A., </w:t>
      </w:r>
      <w:proofErr w:type="spellStart"/>
      <w:r>
        <w:rPr>
          <w:rFonts w:ascii="TUOS Blake" w:eastAsiaTheme="minorEastAsia" w:hAnsi="TUOS Blake" w:cs="TUOS Blake"/>
        </w:rPr>
        <w:t>Ferracin</w:t>
      </w:r>
      <w:proofErr w:type="spellEnd"/>
      <w:r>
        <w:rPr>
          <w:rFonts w:ascii="TUOS Blake" w:eastAsiaTheme="minorEastAsia" w:hAnsi="TUOS Blake" w:cs="TUOS Blake"/>
        </w:rPr>
        <w:t xml:space="preserve">, M., et al. (2009). MicroRNA Fingerprints Identify miR-150 as a Plasma Prognostic Marker in Patients with Sepsis. </w:t>
      </w:r>
      <w:proofErr w:type="spellStart"/>
      <w:r>
        <w:rPr>
          <w:rFonts w:ascii="TUOS Blake" w:eastAsiaTheme="minorEastAsia" w:hAnsi="TUOS Blake" w:cs="TUOS Blake"/>
          <w:i/>
          <w:iCs/>
        </w:rPr>
        <w:t>PloS</w:t>
      </w:r>
      <w:proofErr w:type="spellEnd"/>
      <w:r>
        <w:rPr>
          <w:rFonts w:ascii="TUOS Blake" w:eastAsiaTheme="minorEastAsia" w:hAnsi="TUOS Blake" w:cs="TUOS Blake"/>
          <w:i/>
          <w:iCs/>
        </w:rPr>
        <w:t xml:space="preserve"> One</w:t>
      </w:r>
      <w:r>
        <w:rPr>
          <w:rFonts w:ascii="TUOS Blake" w:eastAsiaTheme="minorEastAsia" w:hAnsi="TUOS Blake" w:cs="TUOS Blake"/>
        </w:rPr>
        <w:t xml:space="preserve">, </w:t>
      </w:r>
      <w:r>
        <w:rPr>
          <w:rFonts w:ascii="TUOS Blake" w:eastAsiaTheme="minorEastAsia" w:hAnsi="TUOS Blake" w:cs="TUOS Blake"/>
          <w:i/>
          <w:iCs/>
        </w:rPr>
        <w:t>4</w:t>
      </w:r>
      <w:r>
        <w:rPr>
          <w:rFonts w:ascii="TUOS Blake" w:eastAsiaTheme="minorEastAsia" w:hAnsi="TUOS Blake" w:cs="TUOS Blake"/>
        </w:rPr>
        <w:t xml:space="preserve">(10), e7405. </w:t>
      </w:r>
      <w:hyperlink r:id="rId148" w:history="1">
        <w:r w:rsidR="008F7A3F" w:rsidRPr="000D4288">
          <w:rPr>
            <w:rStyle w:val="Hyperlink"/>
            <w:rFonts w:ascii="TUOS Blake" w:eastAsiaTheme="minorEastAsia" w:hAnsi="TUOS Blake" w:cs="TUOS Blake"/>
          </w:rPr>
          <w:t>http://doi.org/10.1371/journal.pone.0007405</w:t>
        </w:r>
      </w:hyperlink>
    </w:p>
    <w:p w14:paraId="429A2FCA"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5A0A14E" w14:textId="3A71C5E1"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Voelkel</w:t>
      </w:r>
      <w:proofErr w:type="spellEnd"/>
      <w:r>
        <w:rPr>
          <w:rFonts w:ascii="TUOS Blake" w:eastAsiaTheme="minorEastAsia" w:hAnsi="TUOS Blake" w:cs="TUOS Blake"/>
        </w:rPr>
        <w:t xml:space="preserve">, N. F., Cool, C., Lee, S. D., Wright, L., Geraci, M. W., &amp; </w:t>
      </w:r>
      <w:proofErr w:type="spellStart"/>
      <w:r>
        <w:rPr>
          <w:rFonts w:ascii="TUOS Blake" w:eastAsiaTheme="minorEastAsia" w:hAnsi="TUOS Blake" w:cs="TUOS Blake"/>
        </w:rPr>
        <w:t>Tuder</w:t>
      </w:r>
      <w:proofErr w:type="spellEnd"/>
      <w:r>
        <w:rPr>
          <w:rFonts w:ascii="TUOS Blake" w:eastAsiaTheme="minorEastAsia" w:hAnsi="TUOS Blake" w:cs="TUOS Blake"/>
        </w:rPr>
        <w:t xml:space="preserve">, R. M. (1998). Primary Pulmonary Hypertension Between Inflammation and Cancer. </w:t>
      </w:r>
      <w:r>
        <w:rPr>
          <w:rFonts w:ascii="TUOS Blake" w:eastAsiaTheme="minorEastAsia" w:hAnsi="TUOS Blake" w:cs="TUOS Blake"/>
          <w:i/>
          <w:iCs/>
        </w:rPr>
        <w:t>Chest</w:t>
      </w:r>
      <w:r>
        <w:rPr>
          <w:rFonts w:ascii="TUOS Blake" w:eastAsiaTheme="minorEastAsia" w:hAnsi="TUOS Blake" w:cs="TUOS Blake"/>
        </w:rPr>
        <w:t xml:space="preserve">, </w:t>
      </w:r>
      <w:r>
        <w:rPr>
          <w:rFonts w:ascii="TUOS Blake" w:eastAsiaTheme="minorEastAsia" w:hAnsi="TUOS Blake" w:cs="TUOS Blake"/>
          <w:i/>
          <w:iCs/>
        </w:rPr>
        <w:t>114</w:t>
      </w:r>
      <w:r>
        <w:rPr>
          <w:rFonts w:ascii="TUOS Blake" w:eastAsiaTheme="minorEastAsia" w:hAnsi="TUOS Blake" w:cs="TUOS Blake"/>
        </w:rPr>
        <w:t xml:space="preserve">(3), 225S–230S. </w:t>
      </w:r>
      <w:hyperlink r:id="rId149" w:history="1">
        <w:r w:rsidR="008F7A3F" w:rsidRPr="000D4288">
          <w:rPr>
            <w:rStyle w:val="Hyperlink"/>
            <w:rFonts w:ascii="TUOS Blake" w:eastAsiaTheme="minorEastAsia" w:hAnsi="TUOS Blake" w:cs="TUOS Blake"/>
          </w:rPr>
          <w:t>http://doi.org/10.1378/chest.114.3_Supplement.225S</w:t>
        </w:r>
      </w:hyperlink>
    </w:p>
    <w:p w14:paraId="20161AEF"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E591F61" w14:textId="387FD7A0"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Wang, H., Ach, R. A., &amp; Curry, B. (2007). Direct and sensitive miRNA profiling from low-input total RNA. </w:t>
      </w:r>
      <w:proofErr w:type="spellStart"/>
      <w:r>
        <w:rPr>
          <w:rFonts w:ascii="TUOS Blake" w:eastAsiaTheme="minorEastAsia" w:hAnsi="TUOS Blake" w:cs="TUOS Blake"/>
          <w:i/>
          <w:iCs/>
        </w:rPr>
        <w:t>Rna</w:t>
      </w:r>
      <w:proofErr w:type="spellEnd"/>
      <w:r>
        <w:rPr>
          <w:rFonts w:ascii="TUOS Blake" w:eastAsiaTheme="minorEastAsia" w:hAnsi="TUOS Blake" w:cs="TUOS Blake"/>
          <w:i/>
          <w:iCs/>
        </w:rPr>
        <w:t xml:space="preserve">-a Publication of the </w:t>
      </w:r>
      <w:proofErr w:type="spellStart"/>
      <w:r>
        <w:rPr>
          <w:rFonts w:ascii="TUOS Blake" w:eastAsiaTheme="minorEastAsia" w:hAnsi="TUOS Blake" w:cs="TUOS Blake"/>
          <w:i/>
          <w:iCs/>
        </w:rPr>
        <w:t>Rna</w:t>
      </w:r>
      <w:proofErr w:type="spellEnd"/>
      <w:r>
        <w:rPr>
          <w:rFonts w:ascii="TUOS Blake" w:eastAsiaTheme="minorEastAsia" w:hAnsi="TUOS Blake" w:cs="TUOS Blake"/>
          <w:i/>
          <w:iCs/>
        </w:rPr>
        <w:t xml:space="preserve"> Society</w:t>
      </w:r>
      <w:r>
        <w:rPr>
          <w:rFonts w:ascii="TUOS Blake" w:eastAsiaTheme="minorEastAsia" w:hAnsi="TUOS Blake" w:cs="TUOS Blake"/>
        </w:rPr>
        <w:t xml:space="preserve">, </w:t>
      </w:r>
      <w:r>
        <w:rPr>
          <w:rFonts w:ascii="TUOS Blake" w:eastAsiaTheme="minorEastAsia" w:hAnsi="TUOS Blake" w:cs="TUOS Blake"/>
          <w:i/>
          <w:iCs/>
        </w:rPr>
        <w:t>13</w:t>
      </w:r>
      <w:r>
        <w:rPr>
          <w:rFonts w:ascii="TUOS Blake" w:eastAsiaTheme="minorEastAsia" w:hAnsi="TUOS Blake" w:cs="TUOS Blake"/>
        </w:rPr>
        <w:t xml:space="preserve">(1), 151–159. </w:t>
      </w:r>
      <w:hyperlink r:id="rId150" w:history="1">
        <w:r w:rsidR="008F7A3F" w:rsidRPr="000D4288">
          <w:rPr>
            <w:rStyle w:val="Hyperlink"/>
            <w:rFonts w:ascii="TUOS Blake" w:eastAsiaTheme="minorEastAsia" w:hAnsi="TUOS Blake" w:cs="TUOS Blake"/>
          </w:rPr>
          <w:t>http://doi.org/10.1261/rna.234507</w:t>
        </w:r>
      </w:hyperlink>
    </w:p>
    <w:p w14:paraId="415299B2"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C159140" w14:textId="49019852"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Warwick, G., Thomas, P. S., &amp; Yates, D. H. (2008). Biomarkers in pulmonary hypertension. </w:t>
      </w:r>
      <w:r>
        <w:rPr>
          <w:rFonts w:ascii="TUOS Blake" w:eastAsiaTheme="minorEastAsia" w:hAnsi="TUOS Blake" w:cs="TUOS Blake"/>
          <w:i/>
          <w:iCs/>
        </w:rPr>
        <w:t>The European Respiratory Journal</w:t>
      </w:r>
      <w:r>
        <w:rPr>
          <w:rFonts w:ascii="TUOS Blake" w:eastAsiaTheme="minorEastAsia" w:hAnsi="TUOS Blake" w:cs="TUOS Blake"/>
        </w:rPr>
        <w:t xml:space="preserve">, </w:t>
      </w:r>
      <w:r>
        <w:rPr>
          <w:rFonts w:ascii="TUOS Blake" w:eastAsiaTheme="minorEastAsia" w:hAnsi="TUOS Blake" w:cs="TUOS Blake"/>
          <w:i/>
          <w:iCs/>
        </w:rPr>
        <w:t>32</w:t>
      </w:r>
      <w:r>
        <w:rPr>
          <w:rFonts w:ascii="TUOS Blake" w:eastAsiaTheme="minorEastAsia" w:hAnsi="TUOS Blake" w:cs="TUOS Blake"/>
        </w:rPr>
        <w:t xml:space="preserve">(2), 503–512. </w:t>
      </w:r>
      <w:hyperlink r:id="rId151" w:history="1">
        <w:r w:rsidR="008F7A3F" w:rsidRPr="000D4288">
          <w:rPr>
            <w:rStyle w:val="Hyperlink"/>
            <w:rFonts w:ascii="TUOS Blake" w:eastAsiaTheme="minorEastAsia" w:hAnsi="TUOS Blake" w:cs="TUOS Blake"/>
          </w:rPr>
          <w:t>http://doi.org/10.1183/09031936.00160307</w:t>
        </w:r>
      </w:hyperlink>
    </w:p>
    <w:p w14:paraId="125075D3"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27202E4" w14:textId="5FD2DE46"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Weber, J. A., Baxter, D. H., Zhang, S., Huang, D. Y., How Huang, K., Jen Lee, M., et al. (2010). The microRNA spectrum in 12 body fluids. - PubMed - NCBI. </w:t>
      </w:r>
      <w:r>
        <w:rPr>
          <w:rFonts w:ascii="TUOS Blake" w:eastAsiaTheme="minorEastAsia" w:hAnsi="TUOS Blake" w:cs="TUOS Blake"/>
          <w:i/>
          <w:iCs/>
        </w:rPr>
        <w:t>Clinical Chemistry</w:t>
      </w:r>
      <w:r>
        <w:rPr>
          <w:rFonts w:ascii="TUOS Blake" w:eastAsiaTheme="minorEastAsia" w:hAnsi="TUOS Blake" w:cs="TUOS Blake"/>
        </w:rPr>
        <w:t xml:space="preserve">, </w:t>
      </w:r>
      <w:r>
        <w:rPr>
          <w:rFonts w:ascii="TUOS Blake" w:eastAsiaTheme="minorEastAsia" w:hAnsi="TUOS Blake" w:cs="TUOS Blake"/>
          <w:i/>
          <w:iCs/>
        </w:rPr>
        <w:t>56</w:t>
      </w:r>
      <w:r>
        <w:rPr>
          <w:rFonts w:ascii="TUOS Blake" w:eastAsiaTheme="minorEastAsia" w:hAnsi="TUOS Blake" w:cs="TUOS Blake"/>
        </w:rPr>
        <w:t xml:space="preserve">(11), 1733–1741. </w:t>
      </w:r>
      <w:hyperlink r:id="rId152" w:history="1">
        <w:r w:rsidR="008F7A3F" w:rsidRPr="000D4288">
          <w:rPr>
            <w:rStyle w:val="Hyperlink"/>
            <w:rFonts w:ascii="TUOS Blake" w:eastAsiaTheme="minorEastAsia" w:hAnsi="TUOS Blake" w:cs="TUOS Blake"/>
          </w:rPr>
          <w:t>http://doi.org/10.1373/clinchem.2010.147405</w:t>
        </w:r>
      </w:hyperlink>
    </w:p>
    <w:p w14:paraId="16080021"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5AE5B8F9" w14:textId="3B631C90"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Wei, Y., Schober, A., &amp; Weber, C. (2013). Pathogenic arterial </w:t>
      </w:r>
      <w:proofErr w:type="spellStart"/>
      <w:r>
        <w:rPr>
          <w:rFonts w:ascii="TUOS Blake" w:eastAsiaTheme="minorEastAsia" w:hAnsi="TUOS Blake" w:cs="TUOS Blake"/>
        </w:rPr>
        <w:t>remodeling</w:t>
      </w:r>
      <w:proofErr w:type="spellEnd"/>
      <w:r>
        <w:rPr>
          <w:rFonts w:ascii="TUOS Blake" w:eastAsiaTheme="minorEastAsia" w:hAnsi="TUOS Blake" w:cs="TUOS Blake"/>
        </w:rPr>
        <w:t xml:space="preserve">: the good and bad of microRNAs. </w:t>
      </w:r>
      <w:r>
        <w:rPr>
          <w:rFonts w:ascii="TUOS Blake" w:eastAsiaTheme="minorEastAsia" w:hAnsi="TUOS Blake" w:cs="TUOS Blake"/>
          <w:i/>
          <w:iCs/>
        </w:rPr>
        <w:t>American Journal of Physiology - Heart and Circulatory Physiology</w:t>
      </w:r>
      <w:r>
        <w:rPr>
          <w:rFonts w:ascii="TUOS Blake" w:eastAsiaTheme="minorEastAsia" w:hAnsi="TUOS Blake" w:cs="TUOS Blake"/>
        </w:rPr>
        <w:t xml:space="preserve">, </w:t>
      </w:r>
      <w:r>
        <w:rPr>
          <w:rFonts w:ascii="TUOS Blake" w:eastAsiaTheme="minorEastAsia" w:hAnsi="TUOS Blake" w:cs="TUOS Blake"/>
          <w:i/>
          <w:iCs/>
        </w:rPr>
        <w:t>304</w:t>
      </w:r>
      <w:r>
        <w:rPr>
          <w:rFonts w:ascii="TUOS Blake" w:eastAsiaTheme="minorEastAsia" w:hAnsi="TUOS Blake" w:cs="TUOS Blake"/>
        </w:rPr>
        <w:t xml:space="preserve">(8), H1050–H1059. </w:t>
      </w:r>
      <w:hyperlink r:id="rId153" w:history="1">
        <w:r w:rsidR="008F7A3F" w:rsidRPr="000D4288">
          <w:rPr>
            <w:rStyle w:val="Hyperlink"/>
            <w:rFonts w:ascii="TUOS Blake" w:eastAsiaTheme="minorEastAsia" w:hAnsi="TUOS Blake" w:cs="TUOS Blake"/>
          </w:rPr>
          <w:t>http://doi.org/10.1152/ajpheart.00267.2012</w:t>
        </w:r>
      </w:hyperlink>
    </w:p>
    <w:p w14:paraId="77FD3A33"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9F6019F" w14:textId="63915C07"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Williams, M. H., Handler, C. E., </w:t>
      </w:r>
      <w:proofErr w:type="spellStart"/>
      <w:r>
        <w:rPr>
          <w:rFonts w:ascii="TUOS Blake" w:eastAsiaTheme="minorEastAsia" w:hAnsi="TUOS Blake" w:cs="TUOS Blake"/>
        </w:rPr>
        <w:t>Akram</w:t>
      </w:r>
      <w:proofErr w:type="spellEnd"/>
      <w:r>
        <w:rPr>
          <w:rFonts w:ascii="TUOS Blake" w:eastAsiaTheme="minorEastAsia" w:hAnsi="TUOS Blake" w:cs="TUOS Blake"/>
        </w:rPr>
        <w:t>, R., Smith, C. J., Das, C., Smee, J., et al. (2006). Role of N-terminal brain natriuretic peptide (N-</w:t>
      </w:r>
      <w:proofErr w:type="spellStart"/>
      <w:r>
        <w:rPr>
          <w:rFonts w:ascii="TUOS Blake" w:eastAsiaTheme="minorEastAsia" w:hAnsi="TUOS Blake" w:cs="TUOS Blake"/>
        </w:rPr>
        <w:t>TproBNP</w:t>
      </w:r>
      <w:proofErr w:type="spellEnd"/>
      <w:r>
        <w:rPr>
          <w:rFonts w:ascii="TUOS Blake" w:eastAsiaTheme="minorEastAsia" w:hAnsi="TUOS Blake" w:cs="TUOS Blake"/>
        </w:rPr>
        <w:t xml:space="preserve">) in scleroderma-associated pulmonary arterial hypertension. </w:t>
      </w:r>
      <w:r>
        <w:rPr>
          <w:rFonts w:ascii="TUOS Blake" w:eastAsiaTheme="minorEastAsia" w:hAnsi="TUOS Blake" w:cs="TUOS Blake"/>
          <w:i/>
          <w:iCs/>
        </w:rPr>
        <w:t>European Heart Journal</w:t>
      </w:r>
      <w:r>
        <w:rPr>
          <w:rFonts w:ascii="TUOS Blake" w:eastAsiaTheme="minorEastAsia" w:hAnsi="TUOS Blake" w:cs="TUOS Blake"/>
        </w:rPr>
        <w:t xml:space="preserve">, </w:t>
      </w:r>
      <w:r>
        <w:rPr>
          <w:rFonts w:ascii="TUOS Blake" w:eastAsiaTheme="minorEastAsia" w:hAnsi="TUOS Blake" w:cs="TUOS Blake"/>
          <w:i/>
          <w:iCs/>
        </w:rPr>
        <w:t>27</w:t>
      </w:r>
      <w:r>
        <w:rPr>
          <w:rFonts w:ascii="TUOS Blake" w:eastAsiaTheme="minorEastAsia" w:hAnsi="TUOS Blake" w:cs="TUOS Blake"/>
        </w:rPr>
        <w:t xml:space="preserve">(12), 1485–1494. </w:t>
      </w:r>
      <w:hyperlink r:id="rId154" w:history="1">
        <w:r w:rsidR="008F7A3F" w:rsidRPr="000D4288">
          <w:rPr>
            <w:rStyle w:val="Hyperlink"/>
            <w:rFonts w:ascii="TUOS Blake" w:eastAsiaTheme="minorEastAsia" w:hAnsi="TUOS Blake" w:cs="TUOS Blake"/>
          </w:rPr>
          <w:t>http://doi.org/10.1093/eurheartj/ehi891</w:t>
        </w:r>
      </w:hyperlink>
    </w:p>
    <w:p w14:paraId="439F1941"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2DA91072" w14:textId="4523652F"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Winter, J., Jung, S., Keller, S., Gregory, R. I., &amp; </w:t>
      </w:r>
      <w:proofErr w:type="spellStart"/>
      <w:r>
        <w:rPr>
          <w:rFonts w:ascii="TUOS Blake" w:eastAsiaTheme="minorEastAsia" w:hAnsi="TUOS Blake" w:cs="TUOS Blake"/>
        </w:rPr>
        <w:t>Diederichs</w:t>
      </w:r>
      <w:proofErr w:type="spellEnd"/>
      <w:r>
        <w:rPr>
          <w:rFonts w:ascii="TUOS Blake" w:eastAsiaTheme="minorEastAsia" w:hAnsi="TUOS Blake" w:cs="TUOS Blake"/>
        </w:rPr>
        <w:t xml:space="preserve">, S. (2009). Many roads to maturity: microRNA biogenesis pathways and their regulation. </w:t>
      </w:r>
      <w:r>
        <w:rPr>
          <w:rFonts w:ascii="TUOS Blake" w:eastAsiaTheme="minorEastAsia" w:hAnsi="TUOS Blake" w:cs="TUOS Blake"/>
          <w:i/>
          <w:iCs/>
        </w:rPr>
        <w:t>Nature Cell Biology</w:t>
      </w:r>
      <w:r>
        <w:rPr>
          <w:rFonts w:ascii="TUOS Blake" w:eastAsiaTheme="minorEastAsia" w:hAnsi="TUOS Blake" w:cs="TUOS Blake"/>
        </w:rPr>
        <w:t xml:space="preserve">, </w:t>
      </w:r>
      <w:r>
        <w:rPr>
          <w:rFonts w:ascii="TUOS Blake" w:eastAsiaTheme="minorEastAsia" w:hAnsi="TUOS Blake" w:cs="TUOS Blake"/>
          <w:i/>
          <w:iCs/>
        </w:rPr>
        <w:t>11</w:t>
      </w:r>
      <w:r>
        <w:rPr>
          <w:rFonts w:ascii="TUOS Blake" w:eastAsiaTheme="minorEastAsia" w:hAnsi="TUOS Blake" w:cs="TUOS Blake"/>
        </w:rPr>
        <w:t xml:space="preserve">(3), 228–234. </w:t>
      </w:r>
      <w:hyperlink r:id="rId155" w:history="1">
        <w:r w:rsidR="008F7A3F" w:rsidRPr="000D4288">
          <w:rPr>
            <w:rStyle w:val="Hyperlink"/>
            <w:rFonts w:ascii="TUOS Blake" w:eastAsiaTheme="minorEastAsia" w:hAnsi="TUOS Blake" w:cs="TUOS Blake"/>
          </w:rPr>
          <w:t>http://doi.org/10.1038/ncb0309-228</w:t>
        </w:r>
      </w:hyperlink>
    </w:p>
    <w:p w14:paraId="24478985"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9E8BD88" w14:textId="226B5CEC"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Wu, D., Talbot, C. C., Jr, Liu, Q., Jing, Z.-C., Damico, R. L., </w:t>
      </w:r>
      <w:proofErr w:type="spellStart"/>
      <w:r>
        <w:rPr>
          <w:rFonts w:ascii="TUOS Blake" w:eastAsiaTheme="minorEastAsia" w:hAnsi="TUOS Blake" w:cs="TUOS Blake"/>
        </w:rPr>
        <w:t>Tuder</w:t>
      </w:r>
      <w:proofErr w:type="spellEnd"/>
      <w:r>
        <w:rPr>
          <w:rFonts w:ascii="TUOS Blake" w:eastAsiaTheme="minorEastAsia" w:hAnsi="TUOS Blake" w:cs="TUOS Blake"/>
        </w:rPr>
        <w:t xml:space="preserve">, R., et al. (2016). Identifying microRNAs targeting </w:t>
      </w:r>
      <w:proofErr w:type="spellStart"/>
      <w:r>
        <w:rPr>
          <w:rFonts w:ascii="TUOS Blake" w:eastAsiaTheme="minorEastAsia" w:hAnsi="TUOS Blake" w:cs="TUOS Blake"/>
        </w:rPr>
        <w:t>Wnt</w:t>
      </w:r>
      <w:proofErr w:type="spellEnd"/>
      <w:r>
        <w:rPr>
          <w:rFonts w:ascii="TUOS Blake" w:eastAsiaTheme="minorEastAsia" w:hAnsi="TUOS Blake" w:cs="TUOS Blake"/>
        </w:rPr>
        <w:t>/</w:t>
      </w:r>
      <w:r>
        <w:rPr>
          <w:rFonts w:ascii="Calibri" w:eastAsiaTheme="minorEastAsia" w:hAnsi="Calibri" w:cs="Calibri"/>
        </w:rPr>
        <w:t>β</w:t>
      </w:r>
      <w:r>
        <w:rPr>
          <w:rFonts w:ascii="TUOS Blake" w:eastAsiaTheme="minorEastAsia" w:hAnsi="TUOS Blake" w:cs="TUOS Blake"/>
        </w:rPr>
        <w:t xml:space="preserve">-catenin pathway in end-stage idiopathic pulmonary arterial hypertension. </w:t>
      </w:r>
      <w:r>
        <w:rPr>
          <w:rFonts w:ascii="TUOS Blake" w:eastAsiaTheme="minorEastAsia" w:hAnsi="TUOS Blake" w:cs="TUOS Blake"/>
          <w:i/>
          <w:iCs/>
        </w:rPr>
        <w:t>Journal of Molecular Medicine</w:t>
      </w:r>
      <w:r>
        <w:rPr>
          <w:rFonts w:ascii="TUOS Blake" w:eastAsiaTheme="minorEastAsia" w:hAnsi="TUOS Blake" w:cs="TUOS Blake"/>
        </w:rPr>
        <w:t xml:space="preserve">, </w:t>
      </w:r>
      <w:r>
        <w:rPr>
          <w:rFonts w:ascii="TUOS Blake" w:eastAsiaTheme="minorEastAsia" w:hAnsi="TUOS Blake" w:cs="TUOS Blake"/>
          <w:i/>
          <w:iCs/>
        </w:rPr>
        <w:t>94</w:t>
      </w:r>
      <w:r>
        <w:rPr>
          <w:rFonts w:ascii="TUOS Blake" w:eastAsiaTheme="minorEastAsia" w:hAnsi="TUOS Blake" w:cs="TUOS Blake"/>
        </w:rPr>
        <w:t xml:space="preserve">(8), 1–11. </w:t>
      </w:r>
      <w:hyperlink r:id="rId156" w:history="1">
        <w:r w:rsidR="008F7A3F" w:rsidRPr="000D4288">
          <w:rPr>
            <w:rStyle w:val="Hyperlink"/>
            <w:rFonts w:ascii="TUOS Blake" w:eastAsiaTheme="minorEastAsia" w:hAnsi="TUOS Blake" w:cs="TUOS Blake"/>
          </w:rPr>
          <w:t>http://doi.org/10.1007/s00109-016-1426-z</w:t>
        </w:r>
      </w:hyperlink>
    </w:p>
    <w:p w14:paraId="2835DF5B"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0BBD544" w14:textId="3E07CE2F"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X, L., Z, F., T, Z., W, C., L, Z., H, L., et al. (2015). Plasma miR-1, miR-208, miR-499 as potential predictive biomarkers for acute myocardial infarction: An independent study of Han population. </w:t>
      </w:r>
      <w:r>
        <w:rPr>
          <w:rFonts w:ascii="TUOS Blake" w:eastAsiaTheme="minorEastAsia" w:hAnsi="TUOS Blake" w:cs="TUOS Blake"/>
          <w:i/>
          <w:iCs/>
        </w:rPr>
        <w:t>Experimental Gerontology</w:t>
      </w:r>
      <w:r>
        <w:rPr>
          <w:rFonts w:ascii="TUOS Blake" w:eastAsiaTheme="minorEastAsia" w:hAnsi="TUOS Blake" w:cs="TUOS Blake"/>
        </w:rPr>
        <w:t xml:space="preserve">, </w:t>
      </w:r>
      <w:r>
        <w:rPr>
          <w:rFonts w:ascii="TUOS Blake" w:eastAsiaTheme="minorEastAsia" w:hAnsi="TUOS Blake" w:cs="TUOS Blake"/>
          <w:i/>
          <w:iCs/>
        </w:rPr>
        <w:t>72</w:t>
      </w:r>
      <w:r>
        <w:rPr>
          <w:rFonts w:ascii="TUOS Blake" w:eastAsiaTheme="minorEastAsia" w:hAnsi="TUOS Blake" w:cs="TUOS Blake"/>
        </w:rPr>
        <w:t xml:space="preserve">, 230–238. </w:t>
      </w:r>
      <w:hyperlink r:id="rId157" w:history="1">
        <w:r w:rsidR="008F7A3F" w:rsidRPr="000D4288">
          <w:rPr>
            <w:rStyle w:val="Hyperlink"/>
            <w:rFonts w:ascii="TUOS Blake" w:eastAsiaTheme="minorEastAsia" w:hAnsi="TUOS Blake" w:cs="TUOS Blake"/>
          </w:rPr>
          <w:t>http://doi.org/10.1016/j.exger.2015.10.011</w:t>
        </w:r>
      </w:hyperlink>
    </w:p>
    <w:p w14:paraId="0BDAEBB2"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40F1306D" w14:textId="386AD817"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lastRenderedPageBreak/>
        <w:t>Yang, S., Sui, J., Liu, T., Wu, W., Xu, S., Yin, L., et al. (2019). Expression of miR</w:t>
      </w:r>
      <w:r>
        <w:rPr>
          <w:rFonts w:ascii="Cambria Math" w:eastAsiaTheme="minorEastAsia" w:hAnsi="Cambria Math" w:cs="Cambria Math"/>
        </w:rPr>
        <w:t>‐</w:t>
      </w:r>
      <w:r>
        <w:rPr>
          <w:rFonts w:ascii="TUOS Blake" w:eastAsiaTheme="minorEastAsia" w:hAnsi="TUOS Blake" w:cs="TUOS Blake"/>
        </w:rPr>
        <w:t>486</w:t>
      </w:r>
      <w:r>
        <w:rPr>
          <w:rFonts w:ascii="Cambria Math" w:eastAsiaTheme="minorEastAsia" w:hAnsi="Cambria Math" w:cs="Cambria Math"/>
        </w:rPr>
        <w:t>‐</w:t>
      </w:r>
      <w:r>
        <w:rPr>
          <w:rFonts w:ascii="TUOS Blake" w:eastAsiaTheme="minorEastAsia" w:hAnsi="TUOS Blake" w:cs="TUOS Blake"/>
        </w:rPr>
        <w:t xml:space="preserve">5p and its signiﬁcance in lung squamous cell carcinoma. </w:t>
      </w:r>
      <w:r>
        <w:rPr>
          <w:rFonts w:ascii="TUOS Blake" w:eastAsiaTheme="minorEastAsia" w:hAnsi="TUOS Blake" w:cs="TUOS Blake"/>
          <w:i/>
          <w:iCs/>
        </w:rPr>
        <w:t>Journal of Cellular Biochemistry</w:t>
      </w:r>
      <w:r>
        <w:rPr>
          <w:rFonts w:ascii="TUOS Blake" w:eastAsiaTheme="minorEastAsia" w:hAnsi="TUOS Blake" w:cs="TUOS Blake"/>
        </w:rPr>
        <w:t xml:space="preserve">, </w:t>
      </w:r>
      <w:r>
        <w:rPr>
          <w:rFonts w:ascii="TUOS Blake" w:eastAsiaTheme="minorEastAsia" w:hAnsi="TUOS Blake" w:cs="TUOS Blake"/>
          <w:i/>
          <w:iCs/>
        </w:rPr>
        <w:t>120</w:t>
      </w:r>
      <w:r>
        <w:rPr>
          <w:rFonts w:ascii="TUOS Blake" w:eastAsiaTheme="minorEastAsia" w:hAnsi="TUOS Blake" w:cs="TUOS Blake"/>
        </w:rPr>
        <w:t xml:space="preserve">(8), 13912–13923. </w:t>
      </w:r>
      <w:hyperlink r:id="rId158" w:history="1">
        <w:r w:rsidR="008F7A3F" w:rsidRPr="000D4288">
          <w:rPr>
            <w:rStyle w:val="Hyperlink"/>
            <w:rFonts w:ascii="TUOS Blake" w:eastAsiaTheme="minorEastAsia" w:hAnsi="TUOS Blake" w:cs="TUOS Blake"/>
          </w:rPr>
          <w:t>http://doi.org/10.1002/jcb.28665</w:t>
        </w:r>
      </w:hyperlink>
    </w:p>
    <w:p w14:paraId="0FC305CF"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7FDB8B34" w14:textId="60793C36"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Yeri</w:t>
      </w:r>
      <w:proofErr w:type="spellEnd"/>
      <w:r>
        <w:rPr>
          <w:rFonts w:ascii="TUOS Blake" w:eastAsiaTheme="minorEastAsia" w:hAnsi="TUOS Blake" w:cs="TUOS Blake"/>
        </w:rPr>
        <w:t xml:space="preserve">, A., Courtright, A., Danielson, K., Hutchins, E., Alsop, E., Carlson, E., et al. (2018). Evaluation of commercially available small </w:t>
      </w:r>
      <w:proofErr w:type="spellStart"/>
      <w:r>
        <w:rPr>
          <w:rFonts w:ascii="TUOS Blake" w:eastAsiaTheme="minorEastAsia" w:hAnsi="TUOS Blake" w:cs="TUOS Blake"/>
        </w:rPr>
        <w:t>RNASeq</w:t>
      </w:r>
      <w:proofErr w:type="spellEnd"/>
      <w:r>
        <w:rPr>
          <w:rFonts w:ascii="TUOS Blake" w:eastAsiaTheme="minorEastAsia" w:hAnsi="TUOS Blake" w:cs="TUOS Blake"/>
        </w:rPr>
        <w:t xml:space="preserve"> library preparation kits using low input RNA. </w:t>
      </w:r>
      <w:r>
        <w:rPr>
          <w:rFonts w:ascii="TUOS Blake" w:eastAsiaTheme="minorEastAsia" w:hAnsi="TUOS Blake" w:cs="TUOS Blake"/>
          <w:i/>
          <w:iCs/>
        </w:rPr>
        <w:t>BMC Genomics</w:t>
      </w:r>
      <w:r>
        <w:rPr>
          <w:rFonts w:ascii="TUOS Blake" w:eastAsiaTheme="minorEastAsia" w:hAnsi="TUOS Blake" w:cs="TUOS Blake"/>
        </w:rPr>
        <w:t xml:space="preserve">, </w:t>
      </w:r>
      <w:r>
        <w:rPr>
          <w:rFonts w:ascii="TUOS Blake" w:eastAsiaTheme="minorEastAsia" w:hAnsi="TUOS Blake" w:cs="TUOS Blake"/>
          <w:i/>
          <w:iCs/>
        </w:rPr>
        <w:t>19</w:t>
      </w:r>
      <w:r>
        <w:rPr>
          <w:rFonts w:ascii="TUOS Blake" w:eastAsiaTheme="minorEastAsia" w:hAnsi="TUOS Blake" w:cs="TUOS Blake"/>
        </w:rPr>
        <w:t xml:space="preserve">(1), 331. </w:t>
      </w:r>
      <w:hyperlink r:id="rId159" w:history="1">
        <w:r w:rsidR="008F7A3F" w:rsidRPr="000D4288">
          <w:rPr>
            <w:rStyle w:val="Hyperlink"/>
            <w:rFonts w:ascii="TUOS Blake" w:eastAsiaTheme="minorEastAsia" w:hAnsi="TUOS Blake" w:cs="TUOS Blake"/>
          </w:rPr>
          <w:t>http://doi.org/10.1186/s12864-018-4726-6</w:t>
        </w:r>
      </w:hyperlink>
    </w:p>
    <w:p w14:paraId="2D05ED7B"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24784BBE" w14:textId="283CE689"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Youden Index and Optimal Cut-Point Estimated from Observations Affected by a Lower Limit of Detection. (2008). Youden Index and Optimal Cut-Point Estimated from Observations Affected by a Lower Limit of Detection. </w:t>
      </w:r>
      <w:r>
        <w:rPr>
          <w:rFonts w:ascii="TUOS Blake" w:eastAsiaTheme="minorEastAsia" w:hAnsi="TUOS Blake" w:cs="TUOS Blake"/>
          <w:i/>
          <w:iCs/>
        </w:rPr>
        <w:t xml:space="preserve">Biometrical Journal. </w:t>
      </w:r>
      <w:proofErr w:type="spellStart"/>
      <w:r>
        <w:rPr>
          <w:rFonts w:ascii="TUOS Blake" w:eastAsiaTheme="minorEastAsia" w:hAnsi="TUOS Blake" w:cs="TUOS Blake"/>
          <w:i/>
          <w:iCs/>
        </w:rPr>
        <w:t>Biometrische</w:t>
      </w:r>
      <w:proofErr w:type="spellEnd"/>
      <w:r>
        <w:rPr>
          <w:rFonts w:ascii="TUOS Blake" w:eastAsiaTheme="minorEastAsia" w:hAnsi="TUOS Blake" w:cs="TUOS Blake"/>
          <w:i/>
          <w:iCs/>
        </w:rPr>
        <w:t xml:space="preserve"> </w:t>
      </w:r>
      <w:proofErr w:type="spellStart"/>
      <w:r>
        <w:rPr>
          <w:rFonts w:ascii="TUOS Blake" w:eastAsiaTheme="minorEastAsia" w:hAnsi="TUOS Blake" w:cs="TUOS Blake"/>
          <w:i/>
          <w:iCs/>
        </w:rPr>
        <w:t>Zeitschrift</w:t>
      </w:r>
      <w:proofErr w:type="spellEnd"/>
      <w:r>
        <w:rPr>
          <w:rFonts w:ascii="TUOS Blake" w:eastAsiaTheme="minorEastAsia" w:hAnsi="TUOS Blake" w:cs="TUOS Blake"/>
        </w:rPr>
        <w:t xml:space="preserve">, </w:t>
      </w:r>
      <w:r>
        <w:rPr>
          <w:rFonts w:ascii="TUOS Blake" w:eastAsiaTheme="minorEastAsia" w:hAnsi="TUOS Blake" w:cs="TUOS Blake"/>
          <w:i/>
          <w:iCs/>
        </w:rPr>
        <w:t>50</w:t>
      </w:r>
      <w:r>
        <w:rPr>
          <w:rFonts w:ascii="TUOS Blake" w:eastAsiaTheme="minorEastAsia" w:hAnsi="TUOS Blake" w:cs="TUOS Blake"/>
        </w:rPr>
        <w:t xml:space="preserve">(3), 419–430. </w:t>
      </w:r>
      <w:hyperlink r:id="rId160" w:history="1">
        <w:r w:rsidR="008F7A3F" w:rsidRPr="000D4288">
          <w:rPr>
            <w:rStyle w:val="Hyperlink"/>
            <w:rFonts w:ascii="TUOS Blake" w:eastAsiaTheme="minorEastAsia" w:hAnsi="TUOS Blake" w:cs="TUOS Blake"/>
          </w:rPr>
          <w:t>http://doi.org/10.1002/bimj.200710415</w:t>
        </w:r>
      </w:hyperlink>
    </w:p>
    <w:p w14:paraId="1257FF0A"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35FE899F" w14:textId="69C2A11C"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roofErr w:type="spellStart"/>
      <w:r>
        <w:rPr>
          <w:rFonts w:ascii="TUOS Blake" w:eastAsiaTheme="minorEastAsia" w:hAnsi="TUOS Blake" w:cs="TUOS Blake"/>
        </w:rPr>
        <w:t>Zelniker</w:t>
      </w:r>
      <w:proofErr w:type="spellEnd"/>
      <w:r>
        <w:rPr>
          <w:rFonts w:ascii="TUOS Blake" w:eastAsiaTheme="minorEastAsia" w:hAnsi="TUOS Blake" w:cs="TUOS Blake"/>
        </w:rPr>
        <w:t xml:space="preserve">, T. A., </w:t>
      </w:r>
      <w:proofErr w:type="spellStart"/>
      <w:r>
        <w:rPr>
          <w:rFonts w:ascii="TUOS Blake" w:eastAsiaTheme="minorEastAsia" w:hAnsi="TUOS Blake" w:cs="TUOS Blake"/>
        </w:rPr>
        <w:t>Huscher</w:t>
      </w:r>
      <w:proofErr w:type="spellEnd"/>
      <w:r>
        <w:rPr>
          <w:rFonts w:ascii="TUOS Blake" w:eastAsiaTheme="minorEastAsia" w:hAnsi="TUOS Blake" w:cs="TUOS Blake"/>
        </w:rPr>
        <w:t xml:space="preserve">, D., </w:t>
      </w:r>
      <w:proofErr w:type="spellStart"/>
      <w:r>
        <w:rPr>
          <w:rFonts w:ascii="TUOS Blake" w:eastAsiaTheme="minorEastAsia" w:hAnsi="TUOS Blake" w:cs="TUOS Blake"/>
        </w:rPr>
        <w:t>Vonk</w:t>
      </w:r>
      <w:proofErr w:type="spellEnd"/>
      <w:r>
        <w:rPr>
          <w:rFonts w:ascii="TUOS Blake" w:eastAsiaTheme="minorEastAsia" w:hAnsi="TUOS Blake" w:cs="TUOS Blake"/>
        </w:rPr>
        <w:t xml:space="preserve"> </w:t>
      </w:r>
      <w:proofErr w:type="spellStart"/>
      <w:r>
        <w:rPr>
          <w:rFonts w:ascii="TUOS Blake" w:eastAsiaTheme="minorEastAsia" w:hAnsi="TUOS Blake" w:cs="TUOS Blake"/>
        </w:rPr>
        <w:t>Noordegraaf</w:t>
      </w:r>
      <w:proofErr w:type="spellEnd"/>
      <w:r>
        <w:rPr>
          <w:rFonts w:ascii="TUOS Blake" w:eastAsiaTheme="minorEastAsia" w:hAnsi="TUOS Blake" w:cs="TUOS Blake"/>
        </w:rPr>
        <w:t xml:space="preserve">, A., Ewert, R., Lange, T. J., Klose, H., et al. (2018). The 6MWT as a prognostic tool in pulmonary arterial hypertension: results from the COMPERA registry. </w:t>
      </w:r>
      <w:r>
        <w:rPr>
          <w:rFonts w:ascii="TUOS Blake" w:eastAsiaTheme="minorEastAsia" w:hAnsi="TUOS Blake" w:cs="TUOS Blake"/>
          <w:i/>
          <w:iCs/>
        </w:rPr>
        <w:t xml:space="preserve">Clinical Research in </w:t>
      </w:r>
      <w:proofErr w:type="gramStart"/>
      <w:r>
        <w:rPr>
          <w:rFonts w:ascii="TUOS Blake" w:eastAsiaTheme="minorEastAsia" w:hAnsi="TUOS Blake" w:cs="TUOS Blake"/>
          <w:i/>
          <w:iCs/>
        </w:rPr>
        <w:t>Cardiology :</w:t>
      </w:r>
      <w:proofErr w:type="gramEnd"/>
      <w:r>
        <w:rPr>
          <w:rFonts w:ascii="TUOS Blake" w:eastAsiaTheme="minorEastAsia" w:hAnsi="TUOS Blake" w:cs="TUOS Blake"/>
          <w:i/>
          <w:iCs/>
        </w:rPr>
        <w:t xml:space="preserve"> Official Journal of the German Cardiac Society</w:t>
      </w:r>
      <w:r>
        <w:rPr>
          <w:rFonts w:ascii="TUOS Blake" w:eastAsiaTheme="minorEastAsia" w:hAnsi="TUOS Blake" w:cs="TUOS Blake"/>
        </w:rPr>
        <w:t xml:space="preserve">, </w:t>
      </w:r>
      <w:r>
        <w:rPr>
          <w:rFonts w:ascii="TUOS Blake" w:eastAsiaTheme="minorEastAsia" w:hAnsi="TUOS Blake" w:cs="TUOS Blake"/>
          <w:i/>
          <w:iCs/>
        </w:rPr>
        <w:t>107</w:t>
      </w:r>
      <w:r>
        <w:rPr>
          <w:rFonts w:ascii="TUOS Blake" w:eastAsiaTheme="minorEastAsia" w:hAnsi="TUOS Blake" w:cs="TUOS Blake"/>
        </w:rPr>
        <w:t xml:space="preserve">(6), 460–470. </w:t>
      </w:r>
      <w:hyperlink r:id="rId161" w:history="1">
        <w:r w:rsidR="008F7A3F" w:rsidRPr="000D4288">
          <w:rPr>
            <w:rStyle w:val="Hyperlink"/>
            <w:rFonts w:ascii="TUOS Blake" w:eastAsiaTheme="minorEastAsia" w:hAnsi="TUOS Blake" w:cs="TUOS Blake"/>
          </w:rPr>
          <w:t>http://doi.org/10.1007/s00392-018-1207-5</w:t>
        </w:r>
      </w:hyperlink>
    </w:p>
    <w:p w14:paraId="0EA2CF61" w14:textId="77777777" w:rsidR="008F7A3F" w:rsidRDefault="008F7A3F"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p>
    <w:p w14:paraId="00F26B30" w14:textId="77777777" w:rsidR="004E19A5" w:rsidRDefault="004E19A5" w:rsidP="004E19A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UOS Blake" w:eastAsiaTheme="minorEastAsia" w:hAnsi="TUOS Blake" w:cs="TUOS Blake"/>
        </w:rPr>
      </w:pPr>
      <w:r>
        <w:rPr>
          <w:rFonts w:ascii="TUOS Blake" w:eastAsiaTheme="minorEastAsia" w:hAnsi="TUOS Blake" w:cs="TUOS Blake"/>
        </w:rPr>
        <w:t xml:space="preserve">Zhou, G., Chen, T., &amp; Raj, J. U. (2015). MicroRNAs in Pulmonary Arterial Hypertension. </w:t>
      </w:r>
      <w:r>
        <w:rPr>
          <w:rFonts w:ascii="TUOS Blake" w:eastAsiaTheme="minorEastAsia" w:hAnsi="TUOS Blake" w:cs="TUOS Blake"/>
          <w:i/>
          <w:iCs/>
        </w:rPr>
        <w:t>American Journal of Respiratory Cell and Molecular Biology</w:t>
      </w:r>
      <w:r>
        <w:rPr>
          <w:rFonts w:ascii="TUOS Blake" w:eastAsiaTheme="minorEastAsia" w:hAnsi="TUOS Blake" w:cs="TUOS Blake"/>
        </w:rPr>
        <w:t xml:space="preserve">, </w:t>
      </w:r>
      <w:r>
        <w:rPr>
          <w:rFonts w:ascii="TUOS Blake" w:eastAsiaTheme="minorEastAsia" w:hAnsi="TUOS Blake" w:cs="TUOS Blake"/>
          <w:i/>
          <w:iCs/>
        </w:rPr>
        <w:t>52</w:t>
      </w:r>
      <w:r>
        <w:rPr>
          <w:rFonts w:ascii="TUOS Blake" w:eastAsiaTheme="minorEastAsia" w:hAnsi="TUOS Blake" w:cs="TUOS Blake"/>
        </w:rPr>
        <w:t>(2), 139–151. http://doi.org/10.1165/rcmb.2014-0166TR</w:t>
      </w:r>
    </w:p>
    <w:p w14:paraId="295F8155" w14:textId="5F9B5303" w:rsidR="003E2F72" w:rsidRPr="0096441A" w:rsidRDefault="004E19A5" w:rsidP="009125D5">
      <w:pPr>
        <w:pStyle w:val="Body"/>
        <w:ind w:left="720"/>
      </w:pPr>
      <w:r>
        <w:fldChar w:fldCharType="begin"/>
      </w:r>
      <w:r>
        <w:instrText xml:space="preserve"> ADDIN PAPERS2_CITATIONS &lt;papers2_bibliography/&gt;</w:instrText>
      </w:r>
      <w:r>
        <w:fldChar w:fldCharType="separate"/>
      </w:r>
      <w:r>
        <w:fldChar w:fldCharType="end"/>
      </w:r>
    </w:p>
    <w:sectPr w:rsidR="003E2F72" w:rsidRPr="0096441A" w:rsidSect="0063593C">
      <w:footerReference w:type="even" r:id="rId162"/>
      <w:footerReference w:type="default" r:id="rId163"/>
      <w:type w:val="continuous"/>
      <w:pgSz w:w="11900" w:h="16840"/>
      <w:pgMar w:top="1411" w:right="1411" w:bottom="1411"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A0102" w14:textId="77777777" w:rsidR="00436678" w:rsidRDefault="00436678">
      <w:r>
        <w:separator/>
      </w:r>
    </w:p>
  </w:endnote>
  <w:endnote w:type="continuationSeparator" w:id="0">
    <w:p w14:paraId="14F39DA9" w14:textId="77777777" w:rsidR="00436678" w:rsidRDefault="00436678">
      <w:r>
        <w:continuationSeparator/>
      </w:r>
    </w:p>
  </w:endnote>
  <w:endnote w:type="continuationNotice" w:id="1">
    <w:p w14:paraId="0F92DE5B" w14:textId="77777777" w:rsidR="00436678" w:rsidRDefault="004366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UOS Blake">
    <w:altName w:val="﷽﷽﷽﷽﷽﷽﷽﷽"/>
    <w:panose1 w:val="020B0503040000020004"/>
    <w:charset w:val="00"/>
    <w:family w:val="swiss"/>
    <w:pitch w:val="variable"/>
    <w:sig w:usb0="8000002F" w:usb1="4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rande"/>
    <w:panose1 w:val="020B0600040502020204"/>
    <w:charset w:val="00"/>
    <w:family w:val="swiss"/>
    <w:pitch w:val="variable"/>
    <w:sig w:usb0="E1000AEF" w:usb1="5000A1FF" w:usb2="00000000" w:usb3="00000000" w:csb0="000001BF" w:csb1="00000000"/>
  </w:font>
  <w:font w:name="Times">
    <w:altName w:val="﷽﷽﷽﷽﷽﷽﷽﷽ڱ"/>
    <w:panose1 w:val="00000500000000020000"/>
    <w:charset w:val="00"/>
    <w:family w:val="auto"/>
    <w:pitch w:val="variable"/>
    <w:sig w:usb0="E00002FF" w:usb1="5000205A" w:usb2="00000000" w:usb3="00000000" w:csb0="0000019F" w:csb1="00000000"/>
  </w:font>
  <w:font w:name="Charter Roman">
    <w:altName w:val="﷽﷽﷽﷽﷽﷽﷽﷽Roman"/>
    <w:panose1 w:val="02040503050506020203"/>
    <w:charset w:val="00"/>
    <w:family w:val="roman"/>
    <w:pitch w:val="variable"/>
    <w:sig w:usb0="800000AF" w:usb1="1000204A" w:usb2="00000000" w:usb3="00000000" w:csb0="00000011" w:csb1="00000000"/>
  </w:font>
  <w:font w:name="AdvOTb7819099">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A8610" w14:textId="77777777" w:rsidR="00885DE4" w:rsidRDefault="00885DE4" w:rsidP="004F7E6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6C9C3B13" w14:textId="77777777" w:rsidR="00885DE4" w:rsidRDefault="00885DE4" w:rsidP="004F7E69">
    <w:pPr>
      <w:pStyle w:val="Footer"/>
      <w:framePr w:wrap="around" w:vAnchor="text" w:hAnchor="margin" w:xAlign="out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21019401" w14:textId="77777777" w:rsidR="00885DE4" w:rsidRDefault="00885DE4" w:rsidP="00DF133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3BF6A" w14:textId="77777777" w:rsidR="00885DE4" w:rsidRDefault="00885DE4" w:rsidP="00B224B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xiv</w:t>
    </w:r>
    <w:r>
      <w:rPr>
        <w:rStyle w:val="PageNumber"/>
      </w:rPr>
      <w:fldChar w:fldCharType="end"/>
    </w:r>
  </w:p>
  <w:p w14:paraId="57E26F07" w14:textId="7D8B4B13" w:rsidR="00885DE4" w:rsidRDefault="00885DE4" w:rsidP="00D767A2">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63F92" w14:textId="77777777" w:rsidR="00885DE4" w:rsidRDefault="00885DE4" w:rsidP="00B224BD">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44617" w14:textId="79E9FFA0" w:rsidR="00885DE4" w:rsidRDefault="00885DE4" w:rsidP="00D767A2">
    <w:pPr>
      <w:pStyle w:val="Footer"/>
      <w:ind w:right="360" w:firstLine="360"/>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0AA63" w14:textId="77777777" w:rsidR="00885DE4" w:rsidRDefault="00885DE4" w:rsidP="00D767A2">
    <w:pPr>
      <w:pStyle w:val="Footer"/>
      <w:ind w:right="360" w:firstLine="360"/>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E420A" w14:textId="77777777" w:rsidR="00885DE4" w:rsidRDefault="00885DE4" w:rsidP="000D1B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164</w:t>
    </w:r>
    <w:r>
      <w:rPr>
        <w:rStyle w:val="PageNumber"/>
      </w:rPr>
      <w:fldChar w:fldCharType="end"/>
    </w:r>
  </w:p>
  <w:p w14:paraId="52A86262" w14:textId="77777777" w:rsidR="00885DE4" w:rsidRDefault="00885DE4" w:rsidP="000D1B2E">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1BC1E" w14:textId="77777777" w:rsidR="00885DE4" w:rsidRDefault="00885DE4" w:rsidP="000D1B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7DBABD4F" w14:textId="77777777" w:rsidR="00885DE4" w:rsidRDefault="00885DE4" w:rsidP="000D1B2E">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744F7" w14:textId="77777777" w:rsidR="00885DE4" w:rsidRDefault="00885DE4" w:rsidP="00BA43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164</w:t>
    </w:r>
    <w:r>
      <w:rPr>
        <w:rStyle w:val="PageNumber"/>
      </w:rPr>
      <w:fldChar w:fldCharType="end"/>
    </w:r>
  </w:p>
  <w:p w14:paraId="2CAD988A" w14:textId="77777777" w:rsidR="00885DE4" w:rsidRDefault="00885DE4" w:rsidP="00BA43B3">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71A57" w14:textId="77777777" w:rsidR="00885DE4" w:rsidRDefault="00885DE4" w:rsidP="00BA43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55A464F" w14:textId="77777777" w:rsidR="00885DE4" w:rsidRDefault="00885DE4" w:rsidP="00BA43B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810F0D" w14:textId="77777777" w:rsidR="00436678" w:rsidRDefault="00436678">
      <w:r>
        <w:separator/>
      </w:r>
    </w:p>
  </w:footnote>
  <w:footnote w:type="continuationSeparator" w:id="0">
    <w:p w14:paraId="407F8E79" w14:textId="77777777" w:rsidR="00436678" w:rsidRDefault="00436678">
      <w:r>
        <w:continuationSeparator/>
      </w:r>
    </w:p>
  </w:footnote>
  <w:footnote w:type="continuationNotice" w:id="1">
    <w:p w14:paraId="507A32FB" w14:textId="77777777" w:rsidR="00436678" w:rsidRDefault="004366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D338E4"/>
    <w:multiLevelType w:val="hybridMultilevel"/>
    <w:tmpl w:val="63BC96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EB797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9FF3FFE"/>
    <w:multiLevelType w:val="multilevel"/>
    <w:tmpl w:val="B548FB80"/>
    <w:lvl w:ilvl="0">
      <w:start w:val="1"/>
      <w:numFmt w:val="decimal"/>
      <w:lvlText w:val="%1."/>
      <w:lvlJc w:val="left"/>
      <w:pPr>
        <w:ind w:left="360" w:hanging="360"/>
      </w:pPr>
      <w:rPr>
        <w:rFonts w:hint="default"/>
      </w:rPr>
    </w:lvl>
    <w:lvl w:ilvl="1">
      <w:start w:val="1"/>
      <w:numFmt w:val="decimal"/>
      <w:lvlText w:val="%1.%2."/>
      <w:lvlJc w:val="left"/>
      <w:pPr>
        <w:tabs>
          <w:tab w:val="num" w:pos="0"/>
        </w:tabs>
        <w:ind w:left="113" w:hanging="11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F26420"/>
    <w:multiLevelType w:val="multilevel"/>
    <w:tmpl w:val="CEBA63EA"/>
    <w:lvl w:ilvl="0">
      <w:start w:val="1"/>
      <w:numFmt w:val="decimal"/>
      <w:lvlText w:val="%1."/>
      <w:lvlJc w:val="left"/>
      <w:pPr>
        <w:tabs>
          <w:tab w:val="num" w:pos="360"/>
        </w:tabs>
        <w:ind w:left="360" w:hanging="360"/>
      </w:pPr>
      <w:rPr>
        <w:rFonts w:ascii="Helvetica" w:eastAsia="Helvetica" w:hAnsi="Helvetica" w:cs="Helvetica"/>
        <w:b/>
        <w:bCs/>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bCs/>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2">
      <w:start w:val="1"/>
      <w:numFmt w:val="lowerRoman"/>
      <w:lvlText w:val="%3."/>
      <w:lvlJc w:val="left"/>
      <w:pPr>
        <w:tabs>
          <w:tab w:val="num" w:pos="1080"/>
        </w:tabs>
        <w:ind w:left="1080" w:hanging="360"/>
      </w:pPr>
      <w:rPr>
        <w:rFonts w:ascii="Helvetica" w:eastAsia="Helvetica" w:hAnsi="Helvetica" w:cs="Helvetica"/>
        <w:b/>
        <w:bCs/>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bCs/>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bCs/>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5">
      <w:start w:val="1"/>
      <w:numFmt w:val="lowerRoman"/>
      <w:lvlText w:val="%6."/>
      <w:lvlJc w:val="left"/>
      <w:pPr>
        <w:tabs>
          <w:tab w:val="num" w:pos="2160"/>
        </w:tabs>
        <w:ind w:left="2160" w:hanging="360"/>
      </w:pPr>
      <w:rPr>
        <w:rFonts w:ascii="Helvetica" w:eastAsia="Helvetica" w:hAnsi="Helvetica" w:cs="Helvetica"/>
        <w:b/>
        <w:bCs/>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bCs/>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bCs/>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8">
      <w:start w:val="1"/>
      <w:numFmt w:val="lowerRoman"/>
      <w:lvlText w:val="%9."/>
      <w:lvlJc w:val="left"/>
      <w:pPr>
        <w:tabs>
          <w:tab w:val="num" w:pos="3240"/>
        </w:tabs>
        <w:ind w:left="3240" w:hanging="360"/>
      </w:pPr>
      <w:rPr>
        <w:rFonts w:ascii="Helvetica" w:eastAsia="Helvetica" w:hAnsi="Helvetica" w:cs="Helvetica"/>
        <w:b/>
        <w:bCs/>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abstractNum>
  <w:abstractNum w:abstractNumId="7" w15:restartNumberingAfterBreak="0">
    <w:nsid w:val="228C00D4"/>
    <w:multiLevelType w:val="hybridMultilevel"/>
    <w:tmpl w:val="DB82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672825"/>
    <w:multiLevelType w:val="multilevel"/>
    <w:tmpl w:val="A90E1A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F133B2D"/>
    <w:multiLevelType w:val="multilevel"/>
    <w:tmpl w:val="E6B8D192"/>
    <w:styleLink w:val="List1"/>
    <w:lvl w:ilvl="0">
      <w:start w:val="9"/>
      <w:numFmt w:val="decimal"/>
      <w:lvlText w:val="%1."/>
      <w:lvlJc w:val="left"/>
      <w:pPr>
        <w:tabs>
          <w:tab w:val="num" w:pos="360"/>
        </w:tabs>
        <w:ind w:left="360" w:hanging="360"/>
      </w:pPr>
      <w:rPr>
        <w:position w:val="0"/>
        <w:sz w:val="28"/>
        <w:szCs w:val="28"/>
      </w:rPr>
    </w:lvl>
    <w:lvl w:ilvl="1">
      <w:start w:val="1"/>
      <w:numFmt w:val="lowerLetter"/>
      <w:lvlText w:val="%2."/>
      <w:lvlJc w:val="left"/>
      <w:pPr>
        <w:tabs>
          <w:tab w:val="num" w:pos="720"/>
        </w:tabs>
        <w:ind w:left="720" w:hanging="360"/>
      </w:pPr>
      <w:rPr>
        <w:position w:val="0"/>
        <w:sz w:val="28"/>
        <w:szCs w:val="28"/>
      </w:rPr>
    </w:lvl>
    <w:lvl w:ilvl="2">
      <w:start w:val="1"/>
      <w:numFmt w:val="lowerRoman"/>
      <w:lvlText w:val="%3."/>
      <w:lvlJc w:val="left"/>
      <w:pPr>
        <w:tabs>
          <w:tab w:val="num" w:pos="1080"/>
        </w:tabs>
        <w:ind w:left="1080" w:hanging="360"/>
      </w:pPr>
      <w:rPr>
        <w:position w:val="0"/>
        <w:sz w:val="28"/>
        <w:szCs w:val="28"/>
      </w:rPr>
    </w:lvl>
    <w:lvl w:ilvl="3">
      <w:start w:val="1"/>
      <w:numFmt w:val="decimal"/>
      <w:lvlText w:val="%4."/>
      <w:lvlJc w:val="left"/>
      <w:pPr>
        <w:tabs>
          <w:tab w:val="num" w:pos="1440"/>
        </w:tabs>
        <w:ind w:left="1440" w:hanging="360"/>
      </w:pPr>
      <w:rPr>
        <w:position w:val="0"/>
        <w:sz w:val="28"/>
        <w:szCs w:val="28"/>
      </w:rPr>
    </w:lvl>
    <w:lvl w:ilvl="4">
      <w:start w:val="1"/>
      <w:numFmt w:val="lowerLetter"/>
      <w:lvlText w:val="%5."/>
      <w:lvlJc w:val="left"/>
      <w:pPr>
        <w:tabs>
          <w:tab w:val="num" w:pos="1800"/>
        </w:tabs>
        <w:ind w:left="1800" w:hanging="360"/>
      </w:pPr>
      <w:rPr>
        <w:position w:val="0"/>
        <w:sz w:val="28"/>
        <w:szCs w:val="28"/>
      </w:rPr>
    </w:lvl>
    <w:lvl w:ilvl="5">
      <w:start w:val="1"/>
      <w:numFmt w:val="lowerRoman"/>
      <w:lvlText w:val="%6."/>
      <w:lvlJc w:val="left"/>
      <w:pPr>
        <w:tabs>
          <w:tab w:val="num" w:pos="2160"/>
        </w:tabs>
        <w:ind w:left="2160" w:hanging="360"/>
      </w:pPr>
      <w:rPr>
        <w:position w:val="0"/>
        <w:sz w:val="28"/>
        <w:szCs w:val="28"/>
      </w:rPr>
    </w:lvl>
    <w:lvl w:ilvl="6">
      <w:start w:val="1"/>
      <w:numFmt w:val="decimal"/>
      <w:lvlText w:val="%7."/>
      <w:lvlJc w:val="left"/>
      <w:pPr>
        <w:tabs>
          <w:tab w:val="num" w:pos="2520"/>
        </w:tabs>
        <w:ind w:left="2520" w:hanging="360"/>
      </w:pPr>
      <w:rPr>
        <w:position w:val="0"/>
        <w:sz w:val="28"/>
        <w:szCs w:val="28"/>
      </w:rPr>
    </w:lvl>
    <w:lvl w:ilvl="7">
      <w:start w:val="1"/>
      <w:numFmt w:val="lowerLetter"/>
      <w:lvlText w:val="%8."/>
      <w:lvlJc w:val="left"/>
      <w:pPr>
        <w:tabs>
          <w:tab w:val="num" w:pos="2880"/>
        </w:tabs>
        <w:ind w:left="2880" w:hanging="360"/>
      </w:pPr>
      <w:rPr>
        <w:position w:val="0"/>
        <w:sz w:val="28"/>
        <w:szCs w:val="28"/>
      </w:rPr>
    </w:lvl>
    <w:lvl w:ilvl="8">
      <w:start w:val="1"/>
      <w:numFmt w:val="lowerRoman"/>
      <w:lvlText w:val="%9."/>
      <w:lvlJc w:val="left"/>
      <w:pPr>
        <w:tabs>
          <w:tab w:val="num" w:pos="3240"/>
        </w:tabs>
        <w:ind w:left="3240" w:hanging="360"/>
      </w:pPr>
      <w:rPr>
        <w:position w:val="0"/>
        <w:sz w:val="28"/>
        <w:szCs w:val="28"/>
      </w:rPr>
    </w:lvl>
  </w:abstractNum>
  <w:abstractNum w:abstractNumId="10" w15:restartNumberingAfterBreak="0">
    <w:nsid w:val="31E73623"/>
    <w:multiLevelType w:val="multilevel"/>
    <w:tmpl w:val="B548FB80"/>
    <w:lvl w:ilvl="0">
      <w:start w:val="1"/>
      <w:numFmt w:val="decimal"/>
      <w:lvlText w:val="%1."/>
      <w:lvlJc w:val="left"/>
      <w:pPr>
        <w:ind w:left="360" w:hanging="360"/>
      </w:pPr>
      <w:rPr>
        <w:rFonts w:hint="default"/>
      </w:rPr>
    </w:lvl>
    <w:lvl w:ilvl="1">
      <w:start w:val="1"/>
      <w:numFmt w:val="decimal"/>
      <w:lvlText w:val="%1.%2."/>
      <w:lvlJc w:val="left"/>
      <w:pPr>
        <w:tabs>
          <w:tab w:val="num" w:pos="0"/>
        </w:tabs>
        <w:ind w:left="113" w:hanging="11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2A175F4"/>
    <w:multiLevelType w:val="multilevel"/>
    <w:tmpl w:val="B548FB80"/>
    <w:lvl w:ilvl="0">
      <w:start w:val="1"/>
      <w:numFmt w:val="decimal"/>
      <w:lvlText w:val="%1."/>
      <w:lvlJc w:val="left"/>
      <w:pPr>
        <w:ind w:left="360" w:hanging="360"/>
      </w:pPr>
      <w:rPr>
        <w:rFonts w:hint="default"/>
      </w:rPr>
    </w:lvl>
    <w:lvl w:ilvl="1">
      <w:start w:val="1"/>
      <w:numFmt w:val="decimal"/>
      <w:lvlText w:val="%1.%2."/>
      <w:lvlJc w:val="left"/>
      <w:pPr>
        <w:tabs>
          <w:tab w:val="num" w:pos="0"/>
        </w:tabs>
        <w:ind w:left="113" w:hanging="11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337083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4BB3578"/>
    <w:multiLevelType w:val="multilevel"/>
    <w:tmpl w:val="63BC96F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53742D5"/>
    <w:multiLevelType w:val="multilevel"/>
    <w:tmpl w:val="15720262"/>
    <w:lvl w:ilvl="0">
      <w:start w:val="1"/>
      <w:numFmt w:val="decimal"/>
      <w:lvlText w:val="%1."/>
      <w:lvlJc w:val="left"/>
      <w:pPr>
        <w:ind w:left="360" w:hanging="360"/>
      </w:pPr>
      <w:rPr>
        <w:rFonts w:hint="default"/>
      </w:rPr>
    </w:lvl>
    <w:lvl w:ilvl="1">
      <w:start w:val="1"/>
      <w:numFmt w:val="decimal"/>
      <w:lvlText w:val="%1.%2."/>
      <w:lvlJc w:val="left"/>
      <w:pPr>
        <w:ind w:left="454" w:hanging="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98C68A7"/>
    <w:multiLevelType w:val="hybridMultilevel"/>
    <w:tmpl w:val="12640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F976BB"/>
    <w:multiLevelType w:val="multilevel"/>
    <w:tmpl w:val="B548FB80"/>
    <w:lvl w:ilvl="0">
      <w:start w:val="1"/>
      <w:numFmt w:val="decimal"/>
      <w:lvlText w:val="%1."/>
      <w:lvlJc w:val="left"/>
      <w:pPr>
        <w:ind w:left="360" w:hanging="360"/>
      </w:pPr>
      <w:rPr>
        <w:rFonts w:hint="default"/>
      </w:rPr>
    </w:lvl>
    <w:lvl w:ilvl="1">
      <w:start w:val="1"/>
      <w:numFmt w:val="decimal"/>
      <w:lvlText w:val="%1.%2."/>
      <w:lvlJc w:val="left"/>
      <w:pPr>
        <w:tabs>
          <w:tab w:val="num" w:pos="0"/>
        </w:tabs>
        <w:ind w:left="113" w:hanging="11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CD630FC"/>
    <w:multiLevelType w:val="multilevel"/>
    <w:tmpl w:val="A90E1A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E8D785A"/>
    <w:multiLevelType w:val="hybridMultilevel"/>
    <w:tmpl w:val="C7BC3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3C0ADE"/>
    <w:multiLevelType w:val="hybridMultilevel"/>
    <w:tmpl w:val="8A86C33A"/>
    <w:lvl w:ilvl="0" w:tplc="242ABF04">
      <w:start w:val="146"/>
      <w:numFmt w:val="bullet"/>
      <w:lvlText w:val=""/>
      <w:lvlJc w:val="left"/>
      <w:pPr>
        <w:ind w:left="720" w:hanging="360"/>
      </w:pPr>
      <w:rPr>
        <w:rFonts w:ascii="Wingdings" w:eastAsia="TUOS Blake" w:hAnsi="Wingdings" w:cs="TUOS Blak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E440CB"/>
    <w:multiLevelType w:val="multilevel"/>
    <w:tmpl w:val="C2CA37DC"/>
    <w:lvl w:ilvl="0">
      <w:start w:val="1"/>
      <w:numFmt w:val="decimal"/>
      <w:lvlText w:val="%1."/>
      <w:lvlJc w:val="left"/>
      <w:pPr>
        <w:tabs>
          <w:tab w:val="num" w:pos="360"/>
        </w:tabs>
        <w:ind w:left="360" w:hanging="360"/>
      </w:pPr>
      <w:rPr>
        <w:position w:val="0"/>
        <w:sz w:val="28"/>
        <w:szCs w:val="28"/>
      </w:rPr>
    </w:lvl>
    <w:lvl w:ilvl="1">
      <w:start w:val="1"/>
      <w:numFmt w:val="lowerLetter"/>
      <w:lvlText w:val="%2."/>
      <w:lvlJc w:val="left"/>
      <w:pPr>
        <w:tabs>
          <w:tab w:val="num" w:pos="720"/>
        </w:tabs>
        <w:ind w:left="720" w:hanging="360"/>
      </w:pPr>
      <w:rPr>
        <w:position w:val="0"/>
        <w:sz w:val="28"/>
        <w:szCs w:val="28"/>
      </w:rPr>
    </w:lvl>
    <w:lvl w:ilvl="2">
      <w:start w:val="1"/>
      <w:numFmt w:val="lowerRoman"/>
      <w:lvlText w:val="%3."/>
      <w:lvlJc w:val="left"/>
      <w:pPr>
        <w:tabs>
          <w:tab w:val="num" w:pos="1080"/>
        </w:tabs>
        <w:ind w:left="1080" w:hanging="360"/>
      </w:pPr>
      <w:rPr>
        <w:position w:val="0"/>
        <w:sz w:val="28"/>
        <w:szCs w:val="28"/>
      </w:rPr>
    </w:lvl>
    <w:lvl w:ilvl="3">
      <w:start w:val="1"/>
      <w:numFmt w:val="decimal"/>
      <w:lvlText w:val="%4."/>
      <w:lvlJc w:val="left"/>
      <w:pPr>
        <w:tabs>
          <w:tab w:val="num" w:pos="1440"/>
        </w:tabs>
        <w:ind w:left="1440" w:hanging="360"/>
      </w:pPr>
      <w:rPr>
        <w:position w:val="0"/>
        <w:sz w:val="28"/>
        <w:szCs w:val="28"/>
      </w:rPr>
    </w:lvl>
    <w:lvl w:ilvl="4">
      <w:start w:val="1"/>
      <w:numFmt w:val="lowerLetter"/>
      <w:lvlText w:val="%5."/>
      <w:lvlJc w:val="left"/>
      <w:pPr>
        <w:tabs>
          <w:tab w:val="num" w:pos="1800"/>
        </w:tabs>
        <w:ind w:left="1800" w:hanging="360"/>
      </w:pPr>
      <w:rPr>
        <w:position w:val="0"/>
        <w:sz w:val="28"/>
        <w:szCs w:val="28"/>
      </w:rPr>
    </w:lvl>
    <w:lvl w:ilvl="5">
      <w:start w:val="1"/>
      <w:numFmt w:val="lowerRoman"/>
      <w:lvlText w:val="%6."/>
      <w:lvlJc w:val="left"/>
      <w:pPr>
        <w:tabs>
          <w:tab w:val="num" w:pos="2160"/>
        </w:tabs>
        <w:ind w:left="2160" w:hanging="360"/>
      </w:pPr>
      <w:rPr>
        <w:position w:val="0"/>
        <w:sz w:val="28"/>
        <w:szCs w:val="28"/>
      </w:rPr>
    </w:lvl>
    <w:lvl w:ilvl="6">
      <w:start w:val="1"/>
      <w:numFmt w:val="decimal"/>
      <w:lvlText w:val="%7."/>
      <w:lvlJc w:val="left"/>
      <w:pPr>
        <w:tabs>
          <w:tab w:val="num" w:pos="2520"/>
        </w:tabs>
        <w:ind w:left="2520" w:hanging="360"/>
      </w:pPr>
      <w:rPr>
        <w:position w:val="0"/>
        <w:sz w:val="28"/>
        <w:szCs w:val="28"/>
      </w:rPr>
    </w:lvl>
    <w:lvl w:ilvl="7">
      <w:start w:val="1"/>
      <w:numFmt w:val="lowerLetter"/>
      <w:lvlText w:val="%8."/>
      <w:lvlJc w:val="left"/>
      <w:pPr>
        <w:tabs>
          <w:tab w:val="num" w:pos="2880"/>
        </w:tabs>
        <w:ind w:left="2880" w:hanging="360"/>
      </w:pPr>
      <w:rPr>
        <w:position w:val="0"/>
        <w:sz w:val="28"/>
        <w:szCs w:val="28"/>
      </w:rPr>
    </w:lvl>
    <w:lvl w:ilvl="8">
      <w:start w:val="1"/>
      <w:numFmt w:val="lowerRoman"/>
      <w:lvlText w:val="%9."/>
      <w:lvlJc w:val="left"/>
      <w:pPr>
        <w:tabs>
          <w:tab w:val="num" w:pos="3240"/>
        </w:tabs>
        <w:ind w:left="3240" w:hanging="360"/>
      </w:pPr>
      <w:rPr>
        <w:position w:val="0"/>
        <w:sz w:val="28"/>
        <w:szCs w:val="28"/>
      </w:rPr>
    </w:lvl>
  </w:abstractNum>
  <w:abstractNum w:abstractNumId="21" w15:restartNumberingAfterBreak="0">
    <w:nsid w:val="45CE2E5B"/>
    <w:multiLevelType w:val="hybridMultilevel"/>
    <w:tmpl w:val="24F2E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3C3427"/>
    <w:multiLevelType w:val="multilevel"/>
    <w:tmpl w:val="022CAF3E"/>
    <w:styleLink w:val="List0"/>
    <w:lvl w:ilvl="0">
      <w:start w:val="8"/>
      <w:numFmt w:val="decimal"/>
      <w:lvlText w:val="%1."/>
      <w:lvlJc w:val="left"/>
      <w:pPr>
        <w:tabs>
          <w:tab w:val="num" w:pos="260"/>
        </w:tabs>
        <w:ind w:left="260" w:hanging="260"/>
      </w:pPr>
      <w:rPr>
        <w:position w:val="0"/>
      </w:rPr>
    </w:lvl>
    <w:lvl w:ilvl="1">
      <w:start w:val="1"/>
      <w:numFmt w:val="lowerLetter"/>
      <w:lvlText w:val="%2."/>
      <w:lvlJc w:val="left"/>
      <w:pPr>
        <w:tabs>
          <w:tab w:val="num" w:pos="620"/>
        </w:tabs>
        <w:ind w:left="620" w:hanging="260"/>
      </w:pPr>
      <w:rPr>
        <w:position w:val="0"/>
      </w:rPr>
    </w:lvl>
    <w:lvl w:ilvl="2">
      <w:start w:val="1"/>
      <w:numFmt w:val="lowerRoman"/>
      <w:lvlText w:val="%3."/>
      <w:lvlJc w:val="left"/>
      <w:pPr>
        <w:tabs>
          <w:tab w:val="num" w:pos="980"/>
        </w:tabs>
        <w:ind w:left="980" w:hanging="260"/>
      </w:pPr>
      <w:rPr>
        <w:position w:val="0"/>
      </w:rPr>
    </w:lvl>
    <w:lvl w:ilvl="3">
      <w:start w:val="1"/>
      <w:numFmt w:val="decimal"/>
      <w:lvlText w:val="%4."/>
      <w:lvlJc w:val="left"/>
      <w:pPr>
        <w:tabs>
          <w:tab w:val="num" w:pos="1340"/>
        </w:tabs>
        <w:ind w:left="1340" w:hanging="260"/>
      </w:pPr>
      <w:rPr>
        <w:position w:val="0"/>
      </w:rPr>
    </w:lvl>
    <w:lvl w:ilvl="4">
      <w:start w:val="1"/>
      <w:numFmt w:val="lowerLetter"/>
      <w:lvlText w:val="%5."/>
      <w:lvlJc w:val="left"/>
      <w:pPr>
        <w:tabs>
          <w:tab w:val="num" w:pos="1700"/>
        </w:tabs>
        <w:ind w:left="1700" w:hanging="260"/>
      </w:pPr>
      <w:rPr>
        <w:position w:val="0"/>
      </w:rPr>
    </w:lvl>
    <w:lvl w:ilvl="5">
      <w:start w:val="1"/>
      <w:numFmt w:val="lowerRoman"/>
      <w:lvlText w:val="%6."/>
      <w:lvlJc w:val="left"/>
      <w:pPr>
        <w:tabs>
          <w:tab w:val="num" w:pos="2060"/>
        </w:tabs>
        <w:ind w:left="2060" w:hanging="260"/>
      </w:pPr>
      <w:rPr>
        <w:position w:val="0"/>
      </w:rPr>
    </w:lvl>
    <w:lvl w:ilvl="6">
      <w:start w:val="1"/>
      <w:numFmt w:val="decimal"/>
      <w:lvlText w:val="%7."/>
      <w:lvlJc w:val="left"/>
      <w:pPr>
        <w:tabs>
          <w:tab w:val="num" w:pos="2420"/>
        </w:tabs>
        <w:ind w:left="2420" w:hanging="260"/>
      </w:pPr>
      <w:rPr>
        <w:position w:val="0"/>
      </w:rPr>
    </w:lvl>
    <w:lvl w:ilvl="7">
      <w:start w:val="1"/>
      <w:numFmt w:val="lowerLetter"/>
      <w:lvlText w:val="%8."/>
      <w:lvlJc w:val="left"/>
      <w:pPr>
        <w:tabs>
          <w:tab w:val="num" w:pos="2780"/>
        </w:tabs>
        <w:ind w:left="2780" w:hanging="260"/>
      </w:pPr>
      <w:rPr>
        <w:position w:val="0"/>
      </w:rPr>
    </w:lvl>
    <w:lvl w:ilvl="8">
      <w:start w:val="1"/>
      <w:numFmt w:val="lowerRoman"/>
      <w:lvlText w:val="%9."/>
      <w:lvlJc w:val="left"/>
      <w:pPr>
        <w:tabs>
          <w:tab w:val="num" w:pos="3140"/>
        </w:tabs>
        <w:ind w:left="3140" w:hanging="260"/>
      </w:pPr>
      <w:rPr>
        <w:position w:val="0"/>
      </w:rPr>
    </w:lvl>
  </w:abstractNum>
  <w:abstractNum w:abstractNumId="23" w15:restartNumberingAfterBreak="0">
    <w:nsid w:val="4A74111A"/>
    <w:multiLevelType w:val="multilevel"/>
    <w:tmpl w:val="2F5C2A66"/>
    <w:lvl w:ilvl="0">
      <w:start w:val="1"/>
      <w:numFmt w:val="decimal"/>
      <w:lvlText w:val="%1."/>
      <w:lvlJc w:val="left"/>
      <w:pPr>
        <w:ind w:left="760" w:hanging="400"/>
      </w:pPr>
      <w:rPr>
        <w:rFonts w:hint="default"/>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981E67"/>
    <w:multiLevelType w:val="multilevel"/>
    <w:tmpl w:val="2FFE7E38"/>
    <w:lvl w:ilvl="0">
      <w:start w:val="1"/>
      <w:numFmt w:val="decimal"/>
      <w:lvlText w:val="%1."/>
      <w:lvlJc w:val="left"/>
      <w:pPr>
        <w:ind w:left="76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D1201EA"/>
    <w:multiLevelType w:val="multilevel"/>
    <w:tmpl w:val="4CAA6716"/>
    <w:lvl w:ilvl="0">
      <w:start w:val="1"/>
      <w:numFmt w:val="decimal"/>
      <w:lvlText w:val="%1."/>
      <w:lvlJc w:val="left"/>
      <w:pPr>
        <w:tabs>
          <w:tab w:val="num" w:pos="260"/>
        </w:tabs>
        <w:ind w:left="260" w:hanging="260"/>
      </w:pPr>
      <w:rPr>
        <w:position w:val="0"/>
      </w:rPr>
    </w:lvl>
    <w:lvl w:ilvl="1">
      <w:start w:val="1"/>
      <w:numFmt w:val="lowerLetter"/>
      <w:lvlText w:val="%2."/>
      <w:lvlJc w:val="left"/>
      <w:pPr>
        <w:tabs>
          <w:tab w:val="num" w:pos="620"/>
        </w:tabs>
        <w:ind w:left="620" w:hanging="260"/>
      </w:pPr>
      <w:rPr>
        <w:position w:val="0"/>
      </w:rPr>
    </w:lvl>
    <w:lvl w:ilvl="2">
      <w:start w:val="1"/>
      <w:numFmt w:val="lowerRoman"/>
      <w:lvlText w:val="%3."/>
      <w:lvlJc w:val="left"/>
      <w:pPr>
        <w:tabs>
          <w:tab w:val="num" w:pos="980"/>
        </w:tabs>
        <w:ind w:left="980" w:hanging="260"/>
      </w:pPr>
      <w:rPr>
        <w:position w:val="0"/>
      </w:rPr>
    </w:lvl>
    <w:lvl w:ilvl="3">
      <w:start w:val="1"/>
      <w:numFmt w:val="decimal"/>
      <w:lvlText w:val="%4."/>
      <w:lvlJc w:val="left"/>
      <w:pPr>
        <w:tabs>
          <w:tab w:val="num" w:pos="1340"/>
        </w:tabs>
        <w:ind w:left="1340" w:hanging="260"/>
      </w:pPr>
      <w:rPr>
        <w:position w:val="0"/>
      </w:rPr>
    </w:lvl>
    <w:lvl w:ilvl="4">
      <w:start w:val="1"/>
      <w:numFmt w:val="lowerLetter"/>
      <w:lvlText w:val="%5."/>
      <w:lvlJc w:val="left"/>
      <w:pPr>
        <w:tabs>
          <w:tab w:val="num" w:pos="1700"/>
        </w:tabs>
        <w:ind w:left="1700" w:hanging="260"/>
      </w:pPr>
      <w:rPr>
        <w:position w:val="0"/>
      </w:rPr>
    </w:lvl>
    <w:lvl w:ilvl="5">
      <w:start w:val="1"/>
      <w:numFmt w:val="lowerRoman"/>
      <w:lvlText w:val="%6."/>
      <w:lvlJc w:val="left"/>
      <w:pPr>
        <w:tabs>
          <w:tab w:val="num" w:pos="2060"/>
        </w:tabs>
        <w:ind w:left="2060" w:hanging="260"/>
      </w:pPr>
      <w:rPr>
        <w:position w:val="0"/>
      </w:rPr>
    </w:lvl>
    <w:lvl w:ilvl="6">
      <w:start w:val="1"/>
      <w:numFmt w:val="decimal"/>
      <w:lvlText w:val="%7."/>
      <w:lvlJc w:val="left"/>
      <w:pPr>
        <w:tabs>
          <w:tab w:val="num" w:pos="2420"/>
        </w:tabs>
        <w:ind w:left="2420" w:hanging="260"/>
      </w:pPr>
      <w:rPr>
        <w:position w:val="0"/>
      </w:rPr>
    </w:lvl>
    <w:lvl w:ilvl="7">
      <w:start w:val="1"/>
      <w:numFmt w:val="lowerLetter"/>
      <w:lvlText w:val="%8."/>
      <w:lvlJc w:val="left"/>
      <w:pPr>
        <w:tabs>
          <w:tab w:val="num" w:pos="2780"/>
        </w:tabs>
        <w:ind w:left="2780" w:hanging="260"/>
      </w:pPr>
      <w:rPr>
        <w:position w:val="0"/>
      </w:rPr>
    </w:lvl>
    <w:lvl w:ilvl="8">
      <w:start w:val="1"/>
      <w:numFmt w:val="lowerRoman"/>
      <w:lvlText w:val="%9."/>
      <w:lvlJc w:val="left"/>
      <w:pPr>
        <w:tabs>
          <w:tab w:val="num" w:pos="3140"/>
        </w:tabs>
        <w:ind w:left="3140" w:hanging="260"/>
      </w:pPr>
      <w:rPr>
        <w:position w:val="0"/>
      </w:rPr>
    </w:lvl>
  </w:abstractNum>
  <w:abstractNum w:abstractNumId="26" w15:restartNumberingAfterBreak="0">
    <w:nsid w:val="4FD618ED"/>
    <w:multiLevelType w:val="hybridMultilevel"/>
    <w:tmpl w:val="279028D8"/>
    <w:lvl w:ilvl="0" w:tplc="8556DB00">
      <w:start w:val="5"/>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762597"/>
    <w:multiLevelType w:val="multilevel"/>
    <w:tmpl w:val="C0F28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7B762E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BE94F0F"/>
    <w:multiLevelType w:val="multilevel"/>
    <w:tmpl w:val="C0F28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34D4778"/>
    <w:multiLevelType w:val="multilevel"/>
    <w:tmpl w:val="C0F28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8E8551A"/>
    <w:multiLevelType w:val="multilevel"/>
    <w:tmpl w:val="B548FB80"/>
    <w:lvl w:ilvl="0">
      <w:start w:val="1"/>
      <w:numFmt w:val="decimal"/>
      <w:lvlText w:val="%1."/>
      <w:lvlJc w:val="left"/>
      <w:pPr>
        <w:ind w:left="360" w:hanging="360"/>
      </w:pPr>
      <w:rPr>
        <w:rFonts w:hint="default"/>
      </w:rPr>
    </w:lvl>
    <w:lvl w:ilvl="1">
      <w:start w:val="1"/>
      <w:numFmt w:val="decimal"/>
      <w:lvlText w:val="%1.%2."/>
      <w:lvlJc w:val="left"/>
      <w:pPr>
        <w:tabs>
          <w:tab w:val="num" w:pos="0"/>
        </w:tabs>
        <w:ind w:left="113" w:hanging="11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B8C1602"/>
    <w:multiLevelType w:val="hybridMultilevel"/>
    <w:tmpl w:val="49E65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8165F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895B85"/>
    <w:multiLevelType w:val="multilevel"/>
    <w:tmpl w:val="A90E1AB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6EDC2E66"/>
    <w:multiLevelType w:val="multilevel"/>
    <w:tmpl w:val="B548FB80"/>
    <w:lvl w:ilvl="0">
      <w:start w:val="1"/>
      <w:numFmt w:val="decimal"/>
      <w:lvlText w:val="%1."/>
      <w:lvlJc w:val="left"/>
      <w:pPr>
        <w:ind w:left="360" w:hanging="360"/>
      </w:pPr>
      <w:rPr>
        <w:rFonts w:hint="default"/>
      </w:rPr>
    </w:lvl>
    <w:lvl w:ilvl="1">
      <w:start w:val="1"/>
      <w:numFmt w:val="decimal"/>
      <w:lvlText w:val="%1.%2."/>
      <w:lvlJc w:val="left"/>
      <w:pPr>
        <w:tabs>
          <w:tab w:val="num" w:pos="0"/>
        </w:tabs>
        <w:ind w:left="113" w:hanging="11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60B49E3"/>
    <w:multiLevelType w:val="multilevel"/>
    <w:tmpl w:val="B548FB80"/>
    <w:lvl w:ilvl="0">
      <w:start w:val="1"/>
      <w:numFmt w:val="decimal"/>
      <w:lvlText w:val="%1."/>
      <w:lvlJc w:val="left"/>
      <w:pPr>
        <w:ind w:left="360" w:hanging="360"/>
      </w:pPr>
      <w:rPr>
        <w:rFonts w:hint="default"/>
      </w:rPr>
    </w:lvl>
    <w:lvl w:ilvl="1">
      <w:start w:val="1"/>
      <w:numFmt w:val="decimal"/>
      <w:lvlText w:val="%1.%2."/>
      <w:lvlJc w:val="left"/>
      <w:pPr>
        <w:tabs>
          <w:tab w:val="num" w:pos="0"/>
        </w:tabs>
        <w:ind w:left="113" w:hanging="11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6B83923"/>
    <w:multiLevelType w:val="multilevel"/>
    <w:tmpl w:val="81E4A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5F3047"/>
    <w:multiLevelType w:val="multilevel"/>
    <w:tmpl w:val="CB16B772"/>
    <w:lvl w:ilvl="0">
      <w:start w:val="1"/>
      <w:numFmt w:val="decimal"/>
      <w:lvlText w:val="%1."/>
      <w:lvlJc w:val="left"/>
      <w:pPr>
        <w:ind w:left="360" w:hanging="360"/>
      </w:pPr>
      <w:rPr>
        <w:rFonts w:hint="default"/>
      </w:rPr>
    </w:lvl>
    <w:lvl w:ilvl="1">
      <w:start w:val="1"/>
      <w:numFmt w:val="decimal"/>
      <w:lvlText w:val="%1.%2."/>
      <w:lvlJc w:val="left"/>
      <w:pPr>
        <w:ind w:left="227" w:hanging="22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EE67F95"/>
    <w:multiLevelType w:val="multilevel"/>
    <w:tmpl w:val="CEB82352"/>
    <w:lvl w:ilvl="0">
      <w:start w:val="1"/>
      <w:numFmt w:val="decimal"/>
      <w:lvlText w:val="%1."/>
      <w:lvlJc w:val="left"/>
      <w:pPr>
        <w:ind w:left="360" w:hanging="360"/>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5"/>
  </w:num>
  <w:num w:numId="2">
    <w:abstractNumId w:val="6"/>
  </w:num>
  <w:num w:numId="3">
    <w:abstractNumId w:val="22"/>
  </w:num>
  <w:num w:numId="4">
    <w:abstractNumId w:val="20"/>
  </w:num>
  <w:num w:numId="5">
    <w:abstractNumId w:val="9"/>
  </w:num>
  <w:num w:numId="6">
    <w:abstractNumId w:val="19"/>
  </w:num>
  <w:num w:numId="7">
    <w:abstractNumId w:val="30"/>
  </w:num>
  <w:num w:numId="8">
    <w:abstractNumId w:val="24"/>
  </w:num>
  <w:num w:numId="9">
    <w:abstractNumId w:val="3"/>
  </w:num>
  <w:num w:numId="10">
    <w:abstractNumId w:val="13"/>
  </w:num>
  <w:num w:numId="11">
    <w:abstractNumId w:val="23"/>
  </w:num>
  <w:num w:numId="12">
    <w:abstractNumId w:val="28"/>
  </w:num>
  <w:num w:numId="13">
    <w:abstractNumId w:val="33"/>
  </w:num>
  <w:num w:numId="14">
    <w:abstractNumId w:val="14"/>
  </w:num>
  <w:num w:numId="15">
    <w:abstractNumId w:val="39"/>
  </w:num>
  <w:num w:numId="16">
    <w:abstractNumId w:val="38"/>
  </w:num>
  <w:num w:numId="17">
    <w:abstractNumId w:val="31"/>
  </w:num>
  <w:num w:numId="18">
    <w:abstractNumId w:val="16"/>
  </w:num>
  <w:num w:numId="19">
    <w:abstractNumId w:val="10"/>
  </w:num>
  <w:num w:numId="20">
    <w:abstractNumId w:val="35"/>
  </w:num>
  <w:num w:numId="21">
    <w:abstractNumId w:val="36"/>
  </w:num>
  <w:num w:numId="22">
    <w:abstractNumId w:val="11"/>
  </w:num>
  <w:num w:numId="23">
    <w:abstractNumId w:val="5"/>
  </w:num>
  <w:num w:numId="24">
    <w:abstractNumId w:val="29"/>
  </w:num>
  <w:num w:numId="25">
    <w:abstractNumId w:val="18"/>
  </w:num>
  <w:num w:numId="26">
    <w:abstractNumId w:val="15"/>
  </w:num>
  <w:num w:numId="27">
    <w:abstractNumId w:val="21"/>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0"/>
  </w:num>
  <w:num w:numId="31">
    <w:abstractNumId w:val="1"/>
  </w:num>
  <w:num w:numId="32">
    <w:abstractNumId w:val="2"/>
  </w:num>
  <w:num w:numId="33">
    <w:abstractNumId w:val="34"/>
  </w:num>
  <w:num w:numId="34">
    <w:abstractNumId w:val="4"/>
  </w:num>
  <w:num w:numId="35">
    <w:abstractNumId w:val="12"/>
  </w:num>
  <w:num w:numId="36">
    <w:abstractNumId w:val="8"/>
  </w:num>
  <w:num w:numId="37">
    <w:abstractNumId w:val="17"/>
  </w:num>
  <w:num w:numId="38">
    <w:abstractNumId w:val="32"/>
  </w:num>
  <w:num w:numId="39">
    <w:abstractNumId w:val="7"/>
  </w:num>
  <w:num w:numId="40">
    <w:abstractNumId w:val="37"/>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60E"/>
    <w:rsid w:val="000002CF"/>
    <w:rsid w:val="000004CB"/>
    <w:rsid w:val="0000061D"/>
    <w:rsid w:val="000008AA"/>
    <w:rsid w:val="00000D86"/>
    <w:rsid w:val="0000163C"/>
    <w:rsid w:val="0000245C"/>
    <w:rsid w:val="0000279B"/>
    <w:rsid w:val="00002CB1"/>
    <w:rsid w:val="00002F5F"/>
    <w:rsid w:val="0000301A"/>
    <w:rsid w:val="0000479F"/>
    <w:rsid w:val="00004AC1"/>
    <w:rsid w:val="00004BB1"/>
    <w:rsid w:val="00004E0A"/>
    <w:rsid w:val="00004F09"/>
    <w:rsid w:val="0000504B"/>
    <w:rsid w:val="000053D0"/>
    <w:rsid w:val="0000551E"/>
    <w:rsid w:val="0000677B"/>
    <w:rsid w:val="000068D8"/>
    <w:rsid w:val="00006982"/>
    <w:rsid w:val="00006D4C"/>
    <w:rsid w:val="000071A8"/>
    <w:rsid w:val="000112D7"/>
    <w:rsid w:val="000126FD"/>
    <w:rsid w:val="000160A9"/>
    <w:rsid w:val="00016587"/>
    <w:rsid w:val="00017D93"/>
    <w:rsid w:val="0002018B"/>
    <w:rsid w:val="00020340"/>
    <w:rsid w:val="00020342"/>
    <w:rsid w:val="00021FD5"/>
    <w:rsid w:val="00022386"/>
    <w:rsid w:val="00022480"/>
    <w:rsid w:val="00022D54"/>
    <w:rsid w:val="000239BC"/>
    <w:rsid w:val="00023AA7"/>
    <w:rsid w:val="00024BBA"/>
    <w:rsid w:val="00024D7B"/>
    <w:rsid w:val="00025348"/>
    <w:rsid w:val="00025DF8"/>
    <w:rsid w:val="00030A5C"/>
    <w:rsid w:val="00030DE8"/>
    <w:rsid w:val="00030E92"/>
    <w:rsid w:val="00031D18"/>
    <w:rsid w:val="00032B4C"/>
    <w:rsid w:val="000331ED"/>
    <w:rsid w:val="0003324D"/>
    <w:rsid w:val="00034111"/>
    <w:rsid w:val="00034B6C"/>
    <w:rsid w:val="0003628F"/>
    <w:rsid w:val="0003636E"/>
    <w:rsid w:val="00036A62"/>
    <w:rsid w:val="00040168"/>
    <w:rsid w:val="00040345"/>
    <w:rsid w:val="000404D6"/>
    <w:rsid w:val="000412F2"/>
    <w:rsid w:val="0004263C"/>
    <w:rsid w:val="00045EEF"/>
    <w:rsid w:val="00046DAF"/>
    <w:rsid w:val="00046F65"/>
    <w:rsid w:val="000473D4"/>
    <w:rsid w:val="000507F9"/>
    <w:rsid w:val="000509F1"/>
    <w:rsid w:val="00050A06"/>
    <w:rsid w:val="00050E5A"/>
    <w:rsid w:val="000547D4"/>
    <w:rsid w:val="00054E33"/>
    <w:rsid w:val="000563AF"/>
    <w:rsid w:val="00056541"/>
    <w:rsid w:val="00056E01"/>
    <w:rsid w:val="00060022"/>
    <w:rsid w:val="000606C9"/>
    <w:rsid w:val="00060E5F"/>
    <w:rsid w:val="00061356"/>
    <w:rsid w:val="00061DE4"/>
    <w:rsid w:val="00061F3C"/>
    <w:rsid w:val="00062488"/>
    <w:rsid w:val="0006266B"/>
    <w:rsid w:val="00065A03"/>
    <w:rsid w:val="00066CE1"/>
    <w:rsid w:val="00066D54"/>
    <w:rsid w:val="00066E9C"/>
    <w:rsid w:val="0006725A"/>
    <w:rsid w:val="00067800"/>
    <w:rsid w:val="00070DD8"/>
    <w:rsid w:val="000710D6"/>
    <w:rsid w:val="00071B23"/>
    <w:rsid w:val="00072F09"/>
    <w:rsid w:val="0007442F"/>
    <w:rsid w:val="00074579"/>
    <w:rsid w:val="00074C11"/>
    <w:rsid w:val="00074CEE"/>
    <w:rsid w:val="00077158"/>
    <w:rsid w:val="00077555"/>
    <w:rsid w:val="00077FCC"/>
    <w:rsid w:val="000801B7"/>
    <w:rsid w:val="00080205"/>
    <w:rsid w:val="0008044E"/>
    <w:rsid w:val="00080DEC"/>
    <w:rsid w:val="00081299"/>
    <w:rsid w:val="0008130C"/>
    <w:rsid w:val="000815B4"/>
    <w:rsid w:val="000818BC"/>
    <w:rsid w:val="0008225A"/>
    <w:rsid w:val="00082322"/>
    <w:rsid w:val="00082DE1"/>
    <w:rsid w:val="00083394"/>
    <w:rsid w:val="0008394E"/>
    <w:rsid w:val="00084A6E"/>
    <w:rsid w:val="0008583A"/>
    <w:rsid w:val="00085E18"/>
    <w:rsid w:val="00086498"/>
    <w:rsid w:val="00086B8E"/>
    <w:rsid w:val="00086F64"/>
    <w:rsid w:val="0009203E"/>
    <w:rsid w:val="000922E3"/>
    <w:rsid w:val="000928C9"/>
    <w:rsid w:val="000946B1"/>
    <w:rsid w:val="000946FD"/>
    <w:rsid w:val="0009473D"/>
    <w:rsid w:val="00095567"/>
    <w:rsid w:val="00095ABB"/>
    <w:rsid w:val="00095DF7"/>
    <w:rsid w:val="00096BA7"/>
    <w:rsid w:val="000972F6"/>
    <w:rsid w:val="00097767"/>
    <w:rsid w:val="000A036F"/>
    <w:rsid w:val="000A09A9"/>
    <w:rsid w:val="000A1189"/>
    <w:rsid w:val="000A20C0"/>
    <w:rsid w:val="000A2DCC"/>
    <w:rsid w:val="000A3927"/>
    <w:rsid w:val="000A430E"/>
    <w:rsid w:val="000A45DA"/>
    <w:rsid w:val="000A4D1F"/>
    <w:rsid w:val="000A54C2"/>
    <w:rsid w:val="000A60BC"/>
    <w:rsid w:val="000A62D7"/>
    <w:rsid w:val="000A6407"/>
    <w:rsid w:val="000A64EA"/>
    <w:rsid w:val="000A68EB"/>
    <w:rsid w:val="000A71AB"/>
    <w:rsid w:val="000A7225"/>
    <w:rsid w:val="000B01AD"/>
    <w:rsid w:val="000B0304"/>
    <w:rsid w:val="000B1AC2"/>
    <w:rsid w:val="000B256E"/>
    <w:rsid w:val="000B33A2"/>
    <w:rsid w:val="000B4E82"/>
    <w:rsid w:val="000B5303"/>
    <w:rsid w:val="000B5388"/>
    <w:rsid w:val="000B6FBE"/>
    <w:rsid w:val="000B72CD"/>
    <w:rsid w:val="000C05F0"/>
    <w:rsid w:val="000C067E"/>
    <w:rsid w:val="000C08C0"/>
    <w:rsid w:val="000C0E41"/>
    <w:rsid w:val="000C0E46"/>
    <w:rsid w:val="000C1215"/>
    <w:rsid w:val="000C1F98"/>
    <w:rsid w:val="000C2756"/>
    <w:rsid w:val="000C2868"/>
    <w:rsid w:val="000C2A0A"/>
    <w:rsid w:val="000C3524"/>
    <w:rsid w:val="000C5148"/>
    <w:rsid w:val="000C6380"/>
    <w:rsid w:val="000C6A8E"/>
    <w:rsid w:val="000C6DDD"/>
    <w:rsid w:val="000C7F82"/>
    <w:rsid w:val="000D1081"/>
    <w:rsid w:val="000D17EF"/>
    <w:rsid w:val="000D1B2E"/>
    <w:rsid w:val="000D2132"/>
    <w:rsid w:val="000D272C"/>
    <w:rsid w:val="000D35E7"/>
    <w:rsid w:val="000D3B8D"/>
    <w:rsid w:val="000D425D"/>
    <w:rsid w:val="000D4293"/>
    <w:rsid w:val="000D44A6"/>
    <w:rsid w:val="000D4D18"/>
    <w:rsid w:val="000D77CB"/>
    <w:rsid w:val="000E17A4"/>
    <w:rsid w:val="000E2876"/>
    <w:rsid w:val="000E2D80"/>
    <w:rsid w:val="000E2F2C"/>
    <w:rsid w:val="000E2F9A"/>
    <w:rsid w:val="000E3979"/>
    <w:rsid w:val="000E3A8E"/>
    <w:rsid w:val="000E536B"/>
    <w:rsid w:val="000E58F1"/>
    <w:rsid w:val="000E6F34"/>
    <w:rsid w:val="000F0939"/>
    <w:rsid w:val="000F146B"/>
    <w:rsid w:val="000F2B8A"/>
    <w:rsid w:val="000F6B60"/>
    <w:rsid w:val="000F7F41"/>
    <w:rsid w:val="001016AC"/>
    <w:rsid w:val="0010185C"/>
    <w:rsid w:val="00102E44"/>
    <w:rsid w:val="0010367C"/>
    <w:rsid w:val="00104676"/>
    <w:rsid w:val="00104937"/>
    <w:rsid w:val="001054E2"/>
    <w:rsid w:val="0010557F"/>
    <w:rsid w:val="00105639"/>
    <w:rsid w:val="00105A81"/>
    <w:rsid w:val="001064DA"/>
    <w:rsid w:val="00107F4B"/>
    <w:rsid w:val="00110889"/>
    <w:rsid w:val="00110C8B"/>
    <w:rsid w:val="0011173F"/>
    <w:rsid w:val="00111CCD"/>
    <w:rsid w:val="00113AE3"/>
    <w:rsid w:val="00114009"/>
    <w:rsid w:val="00114109"/>
    <w:rsid w:val="0011416A"/>
    <w:rsid w:val="0011426C"/>
    <w:rsid w:val="00114446"/>
    <w:rsid w:val="00114707"/>
    <w:rsid w:val="00116249"/>
    <w:rsid w:val="001162DD"/>
    <w:rsid w:val="001166B6"/>
    <w:rsid w:val="00116F14"/>
    <w:rsid w:val="001172E8"/>
    <w:rsid w:val="0011790A"/>
    <w:rsid w:val="00117AB4"/>
    <w:rsid w:val="00120F5A"/>
    <w:rsid w:val="0012127B"/>
    <w:rsid w:val="00121764"/>
    <w:rsid w:val="00121F63"/>
    <w:rsid w:val="00122213"/>
    <w:rsid w:val="0012246D"/>
    <w:rsid w:val="00122493"/>
    <w:rsid w:val="001241A1"/>
    <w:rsid w:val="001244CE"/>
    <w:rsid w:val="00127BF1"/>
    <w:rsid w:val="00131650"/>
    <w:rsid w:val="00131A7A"/>
    <w:rsid w:val="0013235A"/>
    <w:rsid w:val="00132450"/>
    <w:rsid w:val="00133325"/>
    <w:rsid w:val="00133A47"/>
    <w:rsid w:val="00134461"/>
    <w:rsid w:val="0013458B"/>
    <w:rsid w:val="001350DC"/>
    <w:rsid w:val="00135737"/>
    <w:rsid w:val="0013576C"/>
    <w:rsid w:val="00135830"/>
    <w:rsid w:val="00135A2F"/>
    <w:rsid w:val="00136477"/>
    <w:rsid w:val="00136727"/>
    <w:rsid w:val="00136CA6"/>
    <w:rsid w:val="001377BE"/>
    <w:rsid w:val="001401DB"/>
    <w:rsid w:val="00141404"/>
    <w:rsid w:val="00141831"/>
    <w:rsid w:val="001424F7"/>
    <w:rsid w:val="001430E5"/>
    <w:rsid w:val="001432ED"/>
    <w:rsid w:val="001446C5"/>
    <w:rsid w:val="00144BAF"/>
    <w:rsid w:val="001452CF"/>
    <w:rsid w:val="001462BB"/>
    <w:rsid w:val="0014670B"/>
    <w:rsid w:val="00147750"/>
    <w:rsid w:val="00147E44"/>
    <w:rsid w:val="00150B9D"/>
    <w:rsid w:val="00150E34"/>
    <w:rsid w:val="0015179B"/>
    <w:rsid w:val="00152445"/>
    <w:rsid w:val="00152BC2"/>
    <w:rsid w:val="001530E7"/>
    <w:rsid w:val="001531C5"/>
    <w:rsid w:val="0015340A"/>
    <w:rsid w:val="00153B0D"/>
    <w:rsid w:val="00154C61"/>
    <w:rsid w:val="00154F09"/>
    <w:rsid w:val="001560D7"/>
    <w:rsid w:val="0015614A"/>
    <w:rsid w:val="00156182"/>
    <w:rsid w:val="001563C0"/>
    <w:rsid w:val="00156838"/>
    <w:rsid w:val="001568F3"/>
    <w:rsid w:val="00157195"/>
    <w:rsid w:val="001604E7"/>
    <w:rsid w:val="0016165A"/>
    <w:rsid w:val="00161995"/>
    <w:rsid w:val="001635AF"/>
    <w:rsid w:val="001635BC"/>
    <w:rsid w:val="001636D4"/>
    <w:rsid w:val="00163FC2"/>
    <w:rsid w:val="00164DDB"/>
    <w:rsid w:val="00166111"/>
    <w:rsid w:val="00167CEE"/>
    <w:rsid w:val="00170001"/>
    <w:rsid w:val="00170C04"/>
    <w:rsid w:val="001711CE"/>
    <w:rsid w:val="001716C7"/>
    <w:rsid w:val="00171774"/>
    <w:rsid w:val="00171B3F"/>
    <w:rsid w:val="00172161"/>
    <w:rsid w:val="001723A7"/>
    <w:rsid w:val="00172977"/>
    <w:rsid w:val="00172C54"/>
    <w:rsid w:val="00172CEA"/>
    <w:rsid w:val="00172DAC"/>
    <w:rsid w:val="00174205"/>
    <w:rsid w:val="001750F3"/>
    <w:rsid w:val="001755F2"/>
    <w:rsid w:val="00175F14"/>
    <w:rsid w:val="001769F4"/>
    <w:rsid w:val="001770A1"/>
    <w:rsid w:val="001778EE"/>
    <w:rsid w:val="001804AC"/>
    <w:rsid w:val="00180DCB"/>
    <w:rsid w:val="001815C6"/>
    <w:rsid w:val="00181F69"/>
    <w:rsid w:val="0018214F"/>
    <w:rsid w:val="001823FC"/>
    <w:rsid w:val="00182E77"/>
    <w:rsid w:val="0018499B"/>
    <w:rsid w:val="0018562F"/>
    <w:rsid w:val="001865BC"/>
    <w:rsid w:val="00186B7D"/>
    <w:rsid w:val="001907BE"/>
    <w:rsid w:val="00190999"/>
    <w:rsid w:val="0019129E"/>
    <w:rsid w:val="00192682"/>
    <w:rsid w:val="00192A8E"/>
    <w:rsid w:val="001930FE"/>
    <w:rsid w:val="00193101"/>
    <w:rsid w:val="00194900"/>
    <w:rsid w:val="00194B9E"/>
    <w:rsid w:val="00194DAE"/>
    <w:rsid w:val="001973E2"/>
    <w:rsid w:val="001A085D"/>
    <w:rsid w:val="001A0887"/>
    <w:rsid w:val="001A0D30"/>
    <w:rsid w:val="001A317C"/>
    <w:rsid w:val="001A3F7A"/>
    <w:rsid w:val="001A4155"/>
    <w:rsid w:val="001A5268"/>
    <w:rsid w:val="001A5A60"/>
    <w:rsid w:val="001A636A"/>
    <w:rsid w:val="001A6414"/>
    <w:rsid w:val="001A6A64"/>
    <w:rsid w:val="001A73E1"/>
    <w:rsid w:val="001A7865"/>
    <w:rsid w:val="001A7DF1"/>
    <w:rsid w:val="001B0270"/>
    <w:rsid w:val="001B0D8B"/>
    <w:rsid w:val="001B1327"/>
    <w:rsid w:val="001B26D1"/>
    <w:rsid w:val="001B2A6E"/>
    <w:rsid w:val="001B31EB"/>
    <w:rsid w:val="001B3A81"/>
    <w:rsid w:val="001B3B9A"/>
    <w:rsid w:val="001B3E5F"/>
    <w:rsid w:val="001B461E"/>
    <w:rsid w:val="001B47F3"/>
    <w:rsid w:val="001B4D90"/>
    <w:rsid w:val="001B5BF4"/>
    <w:rsid w:val="001B6B65"/>
    <w:rsid w:val="001B6D61"/>
    <w:rsid w:val="001C076A"/>
    <w:rsid w:val="001C0772"/>
    <w:rsid w:val="001C0E93"/>
    <w:rsid w:val="001C1F12"/>
    <w:rsid w:val="001C3D8A"/>
    <w:rsid w:val="001C3E97"/>
    <w:rsid w:val="001C4E9C"/>
    <w:rsid w:val="001C53FC"/>
    <w:rsid w:val="001C6184"/>
    <w:rsid w:val="001C6C13"/>
    <w:rsid w:val="001D00DA"/>
    <w:rsid w:val="001D0B8B"/>
    <w:rsid w:val="001D162A"/>
    <w:rsid w:val="001D1844"/>
    <w:rsid w:val="001D26B8"/>
    <w:rsid w:val="001D26FD"/>
    <w:rsid w:val="001D2C4D"/>
    <w:rsid w:val="001D426F"/>
    <w:rsid w:val="001D4ED0"/>
    <w:rsid w:val="001D6AC1"/>
    <w:rsid w:val="001D7273"/>
    <w:rsid w:val="001E01A4"/>
    <w:rsid w:val="001E06E7"/>
    <w:rsid w:val="001E1FF7"/>
    <w:rsid w:val="001E2982"/>
    <w:rsid w:val="001E2AB2"/>
    <w:rsid w:val="001E2B0A"/>
    <w:rsid w:val="001E30FA"/>
    <w:rsid w:val="001E3228"/>
    <w:rsid w:val="001E396C"/>
    <w:rsid w:val="001E3E5D"/>
    <w:rsid w:val="001E4623"/>
    <w:rsid w:val="001E537A"/>
    <w:rsid w:val="001E5422"/>
    <w:rsid w:val="001E5DDE"/>
    <w:rsid w:val="001E64F4"/>
    <w:rsid w:val="001E6977"/>
    <w:rsid w:val="001E6D5D"/>
    <w:rsid w:val="001E797D"/>
    <w:rsid w:val="001F0D1A"/>
    <w:rsid w:val="001F1634"/>
    <w:rsid w:val="001F28CB"/>
    <w:rsid w:val="001F3131"/>
    <w:rsid w:val="001F3AF1"/>
    <w:rsid w:val="001F41FB"/>
    <w:rsid w:val="001F511F"/>
    <w:rsid w:val="001F56A8"/>
    <w:rsid w:val="001F6340"/>
    <w:rsid w:val="001F677D"/>
    <w:rsid w:val="001F6FCD"/>
    <w:rsid w:val="001F7894"/>
    <w:rsid w:val="002000E1"/>
    <w:rsid w:val="002007E0"/>
    <w:rsid w:val="00200943"/>
    <w:rsid w:val="002035C4"/>
    <w:rsid w:val="00204924"/>
    <w:rsid w:val="00205B37"/>
    <w:rsid w:val="00205E84"/>
    <w:rsid w:val="002066D2"/>
    <w:rsid w:val="00207EA9"/>
    <w:rsid w:val="002121AF"/>
    <w:rsid w:val="00212384"/>
    <w:rsid w:val="00212590"/>
    <w:rsid w:val="002127DA"/>
    <w:rsid w:val="00213438"/>
    <w:rsid w:val="00213D21"/>
    <w:rsid w:val="00213E7F"/>
    <w:rsid w:val="00214395"/>
    <w:rsid w:val="00214453"/>
    <w:rsid w:val="00215348"/>
    <w:rsid w:val="002153DF"/>
    <w:rsid w:val="0021756D"/>
    <w:rsid w:val="002206DD"/>
    <w:rsid w:val="00220990"/>
    <w:rsid w:val="002209A6"/>
    <w:rsid w:val="00220DB0"/>
    <w:rsid w:val="0022163E"/>
    <w:rsid w:val="0022271C"/>
    <w:rsid w:val="002227BE"/>
    <w:rsid w:val="00222E69"/>
    <w:rsid w:val="00223207"/>
    <w:rsid w:val="00224A8F"/>
    <w:rsid w:val="00226068"/>
    <w:rsid w:val="00226282"/>
    <w:rsid w:val="00227A60"/>
    <w:rsid w:val="00231436"/>
    <w:rsid w:val="00231E29"/>
    <w:rsid w:val="00231FEE"/>
    <w:rsid w:val="002325E1"/>
    <w:rsid w:val="00232ED7"/>
    <w:rsid w:val="0023381E"/>
    <w:rsid w:val="00234033"/>
    <w:rsid w:val="00234B1F"/>
    <w:rsid w:val="00237C59"/>
    <w:rsid w:val="002404AF"/>
    <w:rsid w:val="002404C4"/>
    <w:rsid w:val="002405F6"/>
    <w:rsid w:val="00240A2C"/>
    <w:rsid w:val="00240CDE"/>
    <w:rsid w:val="002414DA"/>
    <w:rsid w:val="00242237"/>
    <w:rsid w:val="00243787"/>
    <w:rsid w:val="00243837"/>
    <w:rsid w:val="0024447D"/>
    <w:rsid w:val="00244BE1"/>
    <w:rsid w:val="00245089"/>
    <w:rsid w:val="00245259"/>
    <w:rsid w:val="002458D4"/>
    <w:rsid w:val="00246410"/>
    <w:rsid w:val="002465B4"/>
    <w:rsid w:val="0024748A"/>
    <w:rsid w:val="00247CAC"/>
    <w:rsid w:val="002503ED"/>
    <w:rsid w:val="002536CB"/>
    <w:rsid w:val="00254EBE"/>
    <w:rsid w:val="002575F1"/>
    <w:rsid w:val="00257962"/>
    <w:rsid w:val="00257BDD"/>
    <w:rsid w:val="00257C76"/>
    <w:rsid w:val="00260054"/>
    <w:rsid w:val="00260480"/>
    <w:rsid w:val="00260F97"/>
    <w:rsid w:val="00261A3B"/>
    <w:rsid w:val="002624E7"/>
    <w:rsid w:val="00263140"/>
    <w:rsid w:val="002636B4"/>
    <w:rsid w:val="00263816"/>
    <w:rsid w:val="00263F59"/>
    <w:rsid w:val="0026432D"/>
    <w:rsid w:val="00264706"/>
    <w:rsid w:val="002657B5"/>
    <w:rsid w:val="002659D5"/>
    <w:rsid w:val="002661E1"/>
    <w:rsid w:val="00266CFA"/>
    <w:rsid w:val="00266FF0"/>
    <w:rsid w:val="002670C3"/>
    <w:rsid w:val="00270A4F"/>
    <w:rsid w:val="00270B22"/>
    <w:rsid w:val="00270D5F"/>
    <w:rsid w:val="00270EE4"/>
    <w:rsid w:val="00271182"/>
    <w:rsid w:val="00271210"/>
    <w:rsid w:val="00272698"/>
    <w:rsid w:val="00272D2A"/>
    <w:rsid w:val="002734C6"/>
    <w:rsid w:val="00274F54"/>
    <w:rsid w:val="00275ABC"/>
    <w:rsid w:val="00277860"/>
    <w:rsid w:val="00277E41"/>
    <w:rsid w:val="00280B51"/>
    <w:rsid w:val="00281765"/>
    <w:rsid w:val="00281FAB"/>
    <w:rsid w:val="0028255E"/>
    <w:rsid w:val="00282E4B"/>
    <w:rsid w:val="0028477E"/>
    <w:rsid w:val="0028479A"/>
    <w:rsid w:val="00284B09"/>
    <w:rsid w:val="00284F6F"/>
    <w:rsid w:val="00287608"/>
    <w:rsid w:val="00287A9F"/>
    <w:rsid w:val="00287BBA"/>
    <w:rsid w:val="00287D1A"/>
    <w:rsid w:val="002901BB"/>
    <w:rsid w:val="00290507"/>
    <w:rsid w:val="002909F1"/>
    <w:rsid w:val="002936EE"/>
    <w:rsid w:val="00293E70"/>
    <w:rsid w:val="00294C9F"/>
    <w:rsid w:val="00295048"/>
    <w:rsid w:val="00295251"/>
    <w:rsid w:val="00295768"/>
    <w:rsid w:val="00296FA8"/>
    <w:rsid w:val="002973D3"/>
    <w:rsid w:val="00297EF1"/>
    <w:rsid w:val="002A2199"/>
    <w:rsid w:val="002A2521"/>
    <w:rsid w:val="002A33A2"/>
    <w:rsid w:val="002A3BC0"/>
    <w:rsid w:val="002A3C07"/>
    <w:rsid w:val="002A404D"/>
    <w:rsid w:val="002A47E2"/>
    <w:rsid w:val="002A487D"/>
    <w:rsid w:val="002A4C96"/>
    <w:rsid w:val="002A590D"/>
    <w:rsid w:val="002A5B76"/>
    <w:rsid w:val="002A60CD"/>
    <w:rsid w:val="002A79A9"/>
    <w:rsid w:val="002B04F3"/>
    <w:rsid w:val="002B1BDF"/>
    <w:rsid w:val="002B233F"/>
    <w:rsid w:val="002B2380"/>
    <w:rsid w:val="002B346C"/>
    <w:rsid w:val="002B38D9"/>
    <w:rsid w:val="002B3FBB"/>
    <w:rsid w:val="002B5004"/>
    <w:rsid w:val="002B5005"/>
    <w:rsid w:val="002B65A9"/>
    <w:rsid w:val="002B70B6"/>
    <w:rsid w:val="002B78E9"/>
    <w:rsid w:val="002B78F3"/>
    <w:rsid w:val="002B7E8F"/>
    <w:rsid w:val="002C14B4"/>
    <w:rsid w:val="002C15C0"/>
    <w:rsid w:val="002C19F4"/>
    <w:rsid w:val="002C278C"/>
    <w:rsid w:val="002C2BB9"/>
    <w:rsid w:val="002C3006"/>
    <w:rsid w:val="002C315D"/>
    <w:rsid w:val="002C3598"/>
    <w:rsid w:val="002C3F0E"/>
    <w:rsid w:val="002C487C"/>
    <w:rsid w:val="002C55C9"/>
    <w:rsid w:val="002C59A0"/>
    <w:rsid w:val="002C680B"/>
    <w:rsid w:val="002C75F5"/>
    <w:rsid w:val="002D0263"/>
    <w:rsid w:val="002D1237"/>
    <w:rsid w:val="002D1DB8"/>
    <w:rsid w:val="002D20AF"/>
    <w:rsid w:val="002D244C"/>
    <w:rsid w:val="002D2637"/>
    <w:rsid w:val="002D3275"/>
    <w:rsid w:val="002D34F4"/>
    <w:rsid w:val="002D3ABC"/>
    <w:rsid w:val="002D40DD"/>
    <w:rsid w:val="002D42A5"/>
    <w:rsid w:val="002D4357"/>
    <w:rsid w:val="002D43B0"/>
    <w:rsid w:val="002D4D2A"/>
    <w:rsid w:val="002D5360"/>
    <w:rsid w:val="002D5677"/>
    <w:rsid w:val="002D69BB"/>
    <w:rsid w:val="002D6EB5"/>
    <w:rsid w:val="002D77F4"/>
    <w:rsid w:val="002D7E5B"/>
    <w:rsid w:val="002E009C"/>
    <w:rsid w:val="002E04B8"/>
    <w:rsid w:val="002E0EA8"/>
    <w:rsid w:val="002E17F2"/>
    <w:rsid w:val="002E1F27"/>
    <w:rsid w:val="002E4220"/>
    <w:rsid w:val="002E49C0"/>
    <w:rsid w:val="002E4EF2"/>
    <w:rsid w:val="002E5341"/>
    <w:rsid w:val="002E5A35"/>
    <w:rsid w:val="002E6CA1"/>
    <w:rsid w:val="002E7FA9"/>
    <w:rsid w:val="002F0B38"/>
    <w:rsid w:val="002F0CD8"/>
    <w:rsid w:val="002F2C84"/>
    <w:rsid w:val="002F30EC"/>
    <w:rsid w:val="002F3135"/>
    <w:rsid w:val="002F33D2"/>
    <w:rsid w:val="002F3771"/>
    <w:rsid w:val="002F3C2C"/>
    <w:rsid w:val="002F3D8F"/>
    <w:rsid w:val="002F40B1"/>
    <w:rsid w:val="002F4BD4"/>
    <w:rsid w:val="002F5442"/>
    <w:rsid w:val="002F5592"/>
    <w:rsid w:val="002F5907"/>
    <w:rsid w:val="002F61C6"/>
    <w:rsid w:val="002F677B"/>
    <w:rsid w:val="002F68DE"/>
    <w:rsid w:val="002F6F38"/>
    <w:rsid w:val="0030016B"/>
    <w:rsid w:val="0030060F"/>
    <w:rsid w:val="00300A1A"/>
    <w:rsid w:val="00300AB3"/>
    <w:rsid w:val="00300B42"/>
    <w:rsid w:val="00300E0A"/>
    <w:rsid w:val="00301291"/>
    <w:rsid w:val="0030141E"/>
    <w:rsid w:val="00302EBB"/>
    <w:rsid w:val="00302F36"/>
    <w:rsid w:val="00303174"/>
    <w:rsid w:val="003037DC"/>
    <w:rsid w:val="003041E3"/>
    <w:rsid w:val="0030498D"/>
    <w:rsid w:val="00304A7B"/>
    <w:rsid w:val="003055AB"/>
    <w:rsid w:val="0030638B"/>
    <w:rsid w:val="003076B9"/>
    <w:rsid w:val="00307791"/>
    <w:rsid w:val="00307A59"/>
    <w:rsid w:val="003108B9"/>
    <w:rsid w:val="00311EA8"/>
    <w:rsid w:val="00312CCD"/>
    <w:rsid w:val="00312D5C"/>
    <w:rsid w:val="003137C7"/>
    <w:rsid w:val="00313B71"/>
    <w:rsid w:val="003144D3"/>
    <w:rsid w:val="003149CB"/>
    <w:rsid w:val="00315804"/>
    <w:rsid w:val="0031673B"/>
    <w:rsid w:val="00317702"/>
    <w:rsid w:val="0032024B"/>
    <w:rsid w:val="0032217C"/>
    <w:rsid w:val="0032252F"/>
    <w:rsid w:val="003226EF"/>
    <w:rsid w:val="00322BF9"/>
    <w:rsid w:val="00322D47"/>
    <w:rsid w:val="003241E4"/>
    <w:rsid w:val="00325641"/>
    <w:rsid w:val="0032768D"/>
    <w:rsid w:val="0033087D"/>
    <w:rsid w:val="00330C2C"/>
    <w:rsid w:val="00330F4A"/>
    <w:rsid w:val="003315CF"/>
    <w:rsid w:val="0033248A"/>
    <w:rsid w:val="00333F1B"/>
    <w:rsid w:val="00333F81"/>
    <w:rsid w:val="00334333"/>
    <w:rsid w:val="00334E82"/>
    <w:rsid w:val="0033585B"/>
    <w:rsid w:val="00335D6A"/>
    <w:rsid w:val="00336B4D"/>
    <w:rsid w:val="00336E94"/>
    <w:rsid w:val="003372EA"/>
    <w:rsid w:val="00337451"/>
    <w:rsid w:val="003375EB"/>
    <w:rsid w:val="00337C70"/>
    <w:rsid w:val="003403F4"/>
    <w:rsid w:val="003405CA"/>
    <w:rsid w:val="00340B15"/>
    <w:rsid w:val="00341251"/>
    <w:rsid w:val="00342306"/>
    <w:rsid w:val="00342C29"/>
    <w:rsid w:val="00343624"/>
    <w:rsid w:val="0034375A"/>
    <w:rsid w:val="00343A63"/>
    <w:rsid w:val="00344359"/>
    <w:rsid w:val="00347516"/>
    <w:rsid w:val="0034787E"/>
    <w:rsid w:val="00347976"/>
    <w:rsid w:val="003508D0"/>
    <w:rsid w:val="003515A4"/>
    <w:rsid w:val="003517FF"/>
    <w:rsid w:val="00351D57"/>
    <w:rsid w:val="0035211F"/>
    <w:rsid w:val="003527AD"/>
    <w:rsid w:val="00354946"/>
    <w:rsid w:val="00354E39"/>
    <w:rsid w:val="00354EAD"/>
    <w:rsid w:val="003553D1"/>
    <w:rsid w:val="00355BDE"/>
    <w:rsid w:val="00355C33"/>
    <w:rsid w:val="00355DAE"/>
    <w:rsid w:val="003562C6"/>
    <w:rsid w:val="003563F7"/>
    <w:rsid w:val="003564D3"/>
    <w:rsid w:val="0035683D"/>
    <w:rsid w:val="00356D7D"/>
    <w:rsid w:val="00356FFA"/>
    <w:rsid w:val="00357493"/>
    <w:rsid w:val="00357DAD"/>
    <w:rsid w:val="0036015C"/>
    <w:rsid w:val="00361167"/>
    <w:rsid w:val="003612B1"/>
    <w:rsid w:val="00361405"/>
    <w:rsid w:val="003615E5"/>
    <w:rsid w:val="00361E23"/>
    <w:rsid w:val="003643A6"/>
    <w:rsid w:val="003643B9"/>
    <w:rsid w:val="0036509E"/>
    <w:rsid w:val="00365D1A"/>
    <w:rsid w:val="00366336"/>
    <w:rsid w:val="00366A99"/>
    <w:rsid w:val="003670CE"/>
    <w:rsid w:val="00367B47"/>
    <w:rsid w:val="00370163"/>
    <w:rsid w:val="0037067B"/>
    <w:rsid w:val="003712F0"/>
    <w:rsid w:val="00372099"/>
    <w:rsid w:val="0037266B"/>
    <w:rsid w:val="00373EA6"/>
    <w:rsid w:val="003741F2"/>
    <w:rsid w:val="00375383"/>
    <w:rsid w:val="003754CD"/>
    <w:rsid w:val="003755F9"/>
    <w:rsid w:val="00376521"/>
    <w:rsid w:val="003773A9"/>
    <w:rsid w:val="00377D68"/>
    <w:rsid w:val="003801BD"/>
    <w:rsid w:val="00380611"/>
    <w:rsid w:val="00381CEA"/>
    <w:rsid w:val="0038315F"/>
    <w:rsid w:val="00383C14"/>
    <w:rsid w:val="003843BA"/>
    <w:rsid w:val="00384CBB"/>
    <w:rsid w:val="00384DF9"/>
    <w:rsid w:val="003853BC"/>
    <w:rsid w:val="00385A16"/>
    <w:rsid w:val="00386197"/>
    <w:rsid w:val="00386551"/>
    <w:rsid w:val="00390696"/>
    <w:rsid w:val="00391248"/>
    <w:rsid w:val="00391353"/>
    <w:rsid w:val="0039190A"/>
    <w:rsid w:val="003919A2"/>
    <w:rsid w:val="003929FE"/>
    <w:rsid w:val="0039398C"/>
    <w:rsid w:val="003944C2"/>
    <w:rsid w:val="00394574"/>
    <w:rsid w:val="003949E3"/>
    <w:rsid w:val="00394AE3"/>
    <w:rsid w:val="00395A1A"/>
    <w:rsid w:val="00396B9A"/>
    <w:rsid w:val="00396D56"/>
    <w:rsid w:val="00396D78"/>
    <w:rsid w:val="003A07DF"/>
    <w:rsid w:val="003A113C"/>
    <w:rsid w:val="003A15FF"/>
    <w:rsid w:val="003A1CEC"/>
    <w:rsid w:val="003A3C4D"/>
    <w:rsid w:val="003A4599"/>
    <w:rsid w:val="003A4F76"/>
    <w:rsid w:val="003A5016"/>
    <w:rsid w:val="003A68F7"/>
    <w:rsid w:val="003B1650"/>
    <w:rsid w:val="003B211D"/>
    <w:rsid w:val="003B2B2E"/>
    <w:rsid w:val="003B2C3F"/>
    <w:rsid w:val="003B359E"/>
    <w:rsid w:val="003B3D5F"/>
    <w:rsid w:val="003B3E9C"/>
    <w:rsid w:val="003B4D97"/>
    <w:rsid w:val="003B5369"/>
    <w:rsid w:val="003B57F0"/>
    <w:rsid w:val="003B65D9"/>
    <w:rsid w:val="003B68FE"/>
    <w:rsid w:val="003B736E"/>
    <w:rsid w:val="003C0707"/>
    <w:rsid w:val="003C0B1C"/>
    <w:rsid w:val="003C2663"/>
    <w:rsid w:val="003C2E01"/>
    <w:rsid w:val="003C3825"/>
    <w:rsid w:val="003C4516"/>
    <w:rsid w:val="003C5AFC"/>
    <w:rsid w:val="003C5E23"/>
    <w:rsid w:val="003C6579"/>
    <w:rsid w:val="003C67E4"/>
    <w:rsid w:val="003C7368"/>
    <w:rsid w:val="003C754A"/>
    <w:rsid w:val="003C785E"/>
    <w:rsid w:val="003D0047"/>
    <w:rsid w:val="003D037E"/>
    <w:rsid w:val="003D28E4"/>
    <w:rsid w:val="003D3E59"/>
    <w:rsid w:val="003D3F9D"/>
    <w:rsid w:val="003D4A66"/>
    <w:rsid w:val="003D74CD"/>
    <w:rsid w:val="003E1C68"/>
    <w:rsid w:val="003E256B"/>
    <w:rsid w:val="003E2E45"/>
    <w:rsid w:val="003E2F72"/>
    <w:rsid w:val="003E37B0"/>
    <w:rsid w:val="003E37F3"/>
    <w:rsid w:val="003E59EB"/>
    <w:rsid w:val="003E5DD5"/>
    <w:rsid w:val="003E5DDB"/>
    <w:rsid w:val="003E60F6"/>
    <w:rsid w:val="003E6A0A"/>
    <w:rsid w:val="003E6B6D"/>
    <w:rsid w:val="003E70B5"/>
    <w:rsid w:val="003E79DA"/>
    <w:rsid w:val="003F0CDC"/>
    <w:rsid w:val="003F0D4D"/>
    <w:rsid w:val="003F2646"/>
    <w:rsid w:val="003F2975"/>
    <w:rsid w:val="003F4080"/>
    <w:rsid w:val="003F588F"/>
    <w:rsid w:val="003F616A"/>
    <w:rsid w:val="003F7AA5"/>
    <w:rsid w:val="00402658"/>
    <w:rsid w:val="00402A9F"/>
    <w:rsid w:val="00402E61"/>
    <w:rsid w:val="00403E86"/>
    <w:rsid w:val="00404097"/>
    <w:rsid w:val="00404687"/>
    <w:rsid w:val="00407E31"/>
    <w:rsid w:val="0041001D"/>
    <w:rsid w:val="004101B2"/>
    <w:rsid w:val="00410272"/>
    <w:rsid w:val="00411257"/>
    <w:rsid w:val="00411265"/>
    <w:rsid w:val="004116F1"/>
    <w:rsid w:val="00412430"/>
    <w:rsid w:val="004133BE"/>
    <w:rsid w:val="0041391A"/>
    <w:rsid w:val="004139A8"/>
    <w:rsid w:val="00414D29"/>
    <w:rsid w:val="004163BB"/>
    <w:rsid w:val="00416957"/>
    <w:rsid w:val="0041708A"/>
    <w:rsid w:val="004172AC"/>
    <w:rsid w:val="004176DC"/>
    <w:rsid w:val="0041792A"/>
    <w:rsid w:val="0042038F"/>
    <w:rsid w:val="00420F42"/>
    <w:rsid w:val="00421161"/>
    <w:rsid w:val="00422334"/>
    <w:rsid w:val="00422BBF"/>
    <w:rsid w:val="00422E7D"/>
    <w:rsid w:val="00423EB3"/>
    <w:rsid w:val="0042412C"/>
    <w:rsid w:val="00424A1B"/>
    <w:rsid w:val="00424C01"/>
    <w:rsid w:val="00425140"/>
    <w:rsid w:val="0042549D"/>
    <w:rsid w:val="0042619C"/>
    <w:rsid w:val="004270A3"/>
    <w:rsid w:val="00427F06"/>
    <w:rsid w:val="00430AF2"/>
    <w:rsid w:val="00430C78"/>
    <w:rsid w:val="00431958"/>
    <w:rsid w:val="0043236F"/>
    <w:rsid w:val="004334C9"/>
    <w:rsid w:val="00435108"/>
    <w:rsid w:val="0043562F"/>
    <w:rsid w:val="004358C2"/>
    <w:rsid w:val="00436678"/>
    <w:rsid w:val="00437652"/>
    <w:rsid w:val="00441363"/>
    <w:rsid w:val="0044164F"/>
    <w:rsid w:val="00441802"/>
    <w:rsid w:val="00442343"/>
    <w:rsid w:val="00442508"/>
    <w:rsid w:val="0044347B"/>
    <w:rsid w:val="0044391A"/>
    <w:rsid w:val="00443C74"/>
    <w:rsid w:val="004445F1"/>
    <w:rsid w:val="00444C54"/>
    <w:rsid w:val="004454B9"/>
    <w:rsid w:val="0044721B"/>
    <w:rsid w:val="00447563"/>
    <w:rsid w:val="00447B1C"/>
    <w:rsid w:val="0045011C"/>
    <w:rsid w:val="004502FB"/>
    <w:rsid w:val="00450651"/>
    <w:rsid w:val="00450AA0"/>
    <w:rsid w:val="00451197"/>
    <w:rsid w:val="00451DF3"/>
    <w:rsid w:val="004527AB"/>
    <w:rsid w:val="004535DC"/>
    <w:rsid w:val="0045429C"/>
    <w:rsid w:val="00454ED0"/>
    <w:rsid w:val="00454F25"/>
    <w:rsid w:val="0045616F"/>
    <w:rsid w:val="0045673C"/>
    <w:rsid w:val="00460596"/>
    <w:rsid w:val="00460A83"/>
    <w:rsid w:val="00461FEE"/>
    <w:rsid w:val="00462203"/>
    <w:rsid w:val="00462357"/>
    <w:rsid w:val="0046265B"/>
    <w:rsid w:val="00462D85"/>
    <w:rsid w:val="004630B0"/>
    <w:rsid w:val="00463244"/>
    <w:rsid w:val="004639BF"/>
    <w:rsid w:val="00465150"/>
    <w:rsid w:val="0046530F"/>
    <w:rsid w:val="00465C00"/>
    <w:rsid w:val="00465D7F"/>
    <w:rsid w:val="00465FC1"/>
    <w:rsid w:val="00467FC6"/>
    <w:rsid w:val="004704D1"/>
    <w:rsid w:val="00471AFA"/>
    <w:rsid w:val="00471DFD"/>
    <w:rsid w:val="00472B7E"/>
    <w:rsid w:val="00472CE8"/>
    <w:rsid w:val="0047314B"/>
    <w:rsid w:val="004737F0"/>
    <w:rsid w:val="00473E10"/>
    <w:rsid w:val="0047407B"/>
    <w:rsid w:val="00474323"/>
    <w:rsid w:val="004747C1"/>
    <w:rsid w:val="00474880"/>
    <w:rsid w:val="004767EE"/>
    <w:rsid w:val="004772F2"/>
    <w:rsid w:val="0048299C"/>
    <w:rsid w:val="00483B39"/>
    <w:rsid w:val="00484885"/>
    <w:rsid w:val="004850F0"/>
    <w:rsid w:val="00485362"/>
    <w:rsid w:val="00485474"/>
    <w:rsid w:val="00485BC7"/>
    <w:rsid w:val="00487092"/>
    <w:rsid w:val="0048714D"/>
    <w:rsid w:val="00487556"/>
    <w:rsid w:val="00487958"/>
    <w:rsid w:val="00490A40"/>
    <w:rsid w:val="00490FB5"/>
    <w:rsid w:val="004914C0"/>
    <w:rsid w:val="004937BA"/>
    <w:rsid w:val="00495C53"/>
    <w:rsid w:val="0049603F"/>
    <w:rsid w:val="00497882"/>
    <w:rsid w:val="004A09ED"/>
    <w:rsid w:val="004A1056"/>
    <w:rsid w:val="004A1BB0"/>
    <w:rsid w:val="004A274E"/>
    <w:rsid w:val="004A2B6A"/>
    <w:rsid w:val="004A3778"/>
    <w:rsid w:val="004A4144"/>
    <w:rsid w:val="004A42C9"/>
    <w:rsid w:val="004A450D"/>
    <w:rsid w:val="004A4B31"/>
    <w:rsid w:val="004A50D3"/>
    <w:rsid w:val="004A6074"/>
    <w:rsid w:val="004A6844"/>
    <w:rsid w:val="004A7A71"/>
    <w:rsid w:val="004B116E"/>
    <w:rsid w:val="004B1186"/>
    <w:rsid w:val="004B1508"/>
    <w:rsid w:val="004B1B8B"/>
    <w:rsid w:val="004B1FC7"/>
    <w:rsid w:val="004B2387"/>
    <w:rsid w:val="004B2828"/>
    <w:rsid w:val="004B2AD3"/>
    <w:rsid w:val="004B2F4F"/>
    <w:rsid w:val="004B3124"/>
    <w:rsid w:val="004B3319"/>
    <w:rsid w:val="004B3665"/>
    <w:rsid w:val="004B5245"/>
    <w:rsid w:val="004B5715"/>
    <w:rsid w:val="004B575A"/>
    <w:rsid w:val="004B5955"/>
    <w:rsid w:val="004B681E"/>
    <w:rsid w:val="004B72B5"/>
    <w:rsid w:val="004B7915"/>
    <w:rsid w:val="004B7ECE"/>
    <w:rsid w:val="004B7ED1"/>
    <w:rsid w:val="004C17C4"/>
    <w:rsid w:val="004C20BD"/>
    <w:rsid w:val="004C2A64"/>
    <w:rsid w:val="004C3153"/>
    <w:rsid w:val="004C38D8"/>
    <w:rsid w:val="004C3BA9"/>
    <w:rsid w:val="004C3D46"/>
    <w:rsid w:val="004C4682"/>
    <w:rsid w:val="004C4BDF"/>
    <w:rsid w:val="004C5168"/>
    <w:rsid w:val="004C5318"/>
    <w:rsid w:val="004C5442"/>
    <w:rsid w:val="004C5939"/>
    <w:rsid w:val="004C6449"/>
    <w:rsid w:val="004C6D3C"/>
    <w:rsid w:val="004C78C2"/>
    <w:rsid w:val="004C7DD7"/>
    <w:rsid w:val="004D0313"/>
    <w:rsid w:val="004D1AA8"/>
    <w:rsid w:val="004D269B"/>
    <w:rsid w:val="004D28E1"/>
    <w:rsid w:val="004D3344"/>
    <w:rsid w:val="004D379B"/>
    <w:rsid w:val="004D37A5"/>
    <w:rsid w:val="004D3C11"/>
    <w:rsid w:val="004D4454"/>
    <w:rsid w:val="004D44E0"/>
    <w:rsid w:val="004D4713"/>
    <w:rsid w:val="004D497C"/>
    <w:rsid w:val="004D53C6"/>
    <w:rsid w:val="004D5AC6"/>
    <w:rsid w:val="004D5F04"/>
    <w:rsid w:val="004D5F8B"/>
    <w:rsid w:val="004D64B5"/>
    <w:rsid w:val="004D674A"/>
    <w:rsid w:val="004D6C90"/>
    <w:rsid w:val="004D7B97"/>
    <w:rsid w:val="004E1925"/>
    <w:rsid w:val="004E19A5"/>
    <w:rsid w:val="004E2137"/>
    <w:rsid w:val="004E2249"/>
    <w:rsid w:val="004E2A96"/>
    <w:rsid w:val="004E30A9"/>
    <w:rsid w:val="004E3E98"/>
    <w:rsid w:val="004E4345"/>
    <w:rsid w:val="004E53F0"/>
    <w:rsid w:val="004E5446"/>
    <w:rsid w:val="004E560B"/>
    <w:rsid w:val="004E573E"/>
    <w:rsid w:val="004E659A"/>
    <w:rsid w:val="004F06D4"/>
    <w:rsid w:val="004F0A2C"/>
    <w:rsid w:val="004F0B9E"/>
    <w:rsid w:val="004F0D5B"/>
    <w:rsid w:val="004F114E"/>
    <w:rsid w:val="004F13AC"/>
    <w:rsid w:val="004F24D1"/>
    <w:rsid w:val="004F27D2"/>
    <w:rsid w:val="004F2CC1"/>
    <w:rsid w:val="004F2FB2"/>
    <w:rsid w:val="004F3DB2"/>
    <w:rsid w:val="004F465E"/>
    <w:rsid w:val="004F51DF"/>
    <w:rsid w:val="004F53EF"/>
    <w:rsid w:val="004F5B74"/>
    <w:rsid w:val="004F627C"/>
    <w:rsid w:val="004F6699"/>
    <w:rsid w:val="004F6723"/>
    <w:rsid w:val="004F6C83"/>
    <w:rsid w:val="004F7007"/>
    <w:rsid w:val="004F7929"/>
    <w:rsid w:val="004F7E69"/>
    <w:rsid w:val="00501211"/>
    <w:rsid w:val="005012FF"/>
    <w:rsid w:val="0050151E"/>
    <w:rsid w:val="00502331"/>
    <w:rsid w:val="00502957"/>
    <w:rsid w:val="005035DD"/>
    <w:rsid w:val="00503770"/>
    <w:rsid w:val="00503A9A"/>
    <w:rsid w:val="0050586D"/>
    <w:rsid w:val="005062ED"/>
    <w:rsid w:val="00506300"/>
    <w:rsid w:val="005069DD"/>
    <w:rsid w:val="00510CFE"/>
    <w:rsid w:val="00510D61"/>
    <w:rsid w:val="005115A3"/>
    <w:rsid w:val="0051193B"/>
    <w:rsid w:val="0051225A"/>
    <w:rsid w:val="005134FD"/>
    <w:rsid w:val="00513646"/>
    <w:rsid w:val="00514D59"/>
    <w:rsid w:val="00517236"/>
    <w:rsid w:val="005176B9"/>
    <w:rsid w:val="005179DB"/>
    <w:rsid w:val="005202F2"/>
    <w:rsid w:val="00521961"/>
    <w:rsid w:val="00521D9E"/>
    <w:rsid w:val="00523472"/>
    <w:rsid w:val="00524F5A"/>
    <w:rsid w:val="00524F75"/>
    <w:rsid w:val="00526168"/>
    <w:rsid w:val="005262C7"/>
    <w:rsid w:val="00526BF4"/>
    <w:rsid w:val="00527473"/>
    <w:rsid w:val="00527FF5"/>
    <w:rsid w:val="00531EEC"/>
    <w:rsid w:val="0053267A"/>
    <w:rsid w:val="00533D96"/>
    <w:rsid w:val="00534A2E"/>
    <w:rsid w:val="005350FF"/>
    <w:rsid w:val="00535491"/>
    <w:rsid w:val="00535592"/>
    <w:rsid w:val="00536253"/>
    <w:rsid w:val="00536594"/>
    <w:rsid w:val="00537FDE"/>
    <w:rsid w:val="00540BC8"/>
    <w:rsid w:val="00540C63"/>
    <w:rsid w:val="005410E2"/>
    <w:rsid w:val="0054132B"/>
    <w:rsid w:val="00541597"/>
    <w:rsid w:val="00541911"/>
    <w:rsid w:val="00541A56"/>
    <w:rsid w:val="0054204B"/>
    <w:rsid w:val="005431EA"/>
    <w:rsid w:val="00545C62"/>
    <w:rsid w:val="005463E2"/>
    <w:rsid w:val="00546AEF"/>
    <w:rsid w:val="00546F25"/>
    <w:rsid w:val="005475EE"/>
    <w:rsid w:val="00547981"/>
    <w:rsid w:val="00547CF4"/>
    <w:rsid w:val="005501C5"/>
    <w:rsid w:val="005505F7"/>
    <w:rsid w:val="00550CE2"/>
    <w:rsid w:val="0055230C"/>
    <w:rsid w:val="00552F14"/>
    <w:rsid w:val="00553FE7"/>
    <w:rsid w:val="00555DCA"/>
    <w:rsid w:val="00560764"/>
    <w:rsid w:val="00560F28"/>
    <w:rsid w:val="00560FC0"/>
    <w:rsid w:val="0056150E"/>
    <w:rsid w:val="00561B87"/>
    <w:rsid w:val="00562946"/>
    <w:rsid w:val="005634C7"/>
    <w:rsid w:val="005643B7"/>
    <w:rsid w:val="00564C40"/>
    <w:rsid w:val="00565530"/>
    <w:rsid w:val="00566BE9"/>
    <w:rsid w:val="00567074"/>
    <w:rsid w:val="00567537"/>
    <w:rsid w:val="00567BAC"/>
    <w:rsid w:val="00567C4B"/>
    <w:rsid w:val="00570FBB"/>
    <w:rsid w:val="005714DF"/>
    <w:rsid w:val="00571D3B"/>
    <w:rsid w:val="00572636"/>
    <w:rsid w:val="00572AEF"/>
    <w:rsid w:val="00574435"/>
    <w:rsid w:val="0057459D"/>
    <w:rsid w:val="00574D44"/>
    <w:rsid w:val="005754BF"/>
    <w:rsid w:val="00575690"/>
    <w:rsid w:val="005759D5"/>
    <w:rsid w:val="0057639D"/>
    <w:rsid w:val="00577C4F"/>
    <w:rsid w:val="00577D85"/>
    <w:rsid w:val="005806E8"/>
    <w:rsid w:val="00580CF6"/>
    <w:rsid w:val="005821B6"/>
    <w:rsid w:val="0058246D"/>
    <w:rsid w:val="0058247F"/>
    <w:rsid w:val="0058265C"/>
    <w:rsid w:val="005830FB"/>
    <w:rsid w:val="00584FEB"/>
    <w:rsid w:val="00585D00"/>
    <w:rsid w:val="00585F88"/>
    <w:rsid w:val="0058627B"/>
    <w:rsid w:val="0058750D"/>
    <w:rsid w:val="00587984"/>
    <w:rsid w:val="0059085D"/>
    <w:rsid w:val="00590DD2"/>
    <w:rsid w:val="005936D8"/>
    <w:rsid w:val="00593746"/>
    <w:rsid w:val="0059396D"/>
    <w:rsid w:val="00593FD4"/>
    <w:rsid w:val="00593FDF"/>
    <w:rsid w:val="00594145"/>
    <w:rsid w:val="00595398"/>
    <w:rsid w:val="00595A56"/>
    <w:rsid w:val="00595D09"/>
    <w:rsid w:val="00596166"/>
    <w:rsid w:val="00596A92"/>
    <w:rsid w:val="00596D50"/>
    <w:rsid w:val="00597C6A"/>
    <w:rsid w:val="005A0461"/>
    <w:rsid w:val="005A252C"/>
    <w:rsid w:val="005A2AFE"/>
    <w:rsid w:val="005A2F40"/>
    <w:rsid w:val="005A338D"/>
    <w:rsid w:val="005A33D8"/>
    <w:rsid w:val="005A3924"/>
    <w:rsid w:val="005A4D9A"/>
    <w:rsid w:val="005A629E"/>
    <w:rsid w:val="005A673F"/>
    <w:rsid w:val="005A70E7"/>
    <w:rsid w:val="005A7498"/>
    <w:rsid w:val="005A7641"/>
    <w:rsid w:val="005A7E17"/>
    <w:rsid w:val="005A7EFC"/>
    <w:rsid w:val="005B0982"/>
    <w:rsid w:val="005B1CA2"/>
    <w:rsid w:val="005B2A5B"/>
    <w:rsid w:val="005B2DA6"/>
    <w:rsid w:val="005B3237"/>
    <w:rsid w:val="005B3A0A"/>
    <w:rsid w:val="005B413C"/>
    <w:rsid w:val="005B57CA"/>
    <w:rsid w:val="005B57F9"/>
    <w:rsid w:val="005B58FB"/>
    <w:rsid w:val="005B5F08"/>
    <w:rsid w:val="005B612C"/>
    <w:rsid w:val="005B6A74"/>
    <w:rsid w:val="005B6B24"/>
    <w:rsid w:val="005B78FA"/>
    <w:rsid w:val="005B7AF0"/>
    <w:rsid w:val="005C3286"/>
    <w:rsid w:val="005C32D5"/>
    <w:rsid w:val="005C3582"/>
    <w:rsid w:val="005C36E0"/>
    <w:rsid w:val="005C49BA"/>
    <w:rsid w:val="005C4BF3"/>
    <w:rsid w:val="005C5E03"/>
    <w:rsid w:val="005C69E9"/>
    <w:rsid w:val="005C796A"/>
    <w:rsid w:val="005D0139"/>
    <w:rsid w:val="005D01B6"/>
    <w:rsid w:val="005D041B"/>
    <w:rsid w:val="005D1CBE"/>
    <w:rsid w:val="005D36DB"/>
    <w:rsid w:val="005D4032"/>
    <w:rsid w:val="005D49FF"/>
    <w:rsid w:val="005D51D4"/>
    <w:rsid w:val="005D5558"/>
    <w:rsid w:val="005D6D21"/>
    <w:rsid w:val="005D6E7E"/>
    <w:rsid w:val="005D6F6A"/>
    <w:rsid w:val="005D707B"/>
    <w:rsid w:val="005D7302"/>
    <w:rsid w:val="005D750F"/>
    <w:rsid w:val="005D7778"/>
    <w:rsid w:val="005D7FFE"/>
    <w:rsid w:val="005E0138"/>
    <w:rsid w:val="005E0A74"/>
    <w:rsid w:val="005E0D7A"/>
    <w:rsid w:val="005E1194"/>
    <w:rsid w:val="005E1622"/>
    <w:rsid w:val="005E2115"/>
    <w:rsid w:val="005E2639"/>
    <w:rsid w:val="005E3644"/>
    <w:rsid w:val="005E3D74"/>
    <w:rsid w:val="005E3ED6"/>
    <w:rsid w:val="005E405A"/>
    <w:rsid w:val="005E407F"/>
    <w:rsid w:val="005E4307"/>
    <w:rsid w:val="005E5026"/>
    <w:rsid w:val="005E5441"/>
    <w:rsid w:val="005E5847"/>
    <w:rsid w:val="005E6155"/>
    <w:rsid w:val="005E6691"/>
    <w:rsid w:val="005E6EE6"/>
    <w:rsid w:val="005E7D71"/>
    <w:rsid w:val="005F0593"/>
    <w:rsid w:val="005F0D8F"/>
    <w:rsid w:val="005F0EC2"/>
    <w:rsid w:val="005F1724"/>
    <w:rsid w:val="005F1A91"/>
    <w:rsid w:val="005F21DB"/>
    <w:rsid w:val="005F274D"/>
    <w:rsid w:val="005F2EB5"/>
    <w:rsid w:val="005F2F53"/>
    <w:rsid w:val="005F3309"/>
    <w:rsid w:val="005F360A"/>
    <w:rsid w:val="005F3A7A"/>
    <w:rsid w:val="005F3EA6"/>
    <w:rsid w:val="005F3F73"/>
    <w:rsid w:val="005F406D"/>
    <w:rsid w:val="005F41B3"/>
    <w:rsid w:val="005F475E"/>
    <w:rsid w:val="005F5E15"/>
    <w:rsid w:val="005F6111"/>
    <w:rsid w:val="005F6D4B"/>
    <w:rsid w:val="005F6F6A"/>
    <w:rsid w:val="00600351"/>
    <w:rsid w:val="0060038D"/>
    <w:rsid w:val="00600C83"/>
    <w:rsid w:val="00600D8F"/>
    <w:rsid w:val="00600F55"/>
    <w:rsid w:val="00601138"/>
    <w:rsid w:val="0060217D"/>
    <w:rsid w:val="006035FD"/>
    <w:rsid w:val="00603B07"/>
    <w:rsid w:val="0060481A"/>
    <w:rsid w:val="00604EEF"/>
    <w:rsid w:val="00605569"/>
    <w:rsid w:val="00605BAA"/>
    <w:rsid w:val="00605EB6"/>
    <w:rsid w:val="00606D6D"/>
    <w:rsid w:val="00607202"/>
    <w:rsid w:val="0060760D"/>
    <w:rsid w:val="006104F7"/>
    <w:rsid w:val="00611BB0"/>
    <w:rsid w:val="00611DF2"/>
    <w:rsid w:val="00612500"/>
    <w:rsid w:val="00612721"/>
    <w:rsid w:val="00612AD5"/>
    <w:rsid w:val="006130EA"/>
    <w:rsid w:val="00613C57"/>
    <w:rsid w:val="00614A6B"/>
    <w:rsid w:val="00616752"/>
    <w:rsid w:val="00616901"/>
    <w:rsid w:val="00617CF2"/>
    <w:rsid w:val="00617E0A"/>
    <w:rsid w:val="00617E92"/>
    <w:rsid w:val="00620A46"/>
    <w:rsid w:val="00620A5D"/>
    <w:rsid w:val="00620E11"/>
    <w:rsid w:val="0062135A"/>
    <w:rsid w:val="0062173E"/>
    <w:rsid w:val="0062259A"/>
    <w:rsid w:val="006232F8"/>
    <w:rsid w:val="00623D19"/>
    <w:rsid w:val="0062434A"/>
    <w:rsid w:val="00624FDC"/>
    <w:rsid w:val="00625727"/>
    <w:rsid w:val="00626037"/>
    <w:rsid w:val="00626A69"/>
    <w:rsid w:val="00627367"/>
    <w:rsid w:val="0062747B"/>
    <w:rsid w:val="00630B31"/>
    <w:rsid w:val="0063122E"/>
    <w:rsid w:val="00631630"/>
    <w:rsid w:val="00631D57"/>
    <w:rsid w:val="0063299C"/>
    <w:rsid w:val="00632C48"/>
    <w:rsid w:val="00633092"/>
    <w:rsid w:val="006330D2"/>
    <w:rsid w:val="00633AF1"/>
    <w:rsid w:val="006344B8"/>
    <w:rsid w:val="00634D2D"/>
    <w:rsid w:val="0063521B"/>
    <w:rsid w:val="00635446"/>
    <w:rsid w:val="00635485"/>
    <w:rsid w:val="00635633"/>
    <w:rsid w:val="0063593C"/>
    <w:rsid w:val="00635FD2"/>
    <w:rsid w:val="00636280"/>
    <w:rsid w:val="00636602"/>
    <w:rsid w:val="0063663A"/>
    <w:rsid w:val="00637315"/>
    <w:rsid w:val="00637C96"/>
    <w:rsid w:val="00637FC7"/>
    <w:rsid w:val="00640299"/>
    <w:rsid w:val="00640CBB"/>
    <w:rsid w:val="006411B6"/>
    <w:rsid w:val="00641241"/>
    <w:rsid w:val="00641313"/>
    <w:rsid w:val="00641475"/>
    <w:rsid w:val="00641989"/>
    <w:rsid w:val="00642239"/>
    <w:rsid w:val="00642A97"/>
    <w:rsid w:val="0064356F"/>
    <w:rsid w:val="006456A2"/>
    <w:rsid w:val="00645AD2"/>
    <w:rsid w:val="00646261"/>
    <w:rsid w:val="00646BF2"/>
    <w:rsid w:val="0064710B"/>
    <w:rsid w:val="00647B42"/>
    <w:rsid w:val="00650017"/>
    <w:rsid w:val="006502EC"/>
    <w:rsid w:val="00651B55"/>
    <w:rsid w:val="00651C7B"/>
    <w:rsid w:val="0065207C"/>
    <w:rsid w:val="00652FE9"/>
    <w:rsid w:val="006530E4"/>
    <w:rsid w:val="006537BC"/>
    <w:rsid w:val="00654372"/>
    <w:rsid w:val="00654D7F"/>
    <w:rsid w:val="00655D56"/>
    <w:rsid w:val="00656652"/>
    <w:rsid w:val="0066024C"/>
    <w:rsid w:val="00660BFD"/>
    <w:rsid w:val="00661CB7"/>
    <w:rsid w:val="00661D8C"/>
    <w:rsid w:val="00663A33"/>
    <w:rsid w:val="00663B20"/>
    <w:rsid w:val="00663CD9"/>
    <w:rsid w:val="00664547"/>
    <w:rsid w:val="00664D5F"/>
    <w:rsid w:val="0066641D"/>
    <w:rsid w:val="0067043F"/>
    <w:rsid w:val="00670B44"/>
    <w:rsid w:val="00671957"/>
    <w:rsid w:val="00671BC3"/>
    <w:rsid w:val="0067251D"/>
    <w:rsid w:val="0067328B"/>
    <w:rsid w:val="00673439"/>
    <w:rsid w:val="006736E2"/>
    <w:rsid w:val="00673E5E"/>
    <w:rsid w:val="00674101"/>
    <w:rsid w:val="006751E0"/>
    <w:rsid w:val="006758F2"/>
    <w:rsid w:val="00676BF5"/>
    <w:rsid w:val="00677042"/>
    <w:rsid w:val="00680139"/>
    <w:rsid w:val="0068020A"/>
    <w:rsid w:val="00680227"/>
    <w:rsid w:val="00680B94"/>
    <w:rsid w:val="006814A1"/>
    <w:rsid w:val="0068181A"/>
    <w:rsid w:val="00681881"/>
    <w:rsid w:val="00682222"/>
    <w:rsid w:val="00682247"/>
    <w:rsid w:val="00684045"/>
    <w:rsid w:val="00684467"/>
    <w:rsid w:val="00685219"/>
    <w:rsid w:val="00685617"/>
    <w:rsid w:val="00685D7A"/>
    <w:rsid w:val="006900F3"/>
    <w:rsid w:val="00691EA9"/>
    <w:rsid w:val="006921D6"/>
    <w:rsid w:val="00692292"/>
    <w:rsid w:val="0069297D"/>
    <w:rsid w:val="00695B40"/>
    <w:rsid w:val="006966A3"/>
    <w:rsid w:val="00696DA5"/>
    <w:rsid w:val="00697CD0"/>
    <w:rsid w:val="00697DB0"/>
    <w:rsid w:val="006A0D9C"/>
    <w:rsid w:val="006A1010"/>
    <w:rsid w:val="006A107C"/>
    <w:rsid w:val="006A13A6"/>
    <w:rsid w:val="006A216E"/>
    <w:rsid w:val="006A2414"/>
    <w:rsid w:val="006A26B6"/>
    <w:rsid w:val="006A2787"/>
    <w:rsid w:val="006A27C7"/>
    <w:rsid w:val="006A3E3F"/>
    <w:rsid w:val="006A46C8"/>
    <w:rsid w:val="006A4B72"/>
    <w:rsid w:val="006A4E76"/>
    <w:rsid w:val="006A50B1"/>
    <w:rsid w:val="006A50E8"/>
    <w:rsid w:val="006A59ED"/>
    <w:rsid w:val="006A5C1F"/>
    <w:rsid w:val="006A659B"/>
    <w:rsid w:val="006A7AAD"/>
    <w:rsid w:val="006B0354"/>
    <w:rsid w:val="006B041E"/>
    <w:rsid w:val="006B105A"/>
    <w:rsid w:val="006B1232"/>
    <w:rsid w:val="006B3CB9"/>
    <w:rsid w:val="006B5095"/>
    <w:rsid w:val="006B56CB"/>
    <w:rsid w:val="006B5FC7"/>
    <w:rsid w:val="006B6178"/>
    <w:rsid w:val="006B6E80"/>
    <w:rsid w:val="006B7602"/>
    <w:rsid w:val="006C04BA"/>
    <w:rsid w:val="006C085E"/>
    <w:rsid w:val="006C0A18"/>
    <w:rsid w:val="006C0D9C"/>
    <w:rsid w:val="006C1C8B"/>
    <w:rsid w:val="006C222C"/>
    <w:rsid w:val="006C237A"/>
    <w:rsid w:val="006C2925"/>
    <w:rsid w:val="006C3B67"/>
    <w:rsid w:val="006C4530"/>
    <w:rsid w:val="006C4CE4"/>
    <w:rsid w:val="006C55A2"/>
    <w:rsid w:val="006C6084"/>
    <w:rsid w:val="006C61D4"/>
    <w:rsid w:val="006C63A4"/>
    <w:rsid w:val="006C665C"/>
    <w:rsid w:val="006C6708"/>
    <w:rsid w:val="006C6A6D"/>
    <w:rsid w:val="006C6DDB"/>
    <w:rsid w:val="006C74B8"/>
    <w:rsid w:val="006C78D6"/>
    <w:rsid w:val="006C79A8"/>
    <w:rsid w:val="006C7ED4"/>
    <w:rsid w:val="006D00E0"/>
    <w:rsid w:val="006D0222"/>
    <w:rsid w:val="006D02A0"/>
    <w:rsid w:val="006D0879"/>
    <w:rsid w:val="006D08A8"/>
    <w:rsid w:val="006D101E"/>
    <w:rsid w:val="006D11E0"/>
    <w:rsid w:val="006D1621"/>
    <w:rsid w:val="006D2D9A"/>
    <w:rsid w:val="006D45F5"/>
    <w:rsid w:val="006D47E6"/>
    <w:rsid w:val="006D4E0C"/>
    <w:rsid w:val="006D4E12"/>
    <w:rsid w:val="006D55F9"/>
    <w:rsid w:val="006D569D"/>
    <w:rsid w:val="006D5E5B"/>
    <w:rsid w:val="006D6043"/>
    <w:rsid w:val="006D6428"/>
    <w:rsid w:val="006D6A63"/>
    <w:rsid w:val="006D6B57"/>
    <w:rsid w:val="006D6BD7"/>
    <w:rsid w:val="006D6F38"/>
    <w:rsid w:val="006D7057"/>
    <w:rsid w:val="006D723B"/>
    <w:rsid w:val="006D740A"/>
    <w:rsid w:val="006D7669"/>
    <w:rsid w:val="006E0DEE"/>
    <w:rsid w:val="006E0E9D"/>
    <w:rsid w:val="006E0EDA"/>
    <w:rsid w:val="006E2614"/>
    <w:rsid w:val="006E2BCC"/>
    <w:rsid w:val="006E2E93"/>
    <w:rsid w:val="006E3292"/>
    <w:rsid w:val="006E3734"/>
    <w:rsid w:val="006E3777"/>
    <w:rsid w:val="006E47E3"/>
    <w:rsid w:val="006E4D0E"/>
    <w:rsid w:val="006E6027"/>
    <w:rsid w:val="006E6C49"/>
    <w:rsid w:val="006E7236"/>
    <w:rsid w:val="006E7458"/>
    <w:rsid w:val="006E75C9"/>
    <w:rsid w:val="006E7A42"/>
    <w:rsid w:val="006F0B47"/>
    <w:rsid w:val="006F2535"/>
    <w:rsid w:val="006F26EF"/>
    <w:rsid w:val="006F3004"/>
    <w:rsid w:val="006F335B"/>
    <w:rsid w:val="006F3815"/>
    <w:rsid w:val="006F4137"/>
    <w:rsid w:val="006F44A0"/>
    <w:rsid w:val="006F4724"/>
    <w:rsid w:val="006F49E1"/>
    <w:rsid w:val="006F4EFE"/>
    <w:rsid w:val="006F5106"/>
    <w:rsid w:val="006F57C7"/>
    <w:rsid w:val="006F6D7A"/>
    <w:rsid w:val="006F7635"/>
    <w:rsid w:val="006F7D46"/>
    <w:rsid w:val="007019E5"/>
    <w:rsid w:val="00701C08"/>
    <w:rsid w:val="007021CB"/>
    <w:rsid w:val="007026B8"/>
    <w:rsid w:val="0070405A"/>
    <w:rsid w:val="007043FD"/>
    <w:rsid w:val="00707E5E"/>
    <w:rsid w:val="00710010"/>
    <w:rsid w:val="00710466"/>
    <w:rsid w:val="007110F4"/>
    <w:rsid w:val="0071134B"/>
    <w:rsid w:val="00711484"/>
    <w:rsid w:val="007118EE"/>
    <w:rsid w:val="00711B1A"/>
    <w:rsid w:val="00713BF4"/>
    <w:rsid w:val="00714093"/>
    <w:rsid w:val="0071481A"/>
    <w:rsid w:val="00714835"/>
    <w:rsid w:val="00714C9E"/>
    <w:rsid w:val="00715807"/>
    <w:rsid w:val="00715963"/>
    <w:rsid w:val="00716B7A"/>
    <w:rsid w:val="007175D7"/>
    <w:rsid w:val="007177EC"/>
    <w:rsid w:val="00717A72"/>
    <w:rsid w:val="00717D2A"/>
    <w:rsid w:val="007205D2"/>
    <w:rsid w:val="00720EE6"/>
    <w:rsid w:val="00720F48"/>
    <w:rsid w:val="00721198"/>
    <w:rsid w:val="0072254D"/>
    <w:rsid w:val="00722B75"/>
    <w:rsid w:val="00722CA8"/>
    <w:rsid w:val="007233DB"/>
    <w:rsid w:val="00723882"/>
    <w:rsid w:val="00724357"/>
    <w:rsid w:val="00724CD0"/>
    <w:rsid w:val="007262C5"/>
    <w:rsid w:val="00726984"/>
    <w:rsid w:val="00726B50"/>
    <w:rsid w:val="00726CBD"/>
    <w:rsid w:val="00726F95"/>
    <w:rsid w:val="00726F9B"/>
    <w:rsid w:val="00730376"/>
    <w:rsid w:val="00730D76"/>
    <w:rsid w:val="0073144B"/>
    <w:rsid w:val="007318F4"/>
    <w:rsid w:val="00732CCA"/>
    <w:rsid w:val="00733DAB"/>
    <w:rsid w:val="007340A9"/>
    <w:rsid w:val="00734869"/>
    <w:rsid w:val="00734979"/>
    <w:rsid w:val="007349DC"/>
    <w:rsid w:val="00735BA4"/>
    <w:rsid w:val="0073686A"/>
    <w:rsid w:val="00740D87"/>
    <w:rsid w:val="00742418"/>
    <w:rsid w:val="00742E7D"/>
    <w:rsid w:val="00743CD7"/>
    <w:rsid w:val="0074436F"/>
    <w:rsid w:val="0074558A"/>
    <w:rsid w:val="0074559E"/>
    <w:rsid w:val="007456A1"/>
    <w:rsid w:val="0074599C"/>
    <w:rsid w:val="00745AAF"/>
    <w:rsid w:val="0074666A"/>
    <w:rsid w:val="00746ADD"/>
    <w:rsid w:val="00746C2C"/>
    <w:rsid w:val="00746E09"/>
    <w:rsid w:val="00747AAD"/>
    <w:rsid w:val="007530BE"/>
    <w:rsid w:val="00753195"/>
    <w:rsid w:val="00753A14"/>
    <w:rsid w:val="00753D6B"/>
    <w:rsid w:val="00755244"/>
    <w:rsid w:val="007560E2"/>
    <w:rsid w:val="0076029D"/>
    <w:rsid w:val="007610BA"/>
    <w:rsid w:val="00761101"/>
    <w:rsid w:val="007615FD"/>
    <w:rsid w:val="007628DC"/>
    <w:rsid w:val="0076298B"/>
    <w:rsid w:val="0076375B"/>
    <w:rsid w:val="00763EFC"/>
    <w:rsid w:val="00763F69"/>
    <w:rsid w:val="0076451A"/>
    <w:rsid w:val="00764743"/>
    <w:rsid w:val="00764E6F"/>
    <w:rsid w:val="00764F0E"/>
    <w:rsid w:val="007654C6"/>
    <w:rsid w:val="007656BC"/>
    <w:rsid w:val="0076656A"/>
    <w:rsid w:val="00766B16"/>
    <w:rsid w:val="00766D7A"/>
    <w:rsid w:val="0076769F"/>
    <w:rsid w:val="00767748"/>
    <w:rsid w:val="007679A5"/>
    <w:rsid w:val="00767AE5"/>
    <w:rsid w:val="00772C14"/>
    <w:rsid w:val="00773429"/>
    <w:rsid w:val="007739DE"/>
    <w:rsid w:val="0077404D"/>
    <w:rsid w:val="0077482F"/>
    <w:rsid w:val="007774CC"/>
    <w:rsid w:val="00777AC1"/>
    <w:rsid w:val="00777BE1"/>
    <w:rsid w:val="00777E0B"/>
    <w:rsid w:val="007806AE"/>
    <w:rsid w:val="00780B1A"/>
    <w:rsid w:val="007810E0"/>
    <w:rsid w:val="00782C96"/>
    <w:rsid w:val="0078319B"/>
    <w:rsid w:val="00783D8B"/>
    <w:rsid w:val="00783E15"/>
    <w:rsid w:val="00784D37"/>
    <w:rsid w:val="0078518A"/>
    <w:rsid w:val="00787047"/>
    <w:rsid w:val="007905CE"/>
    <w:rsid w:val="00790749"/>
    <w:rsid w:val="00790B48"/>
    <w:rsid w:val="00791005"/>
    <w:rsid w:val="00791231"/>
    <w:rsid w:val="007928DE"/>
    <w:rsid w:val="00792A97"/>
    <w:rsid w:val="00793342"/>
    <w:rsid w:val="00793593"/>
    <w:rsid w:val="007937FE"/>
    <w:rsid w:val="0079431E"/>
    <w:rsid w:val="007943A1"/>
    <w:rsid w:val="0079554B"/>
    <w:rsid w:val="00795B4C"/>
    <w:rsid w:val="00796052"/>
    <w:rsid w:val="00796B2C"/>
    <w:rsid w:val="00796EB9"/>
    <w:rsid w:val="00797980"/>
    <w:rsid w:val="00797A28"/>
    <w:rsid w:val="00797B7C"/>
    <w:rsid w:val="007A00A3"/>
    <w:rsid w:val="007A15A8"/>
    <w:rsid w:val="007A2B67"/>
    <w:rsid w:val="007A302D"/>
    <w:rsid w:val="007A3087"/>
    <w:rsid w:val="007A4752"/>
    <w:rsid w:val="007A4838"/>
    <w:rsid w:val="007A599A"/>
    <w:rsid w:val="007A616A"/>
    <w:rsid w:val="007A6263"/>
    <w:rsid w:val="007A6544"/>
    <w:rsid w:val="007A788C"/>
    <w:rsid w:val="007B0DD6"/>
    <w:rsid w:val="007B0FAF"/>
    <w:rsid w:val="007B1840"/>
    <w:rsid w:val="007B3424"/>
    <w:rsid w:val="007B350F"/>
    <w:rsid w:val="007B360C"/>
    <w:rsid w:val="007B4BEC"/>
    <w:rsid w:val="007B6538"/>
    <w:rsid w:val="007B66D6"/>
    <w:rsid w:val="007B7174"/>
    <w:rsid w:val="007B7BF5"/>
    <w:rsid w:val="007B7EE7"/>
    <w:rsid w:val="007C008A"/>
    <w:rsid w:val="007C01C6"/>
    <w:rsid w:val="007C04EF"/>
    <w:rsid w:val="007C11A1"/>
    <w:rsid w:val="007C1C78"/>
    <w:rsid w:val="007C1EBF"/>
    <w:rsid w:val="007C2090"/>
    <w:rsid w:val="007C22D8"/>
    <w:rsid w:val="007C2B30"/>
    <w:rsid w:val="007C3D11"/>
    <w:rsid w:val="007C3EA6"/>
    <w:rsid w:val="007C4BA5"/>
    <w:rsid w:val="007C5B5E"/>
    <w:rsid w:val="007C6CBB"/>
    <w:rsid w:val="007C7656"/>
    <w:rsid w:val="007C7729"/>
    <w:rsid w:val="007C7B05"/>
    <w:rsid w:val="007D012C"/>
    <w:rsid w:val="007D05A0"/>
    <w:rsid w:val="007D0628"/>
    <w:rsid w:val="007D0B95"/>
    <w:rsid w:val="007D3278"/>
    <w:rsid w:val="007D32C1"/>
    <w:rsid w:val="007D32D8"/>
    <w:rsid w:val="007D3BAD"/>
    <w:rsid w:val="007D3EF5"/>
    <w:rsid w:val="007D416A"/>
    <w:rsid w:val="007D41BB"/>
    <w:rsid w:val="007D4CF0"/>
    <w:rsid w:val="007D55DB"/>
    <w:rsid w:val="007D7243"/>
    <w:rsid w:val="007D7970"/>
    <w:rsid w:val="007D7A25"/>
    <w:rsid w:val="007E0A68"/>
    <w:rsid w:val="007E0D22"/>
    <w:rsid w:val="007E14FD"/>
    <w:rsid w:val="007E1FA0"/>
    <w:rsid w:val="007E2159"/>
    <w:rsid w:val="007E2186"/>
    <w:rsid w:val="007E223D"/>
    <w:rsid w:val="007E2A56"/>
    <w:rsid w:val="007E3B8F"/>
    <w:rsid w:val="007E3C85"/>
    <w:rsid w:val="007E46FA"/>
    <w:rsid w:val="007E4E92"/>
    <w:rsid w:val="007E5124"/>
    <w:rsid w:val="007E52A8"/>
    <w:rsid w:val="007E57B5"/>
    <w:rsid w:val="007E57B7"/>
    <w:rsid w:val="007E6083"/>
    <w:rsid w:val="007E6F68"/>
    <w:rsid w:val="007F030E"/>
    <w:rsid w:val="007F17B2"/>
    <w:rsid w:val="007F2224"/>
    <w:rsid w:val="007F31F3"/>
    <w:rsid w:val="007F3F4E"/>
    <w:rsid w:val="007F425D"/>
    <w:rsid w:val="007F433E"/>
    <w:rsid w:val="007F4F09"/>
    <w:rsid w:val="007F6721"/>
    <w:rsid w:val="008003D2"/>
    <w:rsid w:val="00800563"/>
    <w:rsid w:val="00800B20"/>
    <w:rsid w:val="00800E74"/>
    <w:rsid w:val="008019CA"/>
    <w:rsid w:val="00801B5A"/>
    <w:rsid w:val="00801EEB"/>
    <w:rsid w:val="00803235"/>
    <w:rsid w:val="00803484"/>
    <w:rsid w:val="00803BDF"/>
    <w:rsid w:val="00803DF3"/>
    <w:rsid w:val="00803E8C"/>
    <w:rsid w:val="00804437"/>
    <w:rsid w:val="008048ED"/>
    <w:rsid w:val="00806229"/>
    <w:rsid w:val="0080683D"/>
    <w:rsid w:val="00807500"/>
    <w:rsid w:val="00807786"/>
    <w:rsid w:val="0081012F"/>
    <w:rsid w:val="008104BC"/>
    <w:rsid w:val="00810FBD"/>
    <w:rsid w:val="00811532"/>
    <w:rsid w:val="00812545"/>
    <w:rsid w:val="00812F35"/>
    <w:rsid w:val="00813275"/>
    <w:rsid w:val="00814552"/>
    <w:rsid w:val="00814C74"/>
    <w:rsid w:val="00815667"/>
    <w:rsid w:val="008156C2"/>
    <w:rsid w:val="00816572"/>
    <w:rsid w:val="00816634"/>
    <w:rsid w:val="00817AC5"/>
    <w:rsid w:val="00817D82"/>
    <w:rsid w:val="00817E0A"/>
    <w:rsid w:val="008201CD"/>
    <w:rsid w:val="00820737"/>
    <w:rsid w:val="0082141E"/>
    <w:rsid w:val="0082162B"/>
    <w:rsid w:val="00822E94"/>
    <w:rsid w:val="00822F2B"/>
    <w:rsid w:val="00823429"/>
    <w:rsid w:val="008238F9"/>
    <w:rsid w:val="008240F9"/>
    <w:rsid w:val="00824442"/>
    <w:rsid w:val="008245FA"/>
    <w:rsid w:val="008253FD"/>
    <w:rsid w:val="00825FF3"/>
    <w:rsid w:val="00826996"/>
    <w:rsid w:val="00826FB8"/>
    <w:rsid w:val="008270A3"/>
    <w:rsid w:val="00827153"/>
    <w:rsid w:val="0082719D"/>
    <w:rsid w:val="00827311"/>
    <w:rsid w:val="008274E8"/>
    <w:rsid w:val="00827D62"/>
    <w:rsid w:val="00827DB3"/>
    <w:rsid w:val="008301DF"/>
    <w:rsid w:val="00830704"/>
    <w:rsid w:val="00831062"/>
    <w:rsid w:val="00831373"/>
    <w:rsid w:val="008314A8"/>
    <w:rsid w:val="0083169B"/>
    <w:rsid w:val="008316E0"/>
    <w:rsid w:val="00832151"/>
    <w:rsid w:val="00832962"/>
    <w:rsid w:val="00833365"/>
    <w:rsid w:val="00833E2D"/>
    <w:rsid w:val="00834BC1"/>
    <w:rsid w:val="0083550F"/>
    <w:rsid w:val="00836762"/>
    <w:rsid w:val="00837128"/>
    <w:rsid w:val="00837A51"/>
    <w:rsid w:val="008426CB"/>
    <w:rsid w:val="00843639"/>
    <w:rsid w:val="0084397B"/>
    <w:rsid w:val="00843D76"/>
    <w:rsid w:val="008449FF"/>
    <w:rsid w:val="00844CA8"/>
    <w:rsid w:val="00844DDC"/>
    <w:rsid w:val="008451E3"/>
    <w:rsid w:val="0084552C"/>
    <w:rsid w:val="008456D0"/>
    <w:rsid w:val="0084573F"/>
    <w:rsid w:val="0084676C"/>
    <w:rsid w:val="00846A38"/>
    <w:rsid w:val="00847EF6"/>
    <w:rsid w:val="008503DC"/>
    <w:rsid w:val="008507E0"/>
    <w:rsid w:val="0085109A"/>
    <w:rsid w:val="008528D5"/>
    <w:rsid w:val="008536AB"/>
    <w:rsid w:val="00853BA2"/>
    <w:rsid w:val="0085539D"/>
    <w:rsid w:val="008554EC"/>
    <w:rsid w:val="008557AE"/>
    <w:rsid w:val="00855DFD"/>
    <w:rsid w:val="008567C4"/>
    <w:rsid w:val="00856DC6"/>
    <w:rsid w:val="00856E1E"/>
    <w:rsid w:val="00856FF4"/>
    <w:rsid w:val="00857278"/>
    <w:rsid w:val="0085747D"/>
    <w:rsid w:val="00857C42"/>
    <w:rsid w:val="008603E8"/>
    <w:rsid w:val="0086255C"/>
    <w:rsid w:val="00862FFE"/>
    <w:rsid w:val="008631D2"/>
    <w:rsid w:val="00863AC6"/>
    <w:rsid w:val="00864641"/>
    <w:rsid w:val="00864CF4"/>
    <w:rsid w:val="00866300"/>
    <w:rsid w:val="00871535"/>
    <w:rsid w:val="00872291"/>
    <w:rsid w:val="008723FD"/>
    <w:rsid w:val="00872794"/>
    <w:rsid w:val="00872DD3"/>
    <w:rsid w:val="008738C3"/>
    <w:rsid w:val="00873B9E"/>
    <w:rsid w:val="00874B27"/>
    <w:rsid w:val="00875017"/>
    <w:rsid w:val="00876661"/>
    <w:rsid w:val="00876E48"/>
    <w:rsid w:val="008770C9"/>
    <w:rsid w:val="00882465"/>
    <w:rsid w:val="00883079"/>
    <w:rsid w:val="00883132"/>
    <w:rsid w:val="00883B8E"/>
    <w:rsid w:val="00884475"/>
    <w:rsid w:val="008848A1"/>
    <w:rsid w:val="00884B4F"/>
    <w:rsid w:val="008852B4"/>
    <w:rsid w:val="00885652"/>
    <w:rsid w:val="0088592E"/>
    <w:rsid w:val="00885DE2"/>
    <w:rsid w:val="00885DE4"/>
    <w:rsid w:val="00886273"/>
    <w:rsid w:val="0088797F"/>
    <w:rsid w:val="00887AE2"/>
    <w:rsid w:val="00887DC7"/>
    <w:rsid w:val="0089003D"/>
    <w:rsid w:val="00890466"/>
    <w:rsid w:val="00890590"/>
    <w:rsid w:val="0089068F"/>
    <w:rsid w:val="00890908"/>
    <w:rsid w:val="00890B5D"/>
    <w:rsid w:val="00890E96"/>
    <w:rsid w:val="00890ED5"/>
    <w:rsid w:val="00891177"/>
    <w:rsid w:val="0089319F"/>
    <w:rsid w:val="00893907"/>
    <w:rsid w:val="00894904"/>
    <w:rsid w:val="00894B75"/>
    <w:rsid w:val="0089505D"/>
    <w:rsid w:val="00895E14"/>
    <w:rsid w:val="00895EBE"/>
    <w:rsid w:val="00895FB2"/>
    <w:rsid w:val="00896792"/>
    <w:rsid w:val="00896A12"/>
    <w:rsid w:val="00897BB0"/>
    <w:rsid w:val="008A105F"/>
    <w:rsid w:val="008A1764"/>
    <w:rsid w:val="008A2CCD"/>
    <w:rsid w:val="008A5A87"/>
    <w:rsid w:val="008A62AB"/>
    <w:rsid w:val="008A675E"/>
    <w:rsid w:val="008A79A4"/>
    <w:rsid w:val="008A7EBE"/>
    <w:rsid w:val="008B03DE"/>
    <w:rsid w:val="008B08A4"/>
    <w:rsid w:val="008B1738"/>
    <w:rsid w:val="008B17F5"/>
    <w:rsid w:val="008B2B4C"/>
    <w:rsid w:val="008B3E20"/>
    <w:rsid w:val="008B3FB5"/>
    <w:rsid w:val="008B5058"/>
    <w:rsid w:val="008B53FC"/>
    <w:rsid w:val="008B5A83"/>
    <w:rsid w:val="008B6C07"/>
    <w:rsid w:val="008B7815"/>
    <w:rsid w:val="008C07D6"/>
    <w:rsid w:val="008C08F3"/>
    <w:rsid w:val="008C0DBC"/>
    <w:rsid w:val="008C1151"/>
    <w:rsid w:val="008C1191"/>
    <w:rsid w:val="008C1D70"/>
    <w:rsid w:val="008C21A6"/>
    <w:rsid w:val="008C3342"/>
    <w:rsid w:val="008C4624"/>
    <w:rsid w:val="008C5362"/>
    <w:rsid w:val="008C53F1"/>
    <w:rsid w:val="008C55B5"/>
    <w:rsid w:val="008C6849"/>
    <w:rsid w:val="008D0271"/>
    <w:rsid w:val="008D0919"/>
    <w:rsid w:val="008D2823"/>
    <w:rsid w:val="008D3149"/>
    <w:rsid w:val="008D328C"/>
    <w:rsid w:val="008D3E78"/>
    <w:rsid w:val="008D49C0"/>
    <w:rsid w:val="008D57B0"/>
    <w:rsid w:val="008D5C48"/>
    <w:rsid w:val="008D60D3"/>
    <w:rsid w:val="008D60D9"/>
    <w:rsid w:val="008D77EE"/>
    <w:rsid w:val="008D7B40"/>
    <w:rsid w:val="008E12DB"/>
    <w:rsid w:val="008E27E8"/>
    <w:rsid w:val="008E3CDB"/>
    <w:rsid w:val="008E4886"/>
    <w:rsid w:val="008E6204"/>
    <w:rsid w:val="008E75BA"/>
    <w:rsid w:val="008F15AF"/>
    <w:rsid w:val="008F1E0F"/>
    <w:rsid w:val="008F2642"/>
    <w:rsid w:val="008F3107"/>
    <w:rsid w:val="008F339B"/>
    <w:rsid w:val="008F3824"/>
    <w:rsid w:val="008F41C2"/>
    <w:rsid w:val="008F5FD1"/>
    <w:rsid w:val="008F7A3F"/>
    <w:rsid w:val="0090004F"/>
    <w:rsid w:val="00900465"/>
    <w:rsid w:val="00900E1A"/>
    <w:rsid w:val="0090135B"/>
    <w:rsid w:val="0090169B"/>
    <w:rsid w:val="0090373A"/>
    <w:rsid w:val="00904B6D"/>
    <w:rsid w:val="00905293"/>
    <w:rsid w:val="00906714"/>
    <w:rsid w:val="00907800"/>
    <w:rsid w:val="0090790F"/>
    <w:rsid w:val="0091002D"/>
    <w:rsid w:val="009102BC"/>
    <w:rsid w:val="00910850"/>
    <w:rsid w:val="00911921"/>
    <w:rsid w:val="00911A0F"/>
    <w:rsid w:val="0091255E"/>
    <w:rsid w:val="009125D5"/>
    <w:rsid w:val="00912636"/>
    <w:rsid w:val="009126EA"/>
    <w:rsid w:val="00912D40"/>
    <w:rsid w:val="0091497A"/>
    <w:rsid w:val="009155F7"/>
    <w:rsid w:val="00915678"/>
    <w:rsid w:val="00915941"/>
    <w:rsid w:val="00917DBF"/>
    <w:rsid w:val="00920061"/>
    <w:rsid w:val="009203A7"/>
    <w:rsid w:val="0092057B"/>
    <w:rsid w:val="00921693"/>
    <w:rsid w:val="00921C33"/>
    <w:rsid w:val="00921DAF"/>
    <w:rsid w:val="009223B2"/>
    <w:rsid w:val="00922B62"/>
    <w:rsid w:val="00923B24"/>
    <w:rsid w:val="009262DF"/>
    <w:rsid w:val="00926F7E"/>
    <w:rsid w:val="0092779D"/>
    <w:rsid w:val="0093092C"/>
    <w:rsid w:val="00930AC8"/>
    <w:rsid w:val="0093168B"/>
    <w:rsid w:val="009328F4"/>
    <w:rsid w:val="00933A8E"/>
    <w:rsid w:val="00933CC3"/>
    <w:rsid w:val="00933E9C"/>
    <w:rsid w:val="00934A01"/>
    <w:rsid w:val="009367BC"/>
    <w:rsid w:val="0093760A"/>
    <w:rsid w:val="00940EAE"/>
    <w:rsid w:val="00940EAF"/>
    <w:rsid w:val="00941246"/>
    <w:rsid w:val="0094149D"/>
    <w:rsid w:val="00944052"/>
    <w:rsid w:val="00944BD7"/>
    <w:rsid w:val="00945382"/>
    <w:rsid w:val="00946951"/>
    <w:rsid w:val="00946A83"/>
    <w:rsid w:val="009507FB"/>
    <w:rsid w:val="00957893"/>
    <w:rsid w:val="00960BA5"/>
    <w:rsid w:val="00961220"/>
    <w:rsid w:val="00961267"/>
    <w:rsid w:val="00961F37"/>
    <w:rsid w:val="00962A16"/>
    <w:rsid w:val="009636B8"/>
    <w:rsid w:val="009636F6"/>
    <w:rsid w:val="0096441A"/>
    <w:rsid w:val="00964925"/>
    <w:rsid w:val="00964AA4"/>
    <w:rsid w:val="00965347"/>
    <w:rsid w:val="00966023"/>
    <w:rsid w:val="009671B8"/>
    <w:rsid w:val="00967776"/>
    <w:rsid w:val="00967AE9"/>
    <w:rsid w:val="00970687"/>
    <w:rsid w:val="00970CDB"/>
    <w:rsid w:val="00970E46"/>
    <w:rsid w:val="00970F0F"/>
    <w:rsid w:val="00970F3D"/>
    <w:rsid w:val="009710A2"/>
    <w:rsid w:val="00971F80"/>
    <w:rsid w:val="009726FF"/>
    <w:rsid w:val="009729E7"/>
    <w:rsid w:val="00972CEB"/>
    <w:rsid w:val="00972ED3"/>
    <w:rsid w:val="00973CB6"/>
    <w:rsid w:val="0097487D"/>
    <w:rsid w:val="00974F7C"/>
    <w:rsid w:val="00974FD0"/>
    <w:rsid w:val="00976C9E"/>
    <w:rsid w:val="00976D48"/>
    <w:rsid w:val="0097797E"/>
    <w:rsid w:val="0098119F"/>
    <w:rsid w:val="009812FB"/>
    <w:rsid w:val="0098136E"/>
    <w:rsid w:val="00981588"/>
    <w:rsid w:val="009838B0"/>
    <w:rsid w:val="009838B5"/>
    <w:rsid w:val="00983CF7"/>
    <w:rsid w:val="00984179"/>
    <w:rsid w:val="009841E5"/>
    <w:rsid w:val="00985528"/>
    <w:rsid w:val="009914B5"/>
    <w:rsid w:val="00991B1D"/>
    <w:rsid w:val="00991EF9"/>
    <w:rsid w:val="009925A1"/>
    <w:rsid w:val="009926E7"/>
    <w:rsid w:val="009945ED"/>
    <w:rsid w:val="0099489A"/>
    <w:rsid w:val="00994BCF"/>
    <w:rsid w:val="00994C80"/>
    <w:rsid w:val="00994EA2"/>
    <w:rsid w:val="0099539D"/>
    <w:rsid w:val="009961EE"/>
    <w:rsid w:val="0099645D"/>
    <w:rsid w:val="009965E8"/>
    <w:rsid w:val="00996906"/>
    <w:rsid w:val="009970C2"/>
    <w:rsid w:val="00997324"/>
    <w:rsid w:val="009A02E1"/>
    <w:rsid w:val="009A0B7F"/>
    <w:rsid w:val="009A0E63"/>
    <w:rsid w:val="009A12EC"/>
    <w:rsid w:val="009A1AE8"/>
    <w:rsid w:val="009A3603"/>
    <w:rsid w:val="009A38A1"/>
    <w:rsid w:val="009A3A08"/>
    <w:rsid w:val="009A3A92"/>
    <w:rsid w:val="009A6C10"/>
    <w:rsid w:val="009A7650"/>
    <w:rsid w:val="009A78C9"/>
    <w:rsid w:val="009A7DD9"/>
    <w:rsid w:val="009B0A04"/>
    <w:rsid w:val="009B0C20"/>
    <w:rsid w:val="009B1157"/>
    <w:rsid w:val="009B253E"/>
    <w:rsid w:val="009B3546"/>
    <w:rsid w:val="009B5F66"/>
    <w:rsid w:val="009B621C"/>
    <w:rsid w:val="009B6329"/>
    <w:rsid w:val="009B6A57"/>
    <w:rsid w:val="009B6A84"/>
    <w:rsid w:val="009B7204"/>
    <w:rsid w:val="009B73D1"/>
    <w:rsid w:val="009B787B"/>
    <w:rsid w:val="009C018F"/>
    <w:rsid w:val="009C09F9"/>
    <w:rsid w:val="009C0CFB"/>
    <w:rsid w:val="009C265F"/>
    <w:rsid w:val="009C3D2D"/>
    <w:rsid w:val="009C51E2"/>
    <w:rsid w:val="009C5872"/>
    <w:rsid w:val="009C5F03"/>
    <w:rsid w:val="009C7B5B"/>
    <w:rsid w:val="009D011E"/>
    <w:rsid w:val="009D06F9"/>
    <w:rsid w:val="009D08B1"/>
    <w:rsid w:val="009D0991"/>
    <w:rsid w:val="009D2A7B"/>
    <w:rsid w:val="009D5B9E"/>
    <w:rsid w:val="009D6262"/>
    <w:rsid w:val="009D6ED9"/>
    <w:rsid w:val="009D7246"/>
    <w:rsid w:val="009E0483"/>
    <w:rsid w:val="009E111F"/>
    <w:rsid w:val="009E1A8E"/>
    <w:rsid w:val="009E1F5C"/>
    <w:rsid w:val="009E21BE"/>
    <w:rsid w:val="009E29C4"/>
    <w:rsid w:val="009E37BE"/>
    <w:rsid w:val="009E5252"/>
    <w:rsid w:val="009E5C3E"/>
    <w:rsid w:val="009E6315"/>
    <w:rsid w:val="009E6952"/>
    <w:rsid w:val="009E6CD0"/>
    <w:rsid w:val="009F0598"/>
    <w:rsid w:val="009F066E"/>
    <w:rsid w:val="009F0B29"/>
    <w:rsid w:val="009F16A5"/>
    <w:rsid w:val="009F1BE3"/>
    <w:rsid w:val="009F3253"/>
    <w:rsid w:val="009F3947"/>
    <w:rsid w:val="009F3C69"/>
    <w:rsid w:val="009F4453"/>
    <w:rsid w:val="009F4EE5"/>
    <w:rsid w:val="009F4F59"/>
    <w:rsid w:val="009F57FC"/>
    <w:rsid w:val="009F58F1"/>
    <w:rsid w:val="009F5C15"/>
    <w:rsid w:val="009F6099"/>
    <w:rsid w:val="009F71E5"/>
    <w:rsid w:val="009F7594"/>
    <w:rsid w:val="00A002E7"/>
    <w:rsid w:val="00A03362"/>
    <w:rsid w:val="00A033A0"/>
    <w:rsid w:val="00A05156"/>
    <w:rsid w:val="00A05AEC"/>
    <w:rsid w:val="00A05F32"/>
    <w:rsid w:val="00A066A8"/>
    <w:rsid w:val="00A07634"/>
    <w:rsid w:val="00A07DE6"/>
    <w:rsid w:val="00A110CE"/>
    <w:rsid w:val="00A1119C"/>
    <w:rsid w:val="00A11A64"/>
    <w:rsid w:val="00A11ECE"/>
    <w:rsid w:val="00A11EF8"/>
    <w:rsid w:val="00A12009"/>
    <w:rsid w:val="00A12B00"/>
    <w:rsid w:val="00A12CB0"/>
    <w:rsid w:val="00A13937"/>
    <w:rsid w:val="00A13AA0"/>
    <w:rsid w:val="00A14195"/>
    <w:rsid w:val="00A15054"/>
    <w:rsid w:val="00A15378"/>
    <w:rsid w:val="00A15530"/>
    <w:rsid w:val="00A16300"/>
    <w:rsid w:val="00A17164"/>
    <w:rsid w:val="00A179F0"/>
    <w:rsid w:val="00A17D7F"/>
    <w:rsid w:val="00A17F73"/>
    <w:rsid w:val="00A2038D"/>
    <w:rsid w:val="00A20E2C"/>
    <w:rsid w:val="00A2111D"/>
    <w:rsid w:val="00A21437"/>
    <w:rsid w:val="00A21CF6"/>
    <w:rsid w:val="00A21E44"/>
    <w:rsid w:val="00A222C5"/>
    <w:rsid w:val="00A24DC4"/>
    <w:rsid w:val="00A251FF"/>
    <w:rsid w:val="00A2637F"/>
    <w:rsid w:val="00A267FE"/>
    <w:rsid w:val="00A2685F"/>
    <w:rsid w:val="00A26AE0"/>
    <w:rsid w:val="00A26C95"/>
    <w:rsid w:val="00A2794E"/>
    <w:rsid w:val="00A301A0"/>
    <w:rsid w:val="00A307D1"/>
    <w:rsid w:val="00A308B8"/>
    <w:rsid w:val="00A309A8"/>
    <w:rsid w:val="00A3186A"/>
    <w:rsid w:val="00A32BA1"/>
    <w:rsid w:val="00A32E1B"/>
    <w:rsid w:val="00A32F36"/>
    <w:rsid w:val="00A32FDA"/>
    <w:rsid w:val="00A33DB0"/>
    <w:rsid w:val="00A34E8D"/>
    <w:rsid w:val="00A351A8"/>
    <w:rsid w:val="00A36176"/>
    <w:rsid w:val="00A36956"/>
    <w:rsid w:val="00A37C95"/>
    <w:rsid w:val="00A40A51"/>
    <w:rsid w:val="00A40D98"/>
    <w:rsid w:val="00A41148"/>
    <w:rsid w:val="00A4250C"/>
    <w:rsid w:val="00A42B24"/>
    <w:rsid w:val="00A44558"/>
    <w:rsid w:val="00A44F72"/>
    <w:rsid w:val="00A47593"/>
    <w:rsid w:val="00A50B8C"/>
    <w:rsid w:val="00A5222D"/>
    <w:rsid w:val="00A5230A"/>
    <w:rsid w:val="00A53016"/>
    <w:rsid w:val="00A53903"/>
    <w:rsid w:val="00A54B69"/>
    <w:rsid w:val="00A55833"/>
    <w:rsid w:val="00A55BAD"/>
    <w:rsid w:val="00A564E4"/>
    <w:rsid w:val="00A56B60"/>
    <w:rsid w:val="00A56B64"/>
    <w:rsid w:val="00A56F83"/>
    <w:rsid w:val="00A5792F"/>
    <w:rsid w:val="00A57A17"/>
    <w:rsid w:val="00A57BAB"/>
    <w:rsid w:val="00A60A37"/>
    <w:rsid w:val="00A611C0"/>
    <w:rsid w:val="00A6134C"/>
    <w:rsid w:val="00A62981"/>
    <w:rsid w:val="00A62BFB"/>
    <w:rsid w:val="00A63477"/>
    <w:rsid w:val="00A63552"/>
    <w:rsid w:val="00A652C4"/>
    <w:rsid w:val="00A6561D"/>
    <w:rsid w:val="00A66F53"/>
    <w:rsid w:val="00A67088"/>
    <w:rsid w:val="00A70529"/>
    <w:rsid w:val="00A70641"/>
    <w:rsid w:val="00A7219B"/>
    <w:rsid w:val="00A72E71"/>
    <w:rsid w:val="00A72EAC"/>
    <w:rsid w:val="00A73FB6"/>
    <w:rsid w:val="00A74CDD"/>
    <w:rsid w:val="00A758CA"/>
    <w:rsid w:val="00A77079"/>
    <w:rsid w:val="00A7717E"/>
    <w:rsid w:val="00A77538"/>
    <w:rsid w:val="00A77FF1"/>
    <w:rsid w:val="00A805B1"/>
    <w:rsid w:val="00A80649"/>
    <w:rsid w:val="00A80D71"/>
    <w:rsid w:val="00A8163D"/>
    <w:rsid w:val="00A82068"/>
    <w:rsid w:val="00A83155"/>
    <w:rsid w:val="00A83CD7"/>
    <w:rsid w:val="00A83DAC"/>
    <w:rsid w:val="00A846E2"/>
    <w:rsid w:val="00A862D3"/>
    <w:rsid w:val="00A87871"/>
    <w:rsid w:val="00A910C0"/>
    <w:rsid w:val="00A916E3"/>
    <w:rsid w:val="00A91F1B"/>
    <w:rsid w:val="00A922A0"/>
    <w:rsid w:val="00A9316C"/>
    <w:rsid w:val="00A93623"/>
    <w:rsid w:val="00A94A18"/>
    <w:rsid w:val="00A950A4"/>
    <w:rsid w:val="00A95692"/>
    <w:rsid w:val="00A95769"/>
    <w:rsid w:val="00A95AB1"/>
    <w:rsid w:val="00A96F22"/>
    <w:rsid w:val="00A9729E"/>
    <w:rsid w:val="00A97499"/>
    <w:rsid w:val="00AA077A"/>
    <w:rsid w:val="00AA0BF4"/>
    <w:rsid w:val="00AA362A"/>
    <w:rsid w:val="00AA3D0D"/>
    <w:rsid w:val="00AA3F36"/>
    <w:rsid w:val="00AA4095"/>
    <w:rsid w:val="00AA45DF"/>
    <w:rsid w:val="00AA4BAB"/>
    <w:rsid w:val="00AA4BB1"/>
    <w:rsid w:val="00AA737C"/>
    <w:rsid w:val="00AA7D55"/>
    <w:rsid w:val="00AB023D"/>
    <w:rsid w:val="00AB0B24"/>
    <w:rsid w:val="00AB121D"/>
    <w:rsid w:val="00AB1AFB"/>
    <w:rsid w:val="00AB23B9"/>
    <w:rsid w:val="00AB330A"/>
    <w:rsid w:val="00AB35C6"/>
    <w:rsid w:val="00AB4862"/>
    <w:rsid w:val="00AB4D52"/>
    <w:rsid w:val="00AB625F"/>
    <w:rsid w:val="00AB764A"/>
    <w:rsid w:val="00AB7BAA"/>
    <w:rsid w:val="00AC03CE"/>
    <w:rsid w:val="00AC0513"/>
    <w:rsid w:val="00AC05C8"/>
    <w:rsid w:val="00AC1484"/>
    <w:rsid w:val="00AC2C16"/>
    <w:rsid w:val="00AC2CCD"/>
    <w:rsid w:val="00AC4263"/>
    <w:rsid w:val="00AC4B79"/>
    <w:rsid w:val="00AC58A9"/>
    <w:rsid w:val="00AC63D3"/>
    <w:rsid w:val="00AC65D7"/>
    <w:rsid w:val="00AC6C5F"/>
    <w:rsid w:val="00AC6C8F"/>
    <w:rsid w:val="00AD0D5C"/>
    <w:rsid w:val="00AD1186"/>
    <w:rsid w:val="00AD220F"/>
    <w:rsid w:val="00AD26C1"/>
    <w:rsid w:val="00AD5B12"/>
    <w:rsid w:val="00AD6D86"/>
    <w:rsid w:val="00AD7228"/>
    <w:rsid w:val="00AD7862"/>
    <w:rsid w:val="00AD7CF9"/>
    <w:rsid w:val="00AE04C7"/>
    <w:rsid w:val="00AE1D51"/>
    <w:rsid w:val="00AE221D"/>
    <w:rsid w:val="00AE2D07"/>
    <w:rsid w:val="00AE2FAD"/>
    <w:rsid w:val="00AE3AFA"/>
    <w:rsid w:val="00AE4864"/>
    <w:rsid w:val="00AE4991"/>
    <w:rsid w:val="00AE681A"/>
    <w:rsid w:val="00AE77BD"/>
    <w:rsid w:val="00AE7BF0"/>
    <w:rsid w:val="00AE7DB2"/>
    <w:rsid w:val="00AF1B54"/>
    <w:rsid w:val="00AF345F"/>
    <w:rsid w:val="00AF3520"/>
    <w:rsid w:val="00AF3D20"/>
    <w:rsid w:val="00AF4AE5"/>
    <w:rsid w:val="00AF4B5C"/>
    <w:rsid w:val="00AF50E7"/>
    <w:rsid w:val="00AF5C69"/>
    <w:rsid w:val="00AF6962"/>
    <w:rsid w:val="00AF72F0"/>
    <w:rsid w:val="00AF733B"/>
    <w:rsid w:val="00AF759D"/>
    <w:rsid w:val="00AF7B09"/>
    <w:rsid w:val="00B0011F"/>
    <w:rsid w:val="00B00692"/>
    <w:rsid w:val="00B00F88"/>
    <w:rsid w:val="00B0192C"/>
    <w:rsid w:val="00B02597"/>
    <w:rsid w:val="00B032BF"/>
    <w:rsid w:val="00B03C82"/>
    <w:rsid w:val="00B04A00"/>
    <w:rsid w:val="00B04B0C"/>
    <w:rsid w:val="00B04C58"/>
    <w:rsid w:val="00B05203"/>
    <w:rsid w:val="00B07081"/>
    <w:rsid w:val="00B07303"/>
    <w:rsid w:val="00B07500"/>
    <w:rsid w:val="00B076A3"/>
    <w:rsid w:val="00B07D1A"/>
    <w:rsid w:val="00B07E04"/>
    <w:rsid w:val="00B10390"/>
    <w:rsid w:val="00B105D6"/>
    <w:rsid w:val="00B1227B"/>
    <w:rsid w:val="00B122B4"/>
    <w:rsid w:val="00B12C0F"/>
    <w:rsid w:val="00B131D8"/>
    <w:rsid w:val="00B14584"/>
    <w:rsid w:val="00B149C3"/>
    <w:rsid w:val="00B14AB0"/>
    <w:rsid w:val="00B15095"/>
    <w:rsid w:val="00B153DE"/>
    <w:rsid w:val="00B176A8"/>
    <w:rsid w:val="00B21070"/>
    <w:rsid w:val="00B224BD"/>
    <w:rsid w:val="00B2286B"/>
    <w:rsid w:val="00B22E65"/>
    <w:rsid w:val="00B22F03"/>
    <w:rsid w:val="00B233DA"/>
    <w:rsid w:val="00B261D7"/>
    <w:rsid w:val="00B26913"/>
    <w:rsid w:val="00B27621"/>
    <w:rsid w:val="00B27C8F"/>
    <w:rsid w:val="00B30823"/>
    <w:rsid w:val="00B30AA3"/>
    <w:rsid w:val="00B30AB4"/>
    <w:rsid w:val="00B30ABD"/>
    <w:rsid w:val="00B32681"/>
    <w:rsid w:val="00B3475D"/>
    <w:rsid w:val="00B34E81"/>
    <w:rsid w:val="00B3552C"/>
    <w:rsid w:val="00B374FC"/>
    <w:rsid w:val="00B414D6"/>
    <w:rsid w:val="00B417A4"/>
    <w:rsid w:val="00B42835"/>
    <w:rsid w:val="00B431A5"/>
    <w:rsid w:val="00B43273"/>
    <w:rsid w:val="00B43DAA"/>
    <w:rsid w:val="00B44BD4"/>
    <w:rsid w:val="00B44CDE"/>
    <w:rsid w:val="00B456C9"/>
    <w:rsid w:val="00B46244"/>
    <w:rsid w:val="00B46413"/>
    <w:rsid w:val="00B4699F"/>
    <w:rsid w:val="00B47337"/>
    <w:rsid w:val="00B47425"/>
    <w:rsid w:val="00B47467"/>
    <w:rsid w:val="00B47E7D"/>
    <w:rsid w:val="00B506FB"/>
    <w:rsid w:val="00B51B74"/>
    <w:rsid w:val="00B5261C"/>
    <w:rsid w:val="00B52752"/>
    <w:rsid w:val="00B52CE0"/>
    <w:rsid w:val="00B53282"/>
    <w:rsid w:val="00B53663"/>
    <w:rsid w:val="00B53DC8"/>
    <w:rsid w:val="00B54106"/>
    <w:rsid w:val="00B541BE"/>
    <w:rsid w:val="00B54259"/>
    <w:rsid w:val="00B54344"/>
    <w:rsid w:val="00B554C0"/>
    <w:rsid w:val="00B57BCD"/>
    <w:rsid w:val="00B60666"/>
    <w:rsid w:val="00B60DE5"/>
    <w:rsid w:val="00B614D6"/>
    <w:rsid w:val="00B62B91"/>
    <w:rsid w:val="00B63C2A"/>
    <w:rsid w:val="00B6576E"/>
    <w:rsid w:val="00B659E5"/>
    <w:rsid w:val="00B65ECE"/>
    <w:rsid w:val="00B664D4"/>
    <w:rsid w:val="00B672BF"/>
    <w:rsid w:val="00B70170"/>
    <w:rsid w:val="00B70B01"/>
    <w:rsid w:val="00B70C95"/>
    <w:rsid w:val="00B71481"/>
    <w:rsid w:val="00B718C4"/>
    <w:rsid w:val="00B71EE1"/>
    <w:rsid w:val="00B72470"/>
    <w:rsid w:val="00B72948"/>
    <w:rsid w:val="00B735F7"/>
    <w:rsid w:val="00B736DB"/>
    <w:rsid w:val="00B7389F"/>
    <w:rsid w:val="00B73EEE"/>
    <w:rsid w:val="00B75B2E"/>
    <w:rsid w:val="00B75B80"/>
    <w:rsid w:val="00B76C28"/>
    <w:rsid w:val="00B776CF"/>
    <w:rsid w:val="00B777EA"/>
    <w:rsid w:val="00B77D98"/>
    <w:rsid w:val="00B8028E"/>
    <w:rsid w:val="00B8076E"/>
    <w:rsid w:val="00B80F54"/>
    <w:rsid w:val="00B8197B"/>
    <w:rsid w:val="00B81D50"/>
    <w:rsid w:val="00B82D0F"/>
    <w:rsid w:val="00B82FAB"/>
    <w:rsid w:val="00B83F97"/>
    <w:rsid w:val="00B843A8"/>
    <w:rsid w:val="00B84520"/>
    <w:rsid w:val="00B84DC7"/>
    <w:rsid w:val="00B85B2F"/>
    <w:rsid w:val="00B86291"/>
    <w:rsid w:val="00B87F0E"/>
    <w:rsid w:val="00B90E2D"/>
    <w:rsid w:val="00B90FE1"/>
    <w:rsid w:val="00B91AF0"/>
    <w:rsid w:val="00B9203B"/>
    <w:rsid w:val="00B92CFC"/>
    <w:rsid w:val="00B93938"/>
    <w:rsid w:val="00B9412F"/>
    <w:rsid w:val="00B965AF"/>
    <w:rsid w:val="00B96DCD"/>
    <w:rsid w:val="00B97134"/>
    <w:rsid w:val="00B97793"/>
    <w:rsid w:val="00B97CD2"/>
    <w:rsid w:val="00B97FB1"/>
    <w:rsid w:val="00BA015C"/>
    <w:rsid w:val="00BA04EA"/>
    <w:rsid w:val="00BA1D49"/>
    <w:rsid w:val="00BA1D75"/>
    <w:rsid w:val="00BA2DD8"/>
    <w:rsid w:val="00BA43B3"/>
    <w:rsid w:val="00BA5905"/>
    <w:rsid w:val="00BA59BF"/>
    <w:rsid w:val="00BA64F7"/>
    <w:rsid w:val="00BA743E"/>
    <w:rsid w:val="00BA79E1"/>
    <w:rsid w:val="00BB0C87"/>
    <w:rsid w:val="00BB439F"/>
    <w:rsid w:val="00BB4CBD"/>
    <w:rsid w:val="00BB4DAD"/>
    <w:rsid w:val="00BB5250"/>
    <w:rsid w:val="00BB5752"/>
    <w:rsid w:val="00BB5CEF"/>
    <w:rsid w:val="00BB63FC"/>
    <w:rsid w:val="00BB691C"/>
    <w:rsid w:val="00BB69FF"/>
    <w:rsid w:val="00BC02BF"/>
    <w:rsid w:val="00BC03A4"/>
    <w:rsid w:val="00BC0935"/>
    <w:rsid w:val="00BC1238"/>
    <w:rsid w:val="00BC1244"/>
    <w:rsid w:val="00BC132E"/>
    <w:rsid w:val="00BC13D9"/>
    <w:rsid w:val="00BC13FB"/>
    <w:rsid w:val="00BC2961"/>
    <w:rsid w:val="00BC29B4"/>
    <w:rsid w:val="00BC3725"/>
    <w:rsid w:val="00BC41C2"/>
    <w:rsid w:val="00BC4804"/>
    <w:rsid w:val="00BC5404"/>
    <w:rsid w:val="00BC5859"/>
    <w:rsid w:val="00BC5DE4"/>
    <w:rsid w:val="00BC607F"/>
    <w:rsid w:val="00BC6978"/>
    <w:rsid w:val="00BC6C03"/>
    <w:rsid w:val="00BC6CBA"/>
    <w:rsid w:val="00BC76F9"/>
    <w:rsid w:val="00BD0028"/>
    <w:rsid w:val="00BD0A79"/>
    <w:rsid w:val="00BD1036"/>
    <w:rsid w:val="00BD1BFD"/>
    <w:rsid w:val="00BD2062"/>
    <w:rsid w:val="00BD2755"/>
    <w:rsid w:val="00BD3150"/>
    <w:rsid w:val="00BD37FC"/>
    <w:rsid w:val="00BD4804"/>
    <w:rsid w:val="00BD48BA"/>
    <w:rsid w:val="00BD5A54"/>
    <w:rsid w:val="00BD5CAE"/>
    <w:rsid w:val="00BD7028"/>
    <w:rsid w:val="00BD7329"/>
    <w:rsid w:val="00BE022F"/>
    <w:rsid w:val="00BE03D3"/>
    <w:rsid w:val="00BE0AAD"/>
    <w:rsid w:val="00BE135D"/>
    <w:rsid w:val="00BE306B"/>
    <w:rsid w:val="00BE34DB"/>
    <w:rsid w:val="00BE4EA9"/>
    <w:rsid w:val="00BE707F"/>
    <w:rsid w:val="00BF073B"/>
    <w:rsid w:val="00BF07A1"/>
    <w:rsid w:val="00BF0B5F"/>
    <w:rsid w:val="00BF1B33"/>
    <w:rsid w:val="00BF2B5D"/>
    <w:rsid w:val="00BF2F34"/>
    <w:rsid w:val="00BF3796"/>
    <w:rsid w:val="00BF3A3F"/>
    <w:rsid w:val="00BF3F0D"/>
    <w:rsid w:val="00BF43A7"/>
    <w:rsid w:val="00BF5396"/>
    <w:rsid w:val="00BF5724"/>
    <w:rsid w:val="00BF5777"/>
    <w:rsid w:val="00BF61AB"/>
    <w:rsid w:val="00BF65FE"/>
    <w:rsid w:val="00BF66E5"/>
    <w:rsid w:val="00BF67ED"/>
    <w:rsid w:val="00BF73F6"/>
    <w:rsid w:val="00BF7638"/>
    <w:rsid w:val="00BF7B2D"/>
    <w:rsid w:val="00C00EF2"/>
    <w:rsid w:val="00C01FAF"/>
    <w:rsid w:val="00C0240A"/>
    <w:rsid w:val="00C0241C"/>
    <w:rsid w:val="00C0341A"/>
    <w:rsid w:val="00C03F46"/>
    <w:rsid w:val="00C05924"/>
    <w:rsid w:val="00C061B4"/>
    <w:rsid w:val="00C06520"/>
    <w:rsid w:val="00C07133"/>
    <w:rsid w:val="00C0795A"/>
    <w:rsid w:val="00C07E5B"/>
    <w:rsid w:val="00C114EB"/>
    <w:rsid w:val="00C12C24"/>
    <w:rsid w:val="00C12DAC"/>
    <w:rsid w:val="00C14F42"/>
    <w:rsid w:val="00C1670B"/>
    <w:rsid w:val="00C17031"/>
    <w:rsid w:val="00C17BD0"/>
    <w:rsid w:val="00C20002"/>
    <w:rsid w:val="00C200FF"/>
    <w:rsid w:val="00C205A3"/>
    <w:rsid w:val="00C20690"/>
    <w:rsid w:val="00C20847"/>
    <w:rsid w:val="00C20CF5"/>
    <w:rsid w:val="00C21906"/>
    <w:rsid w:val="00C224E0"/>
    <w:rsid w:val="00C23805"/>
    <w:rsid w:val="00C2396B"/>
    <w:rsid w:val="00C23A07"/>
    <w:rsid w:val="00C23AD9"/>
    <w:rsid w:val="00C23B4F"/>
    <w:rsid w:val="00C2574F"/>
    <w:rsid w:val="00C2589D"/>
    <w:rsid w:val="00C25F42"/>
    <w:rsid w:val="00C2763D"/>
    <w:rsid w:val="00C27B25"/>
    <w:rsid w:val="00C27FCD"/>
    <w:rsid w:val="00C30E64"/>
    <w:rsid w:val="00C32381"/>
    <w:rsid w:val="00C326E0"/>
    <w:rsid w:val="00C32868"/>
    <w:rsid w:val="00C32C9B"/>
    <w:rsid w:val="00C33EF2"/>
    <w:rsid w:val="00C34207"/>
    <w:rsid w:val="00C3448C"/>
    <w:rsid w:val="00C34A44"/>
    <w:rsid w:val="00C357EB"/>
    <w:rsid w:val="00C35EB7"/>
    <w:rsid w:val="00C37480"/>
    <w:rsid w:val="00C3790E"/>
    <w:rsid w:val="00C400BC"/>
    <w:rsid w:val="00C401B3"/>
    <w:rsid w:val="00C40329"/>
    <w:rsid w:val="00C407C4"/>
    <w:rsid w:val="00C41BCF"/>
    <w:rsid w:val="00C4244D"/>
    <w:rsid w:val="00C42CD1"/>
    <w:rsid w:val="00C434B3"/>
    <w:rsid w:val="00C437FD"/>
    <w:rsid w:val="00C4467D"/>
    <w:rsid w:val="00C45223"/>
    <w:rsid w:val="00C457FB"/>
    <w:rsid w:val="00C459F4"/>
    <w:rsid w:val="00C45D2D"/>
    <w:rsid w:val="00C46532"/>
    <w:rsid w:val="00C479FE"/>
    <w:rsid w:val="00C47D46"/>
    <w:rsid w:val="00C50BE5"/>
    <w:rsid w:val="00C512A5"/>
    <w:rsid w:val="00C51663"/>
    <w:rsid w:val="00C51E37"/>
    <w:rsid w:val="00C531AA"/>
    <w:rsid w:val="00C5372A"/>
    <w:rsid w:val="00C54282"/>
    <w:rsid w:val="00C54676"/>
    <w:rsid w:val="00C54C32"/>
    <w:rsid w:val="00C55391"/>
    <w:rsid w:val="00C55A45"/>
    <w:rsid w:val="00C565F9"/>
    <w:rsid w:val="00C57E28"/>
    <w:rsid w:val="00C612CC"/>
    <w:rsid w:val="00C616BE"/>
    <w:rsid w:val="00C6312B"/>
    <w:rsid w:val="00C63B34"/>
    <w:rsid w:val="00C6476A"/>
    <w:rsid w:val="00C6487C"/>
    <w:rsid w:val="00C6661C"/>
    <w:rsid w:val="00C66D4F"/>
    <w:rsid w:val="00C6722C"/>
    <w:rsid w:val="00C71358"/>
    <w:rsid w:val="00C71ED6"/>
    <w:rsid w:val="00C73274"/>
    <w:rsid w:val="00C7412D"/>
    <w:rsid w:val="00C74891"/>
    <w:rsid w:val="00C74E11"/>
    <w:rsid w:val="00C75073"/>
    <w:rsid w:val="00C75130"/>
    <w:rsid w:val="00C755C2"/>
    <w:rsid w:val="00C757F3"/>
    <w:rsid w:val="00C75D46"/>
    <w:rsid w:val="00C7646B"/>
    <w:rsid w:val="00C76EB5"/>
    <w:rsid w:val="00C77133"/>
    <w:rsid w:val="00C771B5"/>
    <w:rsid w:val="00C775A8"/>
    <w:rsid w:val="00C81415"/>
    <w:rsid w:val="00C817AF"/>
    <w:rsid w:val="00C818E3"/>
    <w:rsid w:val="00C81E84"/>
    <w:rsid w:val="00C836D9"/>
    <w:rsid w:val="00C842CB"/>
    <w:rsid w:val="00C846B0"/>
    <w:rsid w:val="00C85117"/>
    <w:rsid w:val="00C85135"/>
    <w:rsid w:val="00C85364"/>
    <w:rsid w:val="00C853D4"/>
    <w:rsid w:val="00C8599F"/>
    <w:rsid w:val="00C85A6E"/>
    <w:rsid w:val="00C86364"/>
    <w:rsid w:val="00C87D43"/>
    <w:rsid w:val="00C87D66"/>
    <w:rsid w:val="00C87F21"/>
    <w:rsid w:val="00C9034D"/>
    <w:rsid w:val="00C909B3"/>
    <w:rsid w:val="00C90C96"/>
    <w:rsid w:val="00C9142E"/>
    <w:rsid w:val="00C91488"/>
    <w:rsid w:val="00C92051"/>
    <w:rsid w:val="00C93101"/>
    <w:rsid w:val="00C931BF"/>
    <w:rsid w:val="00C93CD0"/>
    <w:rsid w:val="00C93F25"/>
    <w:rsid w:val="00C94151"/>
    <w:rsid w:val="00C94A7C"/>
    <w:rsid w:val="00C94ACF"/>
    <w:rsid w:val="00C94E2D"/>
    <w:rsid w:val="00C95F22"/>
    <w:rsid w:val="00C962A3"/>
    <w:rsid w:val="00C96D3A"/>
    <w:rsid w:val="00C973FF"/>
    <w:rsid w:val="00CA01FE"/>
    <w:rsid w:val="00CA0A98"/>
    <w:rsid w:val="00CA0A9F"/>
    <w:rsid w:val="00CA0E23"/>
    <w:rsid w:val="00CA153F"/>
    <w:rsid w:val="00CA15B8"/>
    <w:rsid w:val="00CA1C48"/>
    <w:rsid w:val="00CA2EA4"/>
    <w:rsid w:val="00CA33DC"/>
    <w:rsid w:val="00CA3B5C"/>
    <w:rsid w:val="00CA443A"/>
    <w:rsid w:val="00CA486D"/>
    <w:rsid w:val="00CA4992"/>
    <w:rsid w:val="00CA4A05"/>
    <w:rsid w:val="00CA56EF"/>
    <w:rsid w:val="00CA5917"/>
    <w:rsid w:val="00CA5CC1"/>
    <w:rsid w:val="00CA6B5D"/>
    <w:rsid w:val="00CB090E"/>
    <w:rsid w:val="00CB0F22"/>
    <w:rsid w:val="00CB0F6E"/>
    <w:rsid w:val="00CB11BD"/>
    <w:rsid w:val="00CB15FD"/>
    <w:rsid w:val="00CB176E"/>
    <w:rsid w:val="00CB28D4"/>
    <w:rsid w:val="00CB3C99"/>
    <w:rsid w:val="00CB40FA"/>
    <w:rsid w:val="00CB51E5"/>
    <w:rsid w:val="00CB549A"/>
    <w:rsid w:val="00CB5617"/>
    <w:rsid w:val="00CB59F1"/>
    <w:rsid w:val="00CB6409"/>
    <w:rsid w:val="00CB6822"/>
    <w:rsid w:val="00CB68A5"/>
    <w:rsid w:val="00CB70D3"/>
    <w:rsid w:val="00CB7F3A"/>
    <w:rsid w:val="00CC0505"/>
    <w:rsid w:val="00CC0801"/>
    <w:rsid w:val="00CC1C43"/>
    <w:rsid w:val="00CC299A"/>
    <w:rsid w:val="00CC2F50"/>
    <w:rsid w:val="00CC36F5"/>
    <w:rsid w:val="00CC397E"/>
    <w:rsid w:val="00CC42B5"/>
    <w:rsid w:val="00CC57C3"/>
    <w:rsid w:val="00CC5F0A"/>
    <w:rsid w:val="00CC6864"/>
    <w:rsid w:val="00CC6E33"/>
    <w:rsid w:val="00CC71A8"/>
    <w:rsid w:val="00CC7D22"/>
    <w:rsid w:val="00CD0BFC"/>
    <w:rsid w:val="00CD1B0C"/>
    <w:rsid w:val="00CD20AB"/>
    <w:rsid w:val="00CD32DA"/>
    <w:rsid w:val="00CD35DC"/>
    <w:rsid w:val="00CD37A7"/>
    <w:rsid w:val="00CD4484"/>
    <w:rsid w:val="00CD4FF9"/>
    <w:rsid w:val="00CD53E9"/>
    <w:rsid w:val="00CD6086"/>
    <w:rsid w:val="00CD63C4"/>
    <w:rsid w:val="00CD67DB"/>
    <w:rsid w:val="00CD67FC"/>
    <w:rsid w:val="00CE00A8"/>
    <w:rsid w:val="00CE1358"/>
    <w:rsid w:val="00CE157D"/>
    <w:rsid w:val="00CE45E7"/>
    <w:rsid w:val="00CE4D39"/>
    <w:rsid w:val="00CE528B"/>
    <w:rsid w:val="00CE53A1"/>
    <w:rsid w:val="00CE58B5"/>
    <w:rsid w:val="00CE5AA8"/>
    <w:rsid w:val="00CE5BAC"/>
    <w:rsid w:val="00CE5BB7"/>
    <w:rsid w:val="00CE6013"/>
    <w:rsid w:val="00CE6260"/>
    <w:rsid w:val="00CE6A0A"/>
    <w:rsid w:val="00CE7C32"/>
    <w:rsid w:val="00CF06C8"/>
    <w:rsid w:val="00CF0F16"/>
    <w:rsid w:val="00CF1732"/>
    <w:rsid w:val="00CF18DA"/>
    <w:rsid w:val="00CF1CA5"/>
    <w:rsid w:val="00CF1D89"/>
    <w:rsid w:val="00CF280F"/>
    <w:rsid w:val="00CF2AD2"/>
    <w:rsid w:val="00CF2CAC"/>
    <w:rsid w:val="00CF3E68"/>
    <w:rsid w:val="00CF3FE7"/>
    <w:rsid w:val="00CF41A4"/>
    <w:rsid w:val="00CF49C8"/>
    <w:rsid w:val="00CF532D"/>
    <w:rsid w:val="00CF5576"/>
    <w:rsid w:val="00CF5859"/>
    <w:rsid w:val="00CF5F2E"/>
    <w:rsid w:val="00CF60EF"/>
    <w:rsid w:val="00CF69A9"/>
    <w:rsid w:val="00CF74CC"/>
    <w:rsid w:val="00CF77CF"/>
    <w:rsid w:val="00CF7D36"/>
    <w:rsid w:val="00CF7E6D"/>
    <w:rsid w:val="00D00E79"/>
    <w:rsid w:val="00D01396"/>
    <w:rsid w:val="00D01461"/>
    <w:rsid w:val="00D0174B"/>
    <w:rsid w:val="00D04AFF"/>
    <w:rsid w:val="00D04BF9"/>
    <w:rsid w:val="00D052FD"/>
    <w:rsid w:val="00D05939"/>
    <w:rsid w:val="00D07728"/>
    <w:rsid w:val="00D0783D"/>
    <w:rsid w:val="00D07B25"/>
    <w:rsid w:val="00D113A6"/>
    <w:rsid w:val="00D12B2D"/>
    <w:rsid w:val="00D1355E"/>
    <w:rsid w:val="00D136D3"/>
    <w:rsid w:val="00D13E87"/>
    <w:rsid w:val="00D14367"/>
    <w:rsid w:val="00D145CF"/>
    <w:rsid w:val="00D14A2D"/>
    <w:rsid w:val="00D15175"/>
    <w:rsid w:val="00D15A41"/>
    <w:rsid w:val="00D15E38"/>
    <w:rsid w:val="00D1645A"/>
    <w:rsid w:val="00D16F4B"/>
    <w:rsid w:val="00D17FF8"/>
    <w:rsid w:val="00D205DD"/>
    <w:rsid w:val="00D205E6"/>
    <w:rsid w:val="00D20780"/>
    <w:rsid w:val="00D20883"/>
    <w:rsid w:val="00D21628"/>
    <w:rsid w:val="00D21936"/>
    <w:rsid w:val="00D21BD8"/>
    <w:rsid w:val="00D2234D"/>
    <w:rsid w:val="00D2267F"/>
    <w:rsid w:val="00D2313E"/>
    <w:rsid w:val="00D234DC"/>
    <w:rsid w:val="00D24710"/>
    <w:rsid w:val="00D24C81"/>
    <w:rsid w:val="00D25EC6"/>
    <w:rsid w:val="00D2660F"/>
    <w:rsid w:val="00D26682"/>
    <w:rsid w:val="00D26BB6"/>
    <w:rsid w:val="00D26C95"/>
    <w:rsid w:val="00D26FA0"/>
    <w:rsid w:val="00D273CA"/>
    <w:rsid w:val="00D27F2C"/>
    <w:rsid w:val="00D30603"/>
    <w:rsid w:val="00D30DD8"/>
    <w:rsid w:val="00D32366"/>
    <w:rsid w:val="00D324E0"/>
    <w:rsid w:val="00D33557"/>
    <w:rsid w:val="00D345BC"/>
    <w:rsid w:val="00D34678"/>
    <w:rsid w:val="00D350D1"/>
    <w:rsid w:val="00D3552B"/>
    <w:rsid w:val="00D35DE3"/>
    <w:rsid w:val="00D364CF"/>
    <w:rsid w:val="00D368AD"/>
    <w:rsid w:val="00D36972"/>
    <w:rsid w:val="00D376CF"/>
    <w:rsid w:val="00D379DA"/>
    <w:rsid w:val="00D37C92"/>
    <w:rsid w:val="00D37FDB"/>
    <w:rsid w:val="00D40770"/>
    <w:rsid w:val="00D40E4E"/>
    <w:rsid w:val="00D4168B"/>
    <w:rsid w:val="00D41D03"/>
    <w:rsid w:val="00D425FB"/>
    <w:rsid w:val="00D42615"/>
    <w:rsid w:val="00D426DF"/>
    <w:rsid w:val="00D428B3"/>
    <w:rsid w:val="00D4418B"/>
    <w:rsid w:val="00D4436E"/>
    <w:rsid w:val="00D44B68"/>
    <w:rsid w:val="00D45784"/>
    <w:rsid w:val="00D47D3E"/>
    <w:rsid w:val="00D50AF3"/>
    <w:rsid w:val="00D50DAE"/>
    <w:rsid w:val="00D5142E"/>
    <w:rsid w:val="00D52545"/>
    <w:rsid w:val="00D52949"/>
    <w:rsid w:val="00D53345"/>
    <w:rsid w:val="00D53D3F"/>
    <w:rsid w:val="00D53EE8"/>
    <w:rsid w:val="00D548C7"/>
    <w:rsid w:val="00D549A9"/>
    <w:rsid w:val="00D54B53"/>
    <w:rsid w:val="00D55DF1"/>
    <w:rsid w:val="00D562D4"/>
    <w:rsid w:val="00D563AA"/>
    <w:rsid w:val="00D56CD4"/>
    <w:rsid w:val="00D56F18"/>
    <w:rsid w:val="00D578AD"/>
    <w:rsid w:val="00D5799B"/>
    <w:rsid w:val="00D57DB4"/>
    <w:rsid w:val="00D57FD8"/>
    <w:rsid w:val="00D603BE"/>
    <w:rsid w:val="00D603D5"/>
    <w:rsid w:val="00D606A2"/>
    <w:rsid w:val="00D6088E"/>
    <w:rsid w:val="00D60C48"/>
    <w:rsid w:val="00D62825"/>
    <w:rsid w:val="00D62997"/>
    <w:rsid w:val="00D62CC9"/>
    <w:rsid w:val="00D62FB0"/>
    <w:rsid w:val="00D632A3"/>
    <w:rsid w:val="00D63AD2"/>
    <w:rsid w:val="00D6411A"/>
    <w:rsid w:val="00D65063"/>
    <w:rsid w:val="00D65F11"/>
    <w:rsid w:val="00D6645F"/>
    <w:rsid w:val="00D664A0"/>
    <w:rsid w:val="00D665A5"/>
    <w:rsid w:val="00D66A3C"/>
    <w:rsid w:val="00D66FA3"/>
    <w:rsid w:val="00D67B9D"/>
    <w:rsid w:val="00D706EA"/>
    <w:rsid w:val="00D71A71"/>
    <w:rsid w:val="00D71BE0"/>
    <w:rsid w:val="00D7260E"/>
    <w:rsid w:val="00D729F1"/>
    <w:rsid w:val="00D74125"/>
    <w:rsid w:val="00D75194"/>
    <w:rsid w:val="00D75C90"/>
    <w:rsid w:val="00D767A2"/>
    <w:rsid w:val="00D76E1E"/>
    <w:rsid w:val="00D774B6"/>
    <w:rsid w:val="00D77730"/>
    <w:rsid w:val="00D779CD"/>
    <w:rsid w:val="00D803CC"/>
    <w:rsid w:val="00D807EB"/>
    <w:rsid w:val="00D8088D"/>
    <w:rsid w:val="00D810B9"/>
    <w:rsid w:val="00D8162D"/>
    <w:rsid w:val="00D8165E"/>
    <w:rsid w:val="00D81BEC"/>
    <w:rsid w:val="00D82262"/>
    <w:rsid w:val="00D82EF3"/>
    <w:rsid w:val="00D83607"/>
    <w:rsid w:val="00D842C5"/>
    <w:rsid w:val="00D84DD5"/>
    <w:rsid w:val="00D8511D"/>
    <w:rsid w:val="00D851C1"/>
    <w:rsid w:val="00D85570"/>
    <w:rsid w:val="00D85D5D"/>
    <w:rsid w:val="00D86238"/>
    <w:rsid w:val="00D86735"/>
    <w:rsid w:val="00D868FB"/>
    <w:rsid w:val="00D86AC5"/>
    <w:rsid w:val="00D86E53"/>
    <w:rsid w:val="00D86EAD"/>
    <w:rsid w:val="00D871DB"/>
    <w:rsid w:val="00D90937"/>
    <w:rsid w:val="00D91068"/>
    <w:rsid w:val="00D92549"/>
    <w:rsid w:val="00D925F4"/>
    <w:rsid w:val="00D92736"/>
    <w:rsid w:val="00D92A1C"/>
    <w:rsid w:val="00D92C93"/>
    <w:rsid w:val="00D933D3"/>
    <w:rsid w:val="00D938FF"/>
    <w:rsid w:val="00D93FC1"/>
    <w:rsid w:val="00D94E56"/>
    <w:rsid w:val="00D9553D"/>
    <w:rsid w:val="00D955AF"/>
    <w:rsid w:val="00D95617"/>
    <w:rsid w:val="00D95667"/>
    <w:rsid w:val="00D95BBC"/>
    <w:rsid w:val="00D966DF"/>
    <w:rsid w:val="00D96815"/>
    <w:rsid w:val="00D979D2"/>
    <w:rsid w:val="00DA0CFC"/>
    <w:rsid w:val="00DA107E"/>
    <w:rsid w:val="00DA306A"/>
    <w:rsid w:val="00DA3F53"/>
    <w:rsid w:val="00DA4006"/>
    <w:rsid w:val="00DA4728"/>
    <w:rsid w:val="00DA53EB"/>
    <w:rsid w:val="00DA5D32"/>
    <w:rsid w:val="00DA5DAE"/>
    <w:rsid w:val="00DA5ED2"/>
    <w:rsid w:val="00DA6230"/>
    <w:rsid w:val="00DA6D65"/>
    <w:rsid w:val="00DA6F15"/>
    <w:rsid w:val="00DA7E43"/>
    <w:rsid w:val="00DB0400"/>
    <w:rsid w:val="00DB0508"/>
    <w:rsid w:val="00DB0BA2"/>
    <w:rsid w:val="00DB0CA2"/>
    <w:rsid w:val="00DB173F"/>
    <w:rsid w:val="00DB3D3C"/>
    <w:rsid w:val="00DB3E62"/>
    <w:rsid w:val="00DB3F29"/>
    <w:rsid w:val="00DB52CC"/>
    <w:rsid w:val="00DB52ED"/>
    <w:rsid w:val="00DB625B"/>
    <w:rsid w:val="00DB6759"/>
    <w:rsid w:val="00DB6994"/>
    <w:rsid w:val="00DB7196"/>
    <w:rsid w:val="00DB7846"/>
    <w:rsid w:val="00DC03CF"/>
    <w:rsid w:val="00DC0C71"/>
    <w:rsid w:val="00DC129F"/>
    <w:rsid w:val="00DC15FC"/>
    <w:rsid w:val="00DC1DC8"/>
    <w:rsid w:val="00DC259B"/>
    <w:rsid w:val="00DC25E8"/>
    <w:rsid w:val="00DC5818"/>
    <w:rsid w:val="00DC79B2"/>
    <w:rsid w:val="00DD0386"/>
    <w:rsid w:val="00DD069B"/>
    <w:rsid w:val="00DD098C"/>
    <w:rsid w:val="00DD13B9"/>
    <w:rsid w:val="00DD334A"/>
    <w:rsid w:val="00DD35BE"/>
    <w:rsid w:val="00DD3675"/>
    <w:rsid w:val="00DD3888"/>
    <w:rsid w:val="00DD471D"/>
    <w:rsid w:val="00DD506F"/>
    <w:rsid w:val="00DD519A"/>
    <w:rsid w:val="00DD54E2"/>
    <w:rsid w:val="00DD6291"/>
    <w:rsid w:val="00DD7CE2"/>
    <w:rsid w:val="00DE0255"/>
    <w:rsid w:val="00DE0665"/>
    <w:rsid w:val="00DE1E4E"/>
    <w:rsid w:val="00DE20A4"/>
    <w:rsid w:val="00DE2564"/>
    <w:rsid w:val="00DE2C13"/>
    <w:rsid w:val="00DE4967"/>
    <w:rsid w:val="00DE677A"/>
    <w:rsid w:val="00DE74E9"/>
    <w:rsid w:val="00DE76D3"/>
    <w:rsid w:val="00DF107E"/>
    <w:rsid w:val="00DF1333"/>
    <w:rsid w:val="00DF191F"/>
    <w:rsid w:val="00DF23A5"/>
    <w:rsid w:val="00DF2B65"/>
    <w:rsid w:val="00DF349A"/>
    <w:rsid w:val="00DF4843"/>
    <w:rsid w:val="00DF5046"/>
    <w:rsid w:val="00DF54E2"/>
    <w:rsid w:val="00DF605C"/>
    <w:rsid w:val="00DF63EC"/>
    <w:rsid w:val="00DF7087"/>
    <w:rsid w:val="00DF77AD"/>
    <w:rsid w:val="00E001F8"/>
    <w:rsid w:val="00E00398"/>
    <w:rsid w:val="00E005AE"/>
    <w:rsid w:val="00E00902"/>
    <w:rsid w:val="00E00EEA"/>
    <w:rsid w:val="00E0122C"/>
    <w:rsid w:val="00E0160F"/>
    <w:rsid w:val="00E023E6"/>
    <w:rsid w:val="00E02828"/>
    <w:rsid w:val="00E032A5"/>
    <w:rsid w:val="00E0408A"/>
    <w:rsid w:val="00E04AB7"/>
    <w:rsid w:val="00E057C7"/>
    <w:rsid w:val="00E05F03"/>
    <w:rsid w:val="00E07356"/>
    <w:rsid w:val="00E07987"/>
    <w:rsid w:val="00E10FCF"/>
    <w:rsid w:val="00E11401"/>
    <w:rsid w:val="00E11431"/>
    <w:rsid w:val="00E11481"/>
    <w:rsid w:val="00E11C23"/>
    <w:rsid w:val="00E12140"/>
    <w:rsid w:val="00E12247"/>
    <w:rsid w:val="00E1224B"/>
    <w:rsid w:val="00E12353"/>
    <w:rsid w:val="00E13221"/>
    <w:rsid w:val="00E134AE"/>
    <w:rsid w:val="00E140B5"/>
    <w:rsid w:val="00E14809"/>
    <w:rsid w:val="00E15E59"/>
    <w:rsid w:val="00E15EEA"/>
    <w:rsid w:val="00E16250"/>
    <w:rsid w:val="00E1698D"/>
    <w:rsid w:val="00E16E63"/>
    <w:rsid w:val="00E17012"/>
    <w:rsid w:val="00E172BF"/>
    <w:rsid w:val="00E17B96"/>
    <w:rsid w:val="00E20421"/>
    <w:rsid w:val="00E204A2"/>
    <w:rsid w:val="00E20AC9"/>
    <w:rsid w:val="00E2129F"/>
    <w:rsid w:val="00E21583"/>
    <w:rsid w:val="00E215B8"/>
    <w:rsid w:val="00E22BF3"/>
    <w:rsid w:val="00E22DBC"/>
    <w:rsid w:val="00E2353E"/>
    <w:rsid w:val="00E23F44"/>
    <w:rsid w:val="00E242DE"/>
    <w:rsid w:val="00E247EA"/>
    <w:rsid w:val="00E25F4D"/>
    <w:rsid w:val="00E272DD"/>
    <w:rsid w:val="00E273BC"/>
    <w:rsid w:val="00E2774F"/>
    <w:rsid w:val="00E27F73"/>
    <w:rsid w:val="00E3053D"/>
    <w:rsid w:val="00E30DDB"/>
    <w:rsid w:val="00E3391C"/>
    <w:rsid w:val="00E33CBA"/>
    <w:rsid w:val="00E33DE0"/>
    <w:rsid w:val="00E34696"/>
    <w:rsid w:val="00E3487C"/>
    <w:rsid w:val="00E355C5"/>
    <w:rsid w:val="00E36329"/>
    <w:rsid w:val="00E36413"/>
    <w:rsid w:val="00E36ABE"/>
    <w:rsid w:val="00E370E9"/>
    <w:rsid w:val="00E37568"/>
    <w:rsid w:val="00E37CB3"/>
    <w:rsid w:val="00E4064F"/>
    <w:rsid w:val="00E40772"/>
    <w:rsid w:val="00E41372"/>
    <w:rsid w:val="00E4144B"/>
    <w:rsid w:val="00E4247E"/>
    <w:rsid w:val="00E42D71"/>
    <w:rsid w:val="00E4475B"/>
    <w:rsid w:val="00E44E33"/>
    <w:rsid w:val="00E45319"/>
    <w:rsid w:val="00E467E8"/>
    <w:rsid w:val="00E46A52"/>
    <w:rsid w:val="00E46C2F"/>
    <w:rsid w:val="00E46F8A"/>
    <w:rsid w:val="00E5046E"/>
    <w:rsid w:val="00E510DE"/>
    <w:rsid w:val="00E512F9"/>
    <w:rsid w:val="00E5229C"/>
    <w:rsid w:val="00E52636"/>
    <w:rsid w:val="00E526A7"/>
    <w:rsid w:val="00E52877"/>
    <w:rsid w:val="00E52E4A"/>
    <w:rsid w:val="00E53074"/>
    <w:rsid w:val="00E53C16"/>
    <w:rsid w:val="00E544F5"/>
    <w:rsid w:val="00E54B86"/>
    <w:rsid w:val="00E555A7"/>
    <w:rsid w:val="00E56B84"/>
    <w:rsid w:val="00E570F6"/>
    <w:rsid w:val="00E57D80"/>
    <w:rsid w:val="00E612EC"/>
    <w:rsid w:val="00E61E18"/>
    <w:rsid w:val="00E6234E"/>
    <w:rsid w:val="00E62CBF"/>
    <w:rsid w:val="00E65208"/>
    <w:rsid w:val="00E65413"/>
    <w:rsid w:val="00E66631"/>
    <w:rsid w:val="00E67FA6"/>
    <w:rsid w:val="00E70146"/>
    <w:rsid w:val="00E703FB"/>
    <w:rsid w:val="00E713B2"/>
    <w:rsid w:val="00E715CD"/>
    <w:rsid w:val="00E72150"/>
    <w:rsid w:val="00E726C8"/>
    <w:rsid w:val="00E72B50"/>
    <w:rsid w:val="00E72F59"/>
    <w:rsid w:val="00E74082"/>
    <w:rsid w:val="00E74134"/>
    <w:rsid w:val="00E74827"/>
    <w:rsid w:val="00E7501F"/>
    <w:rsid w:val="00E75681"/>
    <w:rsid w:val="00E75A3D"/>
    <w:rsid w:val="00E75C3F"/>
    <w:rsid w:val="00E7649C"/>
    <w:rsid w:val="00E764D3"/>
    <w:rsid w:val="00E773B0"/>
    <w:rsid w:val="00E775CF"/>
    <w:rsid w:val="00E7777D"/>
    <w:rsid w:val="00E80474"/>
    <w:rsid w:val="00E80910"/>
    <w:rsid w:val="00E81D0B"/>
    <w:rsid w:val="00E8204E"/>
    <w:rsid w:val="00E822A0"/>
    <w:rsid w:val="00E82DC6"/>
    <w:rsid w:val="00E83644"/>
    <w:rsid w:val="00E84639"/>
    <w:rsid w:val="00E84FA6"/>
    <w:rsid w:val="00E85213"/>
    <w:rsid w:val="00E85AFC"/>
    <w:rsid w:val="00E85DEE"/>
    <w:rsid w:val="00E87DEE"/>
    <w:rsid w:val="00E9049F"/>
    <w:rsid w:val="00E90BD2"/>
    <w:rsid w:val="00E90C54"/>
    <w:rsid w:val="00E91640"/>
    <w:rsid w:val="00E91EC9"/>
    <w:rsid w:val="00E9203B"/>
    <w:rsid w:val="00E9216C"/>
    <w:rsid w:val="00E929B4"/>
    <w:rsid w:val="00E944B0"/>
    <w:rsid w:val="00E9483B"/>
    <w:rsid w:val="00E949D3"/>
    <w:rsid w:val="00E94C7E"/>
    <w:rsid w:val="00E95547"/>
    <w:rsid w:val="00E95D9D"/>
    <w:rsid w:val="00E96022"/>
    <w:rsid w:val="00E964B0"/>
    <w:rsid w:val="00E96B4A"/>
    <w:rsid w:val="00E96CF9"/>
    <w:rsid w:val="00E96EB1"/>
    <w:rsid w:val="00E97988"/>
    <w:rsid w:val="00EA013A"/>
    <w:rsid w:val="00EA1F72"/>
    <w:rsid w:val="00EA208D"/>
    <w:rsid w:val="00EA2DF8"/>
    <w:rsid w:val="00EA2F05"/>
    <w:rsid w:val="00EA366A"/>
    <w:rsid w:val="00EA515A"/>
    <w:rsid w:val="00EA5582"/>
    <w:rsid w:val="00EA55E4"/>
    <w:rsid w:val="00EA5F13"/>
    <w:rsid w:val="00EA7434"/>
    <w:rsid w:val="00EA7D07"/>
    <w:rsid w:val="00EB0470"/>
    <w:rsid w:val="00EB0AD4"/>
    <w:rsid w:val="00EB1DE4"/>
    <w:rsid w:val="00EB2E20"/>
    <w:rsid w:val="00EB323F"/>
    <w:rsid w:val="00EB3240"/>
    <w:rsid w:val="00EB417D"/>
    <w:rsid w:val="00EB48E7"/>
    <w:rsid w:val="00EB52D0"/>
    <w:rsid w:val="00EB530C"/>
    <w:rsid w:val="00EB541E"/>
    <w:rsid w:val="00EB6165"/>
    <w:rsid w:val="00EB62AA"/>
    <w:rsid w:val="00EB647C"/>
    <w:rsid w:val="00EB7033"/>
    <w:rsid w:val="00EC04B5"/>
    <w:rsid w:val="00EC073E"/>
    <w:rsid w:val="00EC216D"/>
    <w:rsid w:val="00EC3251"/>
    <w:rsid w:val="00EC407A"/>
    <w:rsid w:val="00EC434A"/>
    <w:rsid w:val="00EC531A"/>
    <w:rsid w:val="00EC58E3"/>
    <w:rsid w:val="00EC59EC"/>
    <w:rsid w:val="00EC6176"/>
    <w:rsid w:val="00EC67A9"/>
    <w:rsid w:val="00EC6D62"/>
    <w:rsid w:val="00EC6EEB"/>
    <w:rsid w:val="00ED0241"/>
    <w:rsid w:val="00ED0484"/>
    <w:rsid w:val="00ED090F"/>
    <w:rsid w:val="00ED1528"/>
    <w:rsid w:val="00ED2DB6"/>
    <w:rsid w:val="00ED420B"/>
    <w:rsid w:val="00ED42D4"/>
    <w:rsid w:val="00ED46A4"/>
    <w:rsid w:val="00ED4BF4"/>
    <w:rsid w:val="00ED55B3"/>
    <w:rsid w:val="00ED631D"/>
    <w:rsid w:val="00ED719B"/>
    <w:rsid w:val="00ED7557"/>
    <w:rsid w:val="00EE122B"/>
    <w:rsid w:val="00EE16A4"/>
    <w:rsid w:val="00EE1D4C"/>
    <w:rsid w:val="00EE32A7"/>
    <w:rsid w:val="00EE3D54"/>
    <w:rsid w:val="00EE40AD"/>
    <w:rsid w:val="00EE467A"/>
    <w:rsid w:val="00EE4F63"/>
    <w:rsid w:val="00EE5542"/>
    <w:rsid w:val="00EE5D83"/>
    <w:rsid w:val="00EE5FC3"/>
    <w:rsid w:val="00EE62A8"/>
    <w:rsid w:val="00EE6952"/>
    <w:rsid w:val="00EF01B6"/>
    <w:rsid w:val="00EF03CB"/>
    <w:rsid w:val="00EF0DEF"/>
    <w:rsid w:val="00EF0E7A"/>
    <w:rsid w:val="00EF23E1"/>
    <w:rsid w:val="00EF270F"/>
    <w:rsid w:val="00EF3063"/>
    <w:rsid w:val="00EF46A9"/>
    <w:rsid w:val="00EF50C4"/>
    <w:rsid w:val="00EF5593"/>
    <w:rsid w:val="00EF67FC"/>
    <w:rsid w:val="00EF6923"/>
    <w:rsid w:val="00EF7E4A"/>
    <w:rsid w:val="00EF7FB5"/>
    <w:rsid w:val="00F00562"/>
    <w:rsid w:val="00F00FD6"/>
    <w:rsid w:val="00F012DE"/>
    <w:rsid w:val="00F0157F"/>
    <w:rsid w:val="00F03609"/>
    <w:rsid w:val="00F036ED"/>
    <w:rsid w:val="00F037FB"/>
    <w:rsid w:val="00F03C81"/>
    <w:rsid w:val="00F047AA"/>
    <w:rsid w:val="00F0503F"/>
    <w:rsid w:val="00F05E5B"/>
    <w:rsid w:val="00F0665C"/>
    <w:rsid w:val="00F0666B"/>
    <w:rsid w:val="00F06F79"/>
    <w:rsid w:val="00F072BD"/>
    <w:rsid w:val="00F07709"/>
    <w:rsid w:val="00F07827"/>
    <w:rsid w:val="00F103C3"/>
    <w:rsid w:val="00F10B50"/>
    <w:rsid w:val="00F10FC6"/>
    <w:rsid w:val="00F114F5"/>
    <w:rsid w:val="00F1153A"/>
    <w:rsid w:val="00F11590"/>
    <w:rsid w:val="00F1160F"/>
    <w:rsid w:val="00F13BA6"/>
    <w:rsid w:val="00F141FC"/>
    <w:rsid w:val="00F14913"/>
    <w:rsid w:val="00F14B70"/>
    <w:rsid w:val="00F1502E"/>
    <w:rsid w:val="00F15492"/>
    <w:rsid w:val="00F15DAE"/>
    <w:rsid w:val="00F1657E"/>
    <w:rsid w:val="00F20B03"/>
    <w:rsid w:val="00F20BEC"/>
    <w:rsid w:val="00F20C19"/>
    <w:rsid w:val="00F20C79"/>
    <w:rsid w:val="00F20FEC"/>
    <w:rsid w:val="00F2102E"/>
    <w:rsid w:val="00F214BF"/>
    <w:rsid w:val="00F21F84"/>
    <w:rsid w:val="00F2203E"/>
    <w:rsid w:val="00F22FD5"/>
    <w:rsid w:val="00F233C4"/>
    <w:rsid w:val="00F2487B"/>
    <w:rsid w:val="00F24B9B"/>
    <w:rsid w:val="00F26D4A"/>
    <w:rsid w:val="00F27995"/>
    <w:rsid w:val="00F27D55"/>
    <w:rsid w:val="00F3013B"/>
    <w:rsid w:val="00F31E5E"/>
    <w:rsid w:val="00F31FFC"/>
    <w:rsid w:val="00F32173"/>
    <w:rsid w:val="00F32389"/>
    <w:rsid w:val="00F33965"/>
    <w:rsid w:val="00F3403D"/>
    <w:rsid w:val="00F34DC9"/>
    <w:rsid w:val="00F35265"/>
    <w:rsid w:val="00F353DD"/>
    <w:rsid w:val="00F356CC"/>
    <w:rsid w:val="00F35AAA"/>
    <w:rsid w:val="00F37655"/>
    <w:rsid w:val="00F40971"/>
    <w:rsid w:val="00F40E38"/>
    <w:rsid w:val="00F410B0"/>
    <w:rsid w:val="00F41639"/>
    <w:rsid w:val="00F433DF"/>
    <w:rsid w:val="00F434A8"/>
    <w:rsid w:val="00F44F63"/>
    <w:rsid w:val="00F4529B"/>
    <w:rsid w:val="00F45332"/>
    <w:rsid w:val="00F45DD1"/>
    <w:rsid w:val="00F46863"/>
    <w:rsid w:val="00F46CB9"/>
    <w:rsid w:val="00F46CBB"/>
    <w:rsid w:val="00F4745B"/>
    <w:rsid w:val="00F47520"/>
    <w:rsid w:val="00F47E9F"/>
    <w:rsid w:val="00F50FB9"/>
    <w:rsid w:val="00F53A5E"/>
    <w:rsid w:val="00F540FB"/>
    <w:rsid w:val="00F54F75"/>
    <w:rsid w:val="00F55167"/>
    <w:rsid w:val="00F5582F"/>
    <w:rsid w:val="00F561D8"/>
    <w:rsid w:val="00F567B2"/>
    <w:rsid w:val="00F57408"/>
    <w:rsid w:val="00F57931"/>
    <w:rsid w:val="00F6074B"/>
    <w:rsid w:val="00F60AAB"/>
    <w:rsid w:val="00F6129A"/>
    <w:rsid w:val="00F61B13"/>
    <w:rsid w:val="00F62624"/>
    <w:rsid w:val="00F6269A"/>
    <w:rsid w:val="00F6312E"/>
    <w:rsid w:val="00F63E70"/>
    <w:rsid w:val="00F645BC"/>
    <w:rsid w:val="00F6489B"/>
    <w:rsid w:val="00F64B65"/>
    <w:rsid w:val="00F65BCD"/>
    <w:rsid w:val="00F66118"/>
    <w:rsid w:val="00F67B2A"/>
    <w:rsid w:val="00F703C2"/>
    <w:rsid w:val="00F7160C"/>
    <w:rsid w:val="00F71B86"/>
    <w:rsid w:val="00F73C30"/>
    <w:rsid w:val="00F75185"/>
    <w:rsid w:val="00F75607"/>
    <w:rsid w:val="00F772FB"/>
    <w:rsid w:val="00F80186"/>
    <w:rsid w:val="00F803B4"/>
    <w:rsid w:val="00F806FE"/>
    <w:rsid w:val="00F80804"/>
    <w:rsid w:val="00F81266"/>
    <w:rsid w:val="00F81E0A"/>
    <w:rsid w:val="00F82676"/>
    <w:rsid w:val="00F827E6"/>
    <w:rsid w:val="00F82ABE"/>
    <w:rsid w:val="00F83ED8"/>
    <w:rsid w:val="00F8444F"/>
    <w:rsid w:val="00F8575B"/>
    <w:rsid w:val="00F85D9A"/>
    <w:rsid w:val="00F8714C"/>
    <w:rsid w:val="00F87B19"/>
    <w:rsid w:val="00F90314"/>
    <w:rsid w:val="00F90348"/>
    <w:rsid w:val="00F90AD0"/>
    <w:rsid w:val="00F919B0"/>
    <w:rsid w:val="00F91CEB"/>
    <w:rsid w:val="00F91FDE"/>
    <w:rsid w:val="00F92147"/>
    <w:rsid w:val="00F92D47"/>
    <w:rsid w:val="00F94438"/>
    <w:rsid w:val="00F9494A"/>
    <w:rsid w:val="00F94DA2"/>
    <w:rsid w:val="00F95DA2"/>
    <w:rsid w:val="00F95EA3"/>
    <w:rsid w:val="00F97727"/>
    <w:rsid w:val="00F979B9"/>
    <w:rsid w:val="00FA0F95"/>
    <w:rsid w:val="00FA1A59"/>
    <w:rsid w:val="00FA2917"/>
    <w:rsid w:val="00FA29F9"/>
    <w:rsid w:val="00FA2CF2"/>
    <w:rsid w:val="00FA349E"/>
    <w:rsid w:val="00FA379B"/>
    <w:rsid w:val="00FA51C7"/>
    <w:rsid w:val="00FA5624"/>
    <w:rsid w:val="00FA581F"/>
    <w:rsid w:val="00FA5BF6"/>
    <w:rsid w:val="00FA6C81"/>
    <w:rsid w:val="00FA7500"/>
    <w:rsid w:val="00FA776D"/>
    <w:rsid w:val="00FB00A0"/>
    <w:rsid w:val="00FB0562"/>
    <w:rsid w:val="00FB0B05"/>
    <w:rsid w:val="00FB0FFA"/>
    <w:rsid w:val="00FB303B"/>
    <w:rsid w:val="00FB326F"/>
    <w:rsid w:val="00FB404B"/>
    <w:rsid w:val="00FB4768"/>
    <w:rsid w:val="00FB4E08"/>
    <w:rsid w:val="00FB5309"/>
    <w:rsid w:val="00FB572F"/>
    <w:rsid w:val="00FB5F34"/>
    <w:rsid w:val="00FB6BB7"/>
    <w:rsid w:val="00FB6EB3"/>
    <w:rsid w:val="00FC0BA2"/>
    <w:rsid w:val="00FC141C"/>
    <w:rsid w:val="00FC20B7"/>
    <w:rsid w:val="00FC35F6"/>
    <w:rsid w:val="00FC3758"/>
    <w:rsid w:val="00FC3B32"/>
    <w:rsid w:val="00FC43F7"/>
    <w:rsid w:val="00FC4E8C"/>
    <w:rsid w:val="00FC5E2F"/>
    <w:rsid w:val="00FC7CFC"/>
    <w:rsid w:val="00FC7F3E"/>
    <w:rsid w:val="00FD0032"/>
    <w:rsid w:val="00FD1BC2"/>
    <w:rsid w:val="00FD1DDA"/>
    <w:rsid w:val="00FD2AA3"/>
    <w:rsid w:val="00FD44BB"/>
    <w:rsid w:val="00FD4733"/>
    <w:rsid w:val="00FD4981"/>
    <w:rsid w:val="00FD4AB7"/>
    <w:rsid w:val="00FD4CD8"/>
    <w:rsid w:val="00FD4EE6"/>
    <w:rsid w:val="00FD558A"/>
    <w:rsid w:val="00FD59B9"/>
    <w:rsid w:val="00FD5EEC"/>
    <w:rsid w:val="00FD666C"/>
    <w:rsid w:val="00FD78FC"/>
    <w:rsid w:val="00FE0AB0"/>
    <w:rsid w:val="00FE1D40"/>
    <w:rsid w:val="00FE2932"/>
    <w:rsid w:val="00FE2A57"/>
    <w:rsid w:val="00FE340B"/>
    <w:rsid w:val="00FE5F17"/>
    <w:rsid w:val="00FE6264"/>
    <w:rsid w:val="00FE796D"/>
    <w:rsid w:val="00FF0089"/>
    <w:rsid w:val="00FF0B12"/>
    <w:rsid w:val="00FF1516"/>
    <w:rsid w:val="00FF170C"/>
    <w:rsid w:val="00FF170D"/>
    <w:rsid w:val="00FF232B"/>
    <w:rsid w:val="00FF2D9A"/>
    <w:rsid w:val="00FF3896"/>
    <w:rsid w:val="00FF450E"/>
    <w:rsid w:val="00FF4869"/>
    <w:rsid w:val="00FF4A02"/>
    <w:rsid w:val="00FF55B1"/>
    <w:rsid w:val="00FF5B96"/>
    <w:rsid w:val="00FF5C0C"/>
    <w:rsid w:val="00FF67FA"/>
    <w:rsid w:val="00FF703A"/>
    <w:rsid w:val="00FF74D5"/>
    <w:rsid w:val="00FF773C"/>
    <w:rsid w:val="00FF7F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676657"/>
  <w14:defaultImageDpi w14:val="300"/>
  <w15:docId w15:val="{3ED9B805-1B9D-DD4A-9AE2-BD703FFCC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22C"/>
    <w:rPr>
      <w:rFonts w:ascii="Times New Roman" w:eastAsia="Times New Roman" w:hAnsi="Times New Roman" w:cs="Times New Roman"/>
      <w:lang w:val="en-GB"/>
    </w:rPr>
  </w:style>
  <w:style w:type="paragraph" w:styleId="Heading1">
    <w:name w:val="heading 1"/>
    <w:next w:val="Normal"/>
    <w:link w:val="Heading1Char"/>
    <w:qFormat/>
    <w:rsid w:val="000C067E"/>
    <w:pPr>
      <w:keepNext/>
      <w:numPr>
        <w:numId w:val="33"/>
      </w:numPr>
      <w:pBdr>
        <w:top w:val="nil"/>
        <w:left w:val="nil"/>
        <w:bottom w:val="nil"/>
        <w:right w:val="nil"/>
        <w:between w:val="nil"/>
        <w:bar w:val="nil"/>
      </w:pBdr>
      <w:outlineLvl w:val="0"/>
    </w:pPr>
    <w:rPr>
      <w:rFonts w:ascii="Helvetica" w:eastAsia="Helvetica" w:hAnsi="Helvetica" w:cs="Helvetica"/>
      <w:b/>
      <w:bCs/>
      <w:color w:val="000000"/>
      <w:sz w:val="36"/>
      <w:szCs w:val="36"/>
      <w:bdr w:val="nil"/>
      <w:lang w:val="en-GB"/>
    </w:rPr>
  </w:style>
  <w:style w:type="paragraph" w:styleId="Heading2">
    <w:name w:val="heading 2"/>
    <w:next w:val="Normal"/>
    <w:link w:val="Heading2Char"/>
    <w:qFormat/>
    <w:rsid w:val="000C067E"/>
    <w:pPr>
      <w:keepNext/>
      <w:numPr>
        <w:ilvl w:val="1"/>
        <w:numId w:val="33"/>
      </w:numPr>
      <w:pBdr>
        <w:top w:val="nil"/>
        <w:left w:val="nil"/>
        <w:bottom w:val="nil"/>
        <w:right w:val="nil"/>
        <w:between w:val="nil"/>
        <w:bar w:val="nil"/>
      </w:pBdr>
      <w:outlineLvl w:val="1"/>
    </w:pPr>
    <w:rPr>
      <w:rFonts w:ascii="Helvetica" w:eastAsia="Helvetica" w:hAnsi="Helvetica" w:cs="Helvetica"/>
      <w:b/>
      <w:bCs/>
      <w:color w:val="000000"/>
      <w:bdr w:val="nil"/>
      <w:lang w:val="en-GB"/>
    </w:rPr>
  </w:style>
  <w:style w:type="paragraph" w:styleId="Heading3">
    <w:name w:val="heading 3"/>
    <w:next w:val="Normal"/>
    <w:link w:val="Heading3Char"/>
    <w:qFormat/>
    <w:rsid w:val="000C067E"/>
    <w:pPr>
      <w:keepNext/>
      <w:numPr>
        <w:ilvl w:val="2"/>
        <w:numId w:val="33"/>
      </w:numPr>
      <w:pBdr>
        <w:top w:val="nil"/>
        <w:left w:val="nil"/>
        <w:bottom w:val="nil"/>
        <w:right w:val="nil"/>
        <w:between w:val="nil"/>
        <w:bar w:val="nil"/>
      </w:pBdr>
      <w:spacing w:before="240" w:after="120"/>
      <w:outlineLvl w:val="2"/>
    </w:pPr>
    <w:rPr>
      <w:rFonts w:ascii="Helvetica" w:eastAsia="Helvetica" w:hAnsi="Helvetica" w:cs="Helvetica"/>
      <w:b/>
      <w:bCs/>
      <w:color w:val="000000"/>
      <w:bdr w:val="nil"/>
      <w:lang w:val="en-GB"/>
    </w:rPr>
  </w:style>
  <w:style w:type="paragraph" w:styleId="Heading4">
    <w:name w:val="heading 4"/>
    <w:next w:val="Normal"/>
    <w:link w:val="Heading4Char"/>
    <w:rsid w:val="008F5FD1"/>
    <w:pPr>
      <w:keepNext/>
      <w:numPr>
        <w:ilvl w:val="3"/>
        <w:numId w:val="33"/>
      </w:numPr>
      <w:pBdr>
        <w:top w:val="nil"/>
        <w:left w:val="nil"/>
        <w:bottom w:val="nil"/>
        <w:right w:val="nil"/>
        <w:between w:val="nil"/>
        <w:bar w:val="nil"/>
      </w:pBdr>
      <w:outlineLvl w:val="3"/>
    </w:pPr>
    <w:rPr>
      <w:rFonts w:ascii="Helvetica" w:eastAsia="Helvetica" w:hAnsi="Helvetica" w:cs="Helvetica"/>
      <w:b/>
      <w:bCs/>
      <w:color w:val="000000"/>
      <w:bdr w:val="nil"/>
    </w:rPr>
  </w:style>
  <w:style w:type="paragraph" w:styleId="Heading5">
    <w:name w:val="heading 5"/>
    <w:basedOn w:val="Normal"/>
    <w:next w:val="Normal"/>
    <w:link w:val="Heading5Char"/>
    <w:uiPriority w:val="9"/>
    <w:semiHidden/>
    <w:unhideWhenUsed/>
    <w:qFormat/>
    <w:rsid w:val="00D7260E"/>
    <w:pPr>
      <w:keepNext/>
      <w:keepLines/>
      <w:numPr>
        <w:ilvl w:val="4"/>
        <w:numId w:val="33"/>
      </w:numPr>
      <w:pBdr>
        <w:top w:val="nil"/>
        <w:left w:val="nil"/>
        <w:bottom w:val="nil"/>
        <w:right w:val="nil"/>
        <w:between w:val="nil"/>
        <w:bar w:val="nil"/>
      </w:pBdr>
      <w:spacing w:before="200" w:line="360" w:lineRule="auto"/>
      <w:outlineLvl w:val="4"/>
    </w:pPr>
    <w:rPr>
      <w:rFonts w:asciiTheme="majorHAnsi" w:eastAsiaTheme="majorEastAsia" w:hAnsiTheme="majorHAnsi" w:cstheme="majorBidi"/>
      <w:color w:val="243F60" w:themeColor="accent1" w:themeShade="7F"/>
      <w:sz w:val="22"/>
      <w:szCs w:val="22"/>
      <w:bdr w:val="nil"/>
    </w:rPr>
  </w:style>
  <w:style w:type="paragraph" w:styleId="Heading6">
    <w:name w:val="heading 6"/>
    <w:basedOn w:val="Normal"/>
    <w:next w:val="Normal"/>
    <w:link w:val="Heading6Char"/>
    <w:uiPriority w:val="9"/>
    <w:semiHidden/>
    <w:unhideWhenUsed/>
    <w:qFormat/>
    <w:rsid w:val="00D7260E"/>
    <w:pPr>
      <w:keepNext/>
      <w:keepLines/>
      <w:numPr>
        <w:ilvl w:val="5"/>
        <w:numId w:val="33"/>
      </w:numPr>
      <w:pBdr>
        <w:top w:val="nil"/>
        <w:left w:val="nil"/>
        <w:bottom w:val="nil"/>
        <w:right w:val="nil"/>
        <w:between w:val="nil"/>
        <w:bar w:val="nil"/>
      </w:pBdr>
      <w:spacing w:before="200" w:line="360" w:lineRule="auto"/>
      <w:outlineLvl w:val="5"/>
    </w:pPr>
    <w:rPr>
      <w:rFonts w:asciiTheme="majorHAnsi" w:eastAsiaTheme="majorEastAsia" w:hAnsiTheme="majorHAnsi" w:cstheme="majorBidi"/>
      <w:i/>
      <w:iCs/>
      <w:color w:val="243F60" w:themeColor="accent1" w:themeShade="7F"/>
      <w:sz w:val="22"/>
      <w:szCs w:val="22"/>
      <w:bdr w:val="nil"/>
    </w:rPr>
  </w:style>
  <w:style w:type="paragraph" w:styleId="Heading7">
    <w:name w:val="heading 7"/>
    <w:basedOn w:val="Normal"/>
    <w:next w:val="Normal"/>
    <w:link w:val="Heading7Char"/>
    <w:uiPriority w:val="9"/>
    <w:semiHidden/>
    <w:unhideWhenUsed/>
    <w:qFormat/>
    <w:rsid w:val="00D7260E"/>
    <w:pPr>
      <w:keepNext/>
      <w:keepLines/>
      <w:numPr>
        <w:ilvl w:val="6"/>
        <w:numId w:val="33"/>
      </w:numPr>
      <w:pBdr>
        <w:top w:val="nil"/>
        <w:left w:val="nil"/>
        <w:bottom w:val="nil"/>
        <w:right w:val="nil"/>
        <w:between w:val="nil"/>
        <w:bar w:val="nil"/>
      </w:pBdr>
      <w:spacing w:before="200" w:line="360" w:lineRule="auto"/>
      <w:outlineLvl w:val="6"/>
    </w:pPr>
    <w:rPr>
      <w:rFonts w:asciiTheme="majorHAnsi" w:eastAsiaTheme="majorEastAsia" w:hAnsiTheme="majorHAnsi" w:cstheme="majorBidi"/>
      <w:i/>
      <w:iCs/>
      <w:color w:val="404040" w:themeColor="text1" w:themeTint="BF"/>
      <w:sz w:val="22"/>
      <w:szCs w:val="22"/>
      <w:bdr w:val="nil"/>
    </w:rPr>
  </w:style>
  <w:style w:type="paragraph" w:styleId="Heading8">
    <w:name w:val="heading 8"/>
    <w:basedOn w:val="Normal"/>
    <w:next w:val="Normal"/>
    <w:link w:val="Heading8Char"/>
    <w:uiPriority w:val="9"/>
    <w:semiHidden/>
    <w:unhideWhenUsed/>
    <w:qFormat/>
    <w:rsid w:val="00D7260E"/>
    <w:pPr>
      <w:keepNext/>
      <w:keepLines/>
      <w:numPr>
        <w:ilvl w:val="7"/>
        <w:numId w:val="33"/>
      </w:numPr>
      <w:pBdr>
        <w:top w:val="nil"/>
        <w:left w:val="nil"/>
        <w:bottom w:val="nil"/>
        <w:right w:val="nil"/>
        <w:between w:val="nil"/>
        <w:bar w:val="nil"/>
      </w:pBdr>
      <w:spacing w:before="200" w:line="360" w:lineRule="auto"/>
      <w:outlineLvl w:val="7"/>
    </w:pPr>
    <w:rPr>
      <w:rFonts w:asciiTheme="majorHAnsi" w:eastAsiaTheme="majorEastAsia" w:hAnsiTheme="majorHAnsi" w:cstheme="majorBidi"/>
      <w:color w:val="404040" w:themeColor="text1" w:themeTint="BF"/>
      <w:sz w:val="20"/>
      <w:szCs w:val="20"/>
      <w:bdr w:val="nil"/>
    </w:rPr>
  </w:style>
  <w:style w:type="paragraph" w:styleId="Heading9">
    <w:name w:val="heading 9"/>
    <w:basedOn w:val="Normal"/>
    <w:next w:val="Normal"/>
    <w:link w:val="Heading9Char"/>
    <w:uiPriority w:val="9"/>
    <w:semiHidden/>
    <w:unhideWhenUsed/>
    <w:qFormat/>
    <w:rsid w:val="00D7260E"/>
    <w:pPr>
      <w:keepNext/>
      <w:keepLines/>
      <w:numPr>
        <w:ilvl w:val="8"/>
        <w:numId w:val="33"/>
      </w:numPr>
      <w:pBdr>
        <w:top w:val="nil"/>
        <w:left w:val="nil"/>
        <w:bottom w:val="nil"/>
        <w:right w:val="nil"/>
        <w:between w:val="nil"/>
        <w:bar w:val="nil"/>
      </w:pBdr>
      <w:spacing w:before="200" w:line="360" w:lineRule="auto"/>
      <w:outlineLvl w:val="8"/>
    </w:pPr>
    <w:rPr>
      <w:rFonts w:asciiTheme="majorHAnsi" w:eastAsiaTheme="majorEastAsia" w:hAnsiTheme="majorHAnsi" w:cstheme="majorBidi"/>
      <w:i/>
      <w:iCs/>
      <w:color w:val="404040" w:themeColor="text1" w:themeTint="BF"/>
      <w:sz w:val="20"/>
      <w:szCs w:val="2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067E"/>
    <w:rPr>
      <w:rFonts w:ascii="Helvetica" w:eastAsia="Helvetica" w:hAnsi="Helvetica" w:cs="Helvetica"/>
      <w:b/>
      <w:bCs/>
      <w:color w:val="000000"/>
      <w:sz w:val="36"/>
      <w:szCs w:val="36"/>
      <w:bdr w:val="nil"/>
      <w:lang w:val="en-GB"/>
    </w:rPr>
  </w:style>
  <w:style w:type="character" w:customStyle="1" w:styleId="Heading2Char">
    <w:name w:val="Heading 2 Char"/>
    <w:basedOn w:val="DefaultParagraphFont"/>
    <w:link w:val="Heading2"/>
    <w:rsid w:val="000C067E"/>
    <w:rPr>
      <w:rFonts w:ascii="Helvetica" w:eastAsia="Helvetica" w:hAnsi="Helvetica" w:cs="Helvetica"/>
      <w:b/>
      <w:bCs/>
      <w:color w:val="000000"/>
      <w:bdr w:val="nil"/>
      <w:lang w:val="en-GB"/>
    </w:rPr>
  </w:style>
  <w:style w:type="character" w:customStyle="1" w:styleId="Heading3Char">
    <w:name w:val="Heading 3 Char"/>
    <w:basedOn w:val="DefaultParagraphFont"/>
    <w:link w:val="Heading3"/>
    <w:rsid w:val="000C067E"/>
    <w:rPr>
      <w:rFonts w:ascii="Helvetica" w:eastAsia="Helvetica" w:hAnsi="Helvetica" w:cs="Helvetica"/>
      <w:b/>
      <w:bCs/>
      <w:color w:val="000000"/>
      <w:bdr w:val="nil"/>
      <w:lang w:val="en-GB"/>
    </w:rPr>
  </w:style>
  <w:style w:type="character" w:customStyle="1" w:styleId="Heading4Char">
    <w:name w:val="Heading 4 Char"/>
    <w:basedOn w:val="DefaultParagraphFont"/>
    <w:link w:val="Heading4"/>
    <w:rsid w:val="008F5FD1"/>
    <w:rPr>
      <w:rFonts w:ascii="Helvetica" w:eastAsia="Helvetica" w:hAnsi="Helvetica" w:cs="Helvetica"/>
      <w:b/>
      <w:bCs/>
      <w:color w:val="000000"/>
      <w:bdr w:val="nil"/>
    </w:rPr>
  </w:style>
  <w:style w:type="paragraph" w:styleId="Caption">
    <w:name w:val="caption"/>
    <w:next w:val="Normal"/>
    <w:rsid w:val="001F3AF1"/>
    <w:pPr>
      <w:pBdr>
        <w:top w:val="nil"/>
        <w:left w:val="nil"/>
        <w:bottom w:val="nil"/>
        <w:right w:val="nil"/>
        <w:between w:val="nil"/>
        <w:bar w:val="nil"/>
      </w:pBdr>
      <w:spacing w:line="360" w:lineRule="auto"/>
      <w:jc w:val="both"/>
    </w:pPr>
    <w:rPr>
      <w:rFonts w:ascii="TUOS Blake" w:eastAsia="Arial Unicode MS" w:hAnsi="TUOS Blake" w:cs="Arial Unicode MS"/>
      <w:i/>
      <w:iCs/>
      <w:color w:val="000000"/>
      <w:bdr w:val="nil"/>
      <w:lang w:val="en-GB"/>
    </w:rPr>
  </w:style>
  <w:style w:type="paragraph" w:customStyle="1" w:styleId="Body">
    <w:name w:val="Body"/>
    <w:qFormat/>
    <w:rsid w:val="000C067E"/>
    <w:pPr>
      <w:pBdr>
        <w:top w:val="nil"/>
        <w:left w:val="nil"/>
        <w:bottom w:val="nil"/>
        <w:right w:val="nil"/>
        <w:between w:val="nil"/>
        <w:bar w:val="nil"/>
      </w:pBdr>
      <w:spacing w:before="120" w:after="120" w:line="480" w:lineRule="auto"/>
      <w:jc w:val="both"/>
    </w:pPr>
    <w:rPr>
      <w:rFonts w:ascii="TUOS Blake" w:eastAsia="TUOS Blake" w:hAnsi="TUOS Blake" w:cs="TUOS Blake"/>
      <w:color w:val="000000"/>
      <w:bdr w:val="nil"/>
      <w:lang w:val="en-GB"/>
    </w:rPr>
  </w:style>
  <w:style w:type="character" w:customStyle="1" w:styleId="Heading5Char">
    <w:name w:val="Heading 5 Char"/>
    <w:basedOn w:val="DefaultParagraphFont"/>
    <w:link w:val="Heading5"/>
    <w:uiPriority w:val="9"/>
    <w:semiHidden/>
    <w:rsid w:val="00D7260E"/>
    <w:rPr>
      <w:rFonts w:asciiTheme="majorHAnsi" w:eastAsiaTheme="majorEastAsia" w:hAnsiTheme="majorHAnsi" w:cstheme="majorBidi"/>
      <w:color w:val="243F60" w:themeColor="accent1" w:themeShade="7F"/>
      <w:sz w:val="22"/>
      <w:szCs w:val="22"/>
      <w:bdr w:val="nil"/>
      <w:lang w:val="en-GB"/>
    </w:rPr>
  </w:style>
  <w:style w:type="character" w:customStyle="1" w:styleId="Heading6Char">
    <w:name w:val="Heading 6 Char"/>
    <w:basedOn w:val="DefaultParagraphFont"/>
    <w:link w:val="Heading6"/>
    <w:uiPriority w:val="9"/>
    <w:semiHidden/>
    <w:rsid w:val="00D7260E"/>
    <w:rPr>
      <w:rFonts w:asciiTheme="majorHAnsi" w:eastAsiaTheme="majorEastAsia" w:hAnsiTheme="majorHAnsi" w:cstheme="majorBidi"/>
      <w:i/>
      <w:iCs/>
      <w:color w:val="243F60" w:themeColor="accent1" w:themeShade="7F"/>
      <w:sz w:val="22"/>
      <w:szCs w:val="22"/>
      <w:bdr w:val="nil"/>
      <w:lang w:val="en-GB"/>
    </w:rPr>
  </w:style>
  <w:style w:type="character" w:customStyle="1" w:styleId="Heading7Char">
    <w:name w:val="Heading 7 Char"/>
    <w:basedOn w:val="DefaultParagraphFont"/>
    <w:link w:val="Heading7"/>
    <w:uiPriority w:val="9"/>
    <w:semiHidden/>
    <w:rsid w:val="00D7260E"/>
    <w:rPr>
      <w:rFonts w:asciiTheme="majorHAnsi" w:eastAsiaTheme="majorEastAsia" w:hAnsiTheme="majorHAnsi" w:cstheme="majorBidi"/>
      <w:i/>
      <w:iCs/>
      <w:color w:val="404040" w:themeColor="text1" w:themeTint="BF"/>
      <w:sz w:val="22"/>
      <w:szCs w:val="22"/>
      <w:bdr w:val="nil"/>
      <w:lang w:val="en-GB"/>
    </w:rPr>
  </w:style>
  <w:style w:type="character" w:customStyle="1" w:styleId="Heading8Char">
    <w:name w:val="Heading 8 Char"/>
    <w:basedOn w:val="DefaultParagraphFont"/>
    <w:link w:val="Heading8"/>
    <w:uiPriority w:val="9"/>
    <w:semiHidden/>
    <w:rsid w:val="00D7260E"/>
    <w:rPr>
      <w:rFonts w:asciiTheme="majorHAnsi" w:eastAsiaTheme="majorEastAsia" w:hAnsiTheme="majorHAnsi" w:cstheme="majorBidi"/>
      <w:color w:val="404040" w:themeColor="text1" w:themeTint="BF"/>
      <w:sz w:val="20"/>
      <w:szCs w:val="20"/>
      <w:bdr w:val="nil"/>
      <w:lang w:val="en-GB"/>
    </w:rPr>
  </w:style>
  <w:style w:type="character" w:customStyle="1" w:styleId="Heading9Char">
    <w:name w:val="Heading 9 Char"/>
    <w:basedOn w:val="DefaultParagraphFont"/>
    <w:link w:val="Heading9"/>
    <w:uiPriority w:val="9"/>
    <w:semiHidden/>
    <w:rsid w:val="00D7260E"/>
    <w:rPr>
      <w:rFonts w:asciiTheme="majorHAnsi" w:eastAsiaTheme="majorEastAsia" w:hAnsiTheme="majorHAnsi" w:cstheme="majorBidi"/>
      <w:i/>
      <w:iCs/>
      <w:color w:val="404040" w:themeColor="text1" w:themeTint="BF"/>
      <w:sz w:val="20"/>
      <w:szCs w:val="20"/>
      <w:bdr w:val="nil"/>
      <w:lang w:val="en-GB"/>
    </w:rPr>
  </w:style>
  <w:style w:type="character" w:styleId="Hyperlink">
    <w:name w:val="Hyperlink"/>
    <w:uiPriority w:val="99"/>
    <w:rsid w:val="00D7260E"/>
    <w:rPr>
      <w:u w:val="single"/>
    </w:rPr>
  </w:style>
  <w:style w:type="paragraph" w:customStyle="1" w:styleId="HeaderFooter">
    <w:name w:val="Header &amp; Footer"/>
    <w:rsid w:val="00D7260E"/>
    <w:pPr>
      <w:pBdr>
        <w:top w:val="nil"/>
        <w:left w:val="nil"/>
        <w:bottom w:val="nil"/>
        <w:right w:val="nil"/>
        <w:between w:val="nil"/>
        <w:bar w:val="nil"/>
      </w:pBdr>
      <w:tabs>
        <w:tab w:val="right" w:pos="9632"/>
      </w:tabs>
    </w:pPr>
    <w:rPr>
      <w:rFonts w:ascii="Helvetica" w:eastAsia="Arial Unicode MS" w:hAnsi="Arial Unicode MS" w:cs="Arial Unicode MS"/>
      <w:color w:val="000000"/>
      <w:sz w:val="20"/>
      <w:szCs w:val="20"/>
      <w:bdr w:val="nil"/>
    </w:rPr>
  </w:style>
  <w:style w:type="paragraph" w:styleId="TOC3">
    <w:name w:val="toc 3"/>
    <w:uiPriority w:val="39"/>
    <w:rsid w:val="00D767A2"/>
    <w:pPr>
      <w:pBdr>
        <w:top w:val="nil"/>
        <w:left w:val="nil"/>
        <w:bottom w:val="nil"/>
        <w:right w:val="nil"/>
        <w:between w:val="nil"/>
        <w:bar w:val="nil"/>
      </w:pBdr>
      <w:tabs>
        <w:tab w:val="left" w:pos="1134"/>
        <w:tab w:val="right" w:pos="8204"/>
      </w:tabs>
      <w:spacing w:line="480" w:lineRule="auto"/>
      <w:ind w:left="907" w:hanging="567"/>
    </w:pPr>
    <w:rPr>
      <w:rFonts w:ascii="TUOS Blake" w:eastAsia="Helvetica" w:hAnsi="TUOS Blake" w:cs="Helvetica"/>
      <w:bCs/>
      <w:iCs/>
      <w:noProof/>
      <w:color w:val="000000"/>
      <w:sz w:val="22"/>
      <w:szCs w:val="22"/>
      <w:bdr w:val="nil"/>
      <w:lang w:val="en-GB"/>
    </w:rPr>
  </w:style>
  <w:style w:type="paragraph" w:customStyle="1" w:styleId="TOCHeading2">
    <w:name w:val="TOC Heading 2"/>
    <w:rsid w:val="00D7260E"/>
    <w:pPr>
      <w:pBdr>
        <w:top w:val="nil"/>
        <w:left w:val="nil"/>
        <w:bottom w:val="nil"/>
        <w:right w:val="nil"/>
        <w:between w:val="nil"/>
        <w:bar w:val="nil"/>
      </w:pBdr>
      <w:tabs>
        <w:tab w:val="right" w:pos="9632"/>
      </w:tabs>
      <w:spacing w:before="240" w:after="60"/>
      <w:ind w:left="425"/>
    </w:pPr>
    <w:rPr>
      <w:rFonts w:ascii="Helvetica" w:eastAsia="Arial Unicode MS" w:hAnsi="Arial Unicode MS" w:cs="Arial Unicode MS"/>
      <w:b/>
      <w:bCs/>
      <w:color w:val="000000"/>
      <w:sz w:val="28"/>
      <w:szCs w:val="28"/>
      <w:bdr w:val="nil"/>
    </w:rPr>
  </w:style>
  <w:style w:type="paragraph" w:styleId="List">
    <w:name w:val="List"/>
    <w:rsid w:val="00D7260E"/>
    <w:pPr>
      <w:pBdr>
        <w:top w:val="nil"/>
        <w:left w:val="nil"/>
        <w:bottom w:val="nil"/>
        <w:right w:val="nil"/>
        <w:between w:val="nil"/>
        <w:bar w:val="nil"/>
      </w:pBdr>
      <w:spacing w:after="40"/>
      <w:jc w:val="both"/>
    </w:pPr>
    <w:rPr>
      <w:rFonts w:ascii="TUOS Blake" w:eastAsia="Arial Unicode MS" w:hAnsi="Arial Unicode MS" w:cs="Arial Unicode MS"/>
      <w:color w:val="000000"/>
      <w:sz w:val="20"/>
      <w:bdr w:val="nil"/>
    </w:rPr>
  </w:style>
  <w:style w:type="paragraph" w:styleId="TOC1">
    <w:name w:val="toc 1"/>
    <w:basedOn w:val="Body"/>
    <w:next w:val="Body"/>
    <w:uiPriority w:val="39"/>
    <w:rsid w:val="00465C00"/>
    <w:pPr>
      <w:keepNext/>
      <w:spacing w:after="60"/>
      <w:outlineLvl w:val="0"/>
    </w:pPr>
    <w:rPr>
      <w:rFonts w:eastAsia="Helvetica" w:cs="Helvetica"/>
      <w:b/>
      <w:bCs/>
      <w:szCs w:val="36"/>
    </w:rPr>
  </w:style>
  <w:style w:type="numbering" w:customStyle="1" w:styleId="List0">
    <w:name w:val="List 0"/>
    <w:basedOn w:val="List00"/>
    <w:rsid w:val="00D7260E"/>
    <w:pPr>
      <w:numPr>
        <w:numId w:val="3"/>
      </w:numPr>
    </w:pPr>
  </w:style>
  <w:style w:type="numbering" w:customStyle="1" w:styleId="List00">
    <w:name w:val="List.0"/>
    <w:rsid w:val="00D7260E"/>
  </w:style>
  <w:style w:type="numbering" w:customStyle="1" w:styleId="List1">
    <w:name w:val="List 1"/>
    <w:basedOn w:val="List00"/>
    <w:rsid w:val="00D7260E"/>
    <w:pPr>
      <w:numPr>
        <w:numId w:val="5"/>
      </w:numPr>
    </w:pPr>
  </w:style>
  <w:style w:type="paragraph" w:customStyle="1" w:styleId="FreeForm">
    <w:name w:val="Free Form"/>
    <w:rsid w:val="00D7260E"/>
    <w:pPr>
      <w:pBdr>
        <w:top w:val="nil"/>
        <w:left w:val="nil"/>
        <w:bottom w:val="nil"/>
        <w:right w:val="nil"/>
        <w:between w:val="nil"/>
        <w:bar w:val="nil"/>
      </w:pBdr>
    </w:pPr>
    <w:rPr>
      <w:rFonts w:ascii="Helvetica" w:eastAsia="Arial Unicode MS" w:hAnsi="Arial Unicode MS" w:cs="Arial Unicode MS"/>
      <w:color w:val="000000"/>
      <w:bdr w:val="nil"/>
    </w:rPr>
  </w:style>
  <w:style w:type="character" w:customStyle="1" w:styleId="Link">
    <w:name w:val="Link"/>
    <w:rsid w:val="00D7260E"/>
    <w:rPr>
      <w:color w:val="000099"/>
      <w:u w:val="single"/>
    </w:rPr>
  </w:style>
  <w:style w:type="character" w:customStyle="1" w:styleId="Hyperlink0">
    <w:name w:val="Hyperlink.0"/>
    <w:basedOn w:val="Link"/>
    <w:rsid w:val="00D7260E"/>
    <w:rPr>
      <w:rFonts w:ascii="Helvetica" w:eastAsia="Helvetica" w:hAnsi="Helvetica" w:cs="Helvetica"/>
      <w:color w:val="000000"/>
      <w:u w:val="single"/>
    </w:rPr>
  </w:style>
  <w:style w:type="character" w:customStyle="1" w:styleId="Hyperlink1">
    <w:name w:val="Hyperlink.1"/>
    <w:basedOn w:val="Link"/>
    <w:rsid w:val="00D7260E"/>
    <w:rPr>
      <w:color w:val="000000"/>
      <w:u w:val="single"/>
    </w:rPr>
  </w:style>
  <w:style w:type="paragraph" w:styleId="BalloonText">
    <w:name w:val="Balloon Text"/>
    <w:basedOn w:val="Normal"/>
    <w:link w:val="BalloonTextChar"/>
    <w:uiPriority w:val="99"/>
    <w:semiHidden/>
    <w:unhideWhenUsed/>
    <w:rsid w:val="00D7260E"/>
    <w:rPr>
      <w:rFonts w:ascii="Lucida Grande" w:hAnsi="Lucida Grande"/>
      <w:sz w:val="18"/>
      <w:szCs w:val="18"/>
    </w:rPr>
  </w:style>
  <w:style w:type="character" w:customStyle="1" w:styleId="BalloonTextChar">
    <w:name w:val="Balloon Text Char"/>
    <w:basedOn w:val="DefaultParagraphFont"/>
    <w:link w:val="BalloonText"/>
    <w:uiPriority w:val="99"/>
    <w:semiHidden/>
    <w:rsid w:val="00D7260E"/>
    <w:rPr>
      <w:rFonts w:ascii="Lucida Grande" w:eastAsia="Arial Unicode MS" w:hAnsi="Lucida Grande" w:cs="Arial Unicode MS"/>
      <w:color w:val="000000"/>
      <w:sz w:val="18"/>
      <w:szCs w:val="18"/>
      <w:bdr w:val="nil"/>
      <w:lang w:val="en-GB"/>
    </w:rPr>
  </w:style>
  <w:style w:type="paragraph" w:styleId="TableofFigures">
    <w:name w:val="table of figures"/>
    <w:basedOn w:val="Normal"/>
    <w:next w:val="Normal"/>
    <w:uiPriority w:val="99"/>
    <w:unhideWhenUsed/>
    <w:rsid w:val="00D7260E"/>
    <w:pPr>
      <w:pBdr>
        <w:top w:val="nil"/>
        <w:left w:val="nil"/>
        <w:bottom w:val="nil"/>
        <w:right w:val="nil"/>
        <w:between w:val="nil"/>
        <w:bar w:val="nil"/>
      </w:pBdr>
      <w:spacing w:line="360" w:lineRule="auto"/>
      <w:ind w:left="440" w:hanging="440"/>
    </w:pPr>
    <w:rPr>
      <w:rFonts w:ascii="TUOS Blake" w:eastAsia="Arial Unicode MS" w:hAnsi="Arial Unicode MS" w:cs="Arial Unicode MS"/>
      <w:color w:val="000000"/>
      <w:sz w:val="22"/>
      <w:szCs w:val="22"/>
      <w:bdr w:val="nil"/>
    </w:rPr>
  </w:style>
  <w:style w:type="paragraph" w:styleId="Title">
    <w:name w:val="Title"/>
    <w:basedOn w:val="Normal"/>
    <w:next w:val="Normal"/>
    <w:link w:val="TitleChar"/>
    <w:uiPriority w:val="10"/>
    <w:qFormat/>
    <w:rsid w:val="00D7260E"/>
    <w:pPr>
      <w:pBdr>
        <w:top w:val="nil"/>
        <w:left w:val="nil"/>
        <w:bottom w:val="single" w:sz="8" w:space="4" w:color="4F81BD" w:themeColor="accent1"/>
        <w:right w:val="nil"/>
        <w:between w:val="nil"/>
        <w:bar w:val="nil"/>
      </w:pBdr>
      <w:spacing w:after="300"/>
      <w:contextualSpacing/>
      <w:jc w:val="center"/>
    </w:pPr>
    <w:rPr>
      <w:rFonts w:asciiTheme="majorHAnsi" w:eastAsiaTheme="majorEastAsia" w:hAnsiTheme="majorHAnsi" w:cstheme="majorBidi"/>
      <w:spacing w:val="5"/>
      <w:kern w:val="28"/>
      <w:sz w:val="52"/>
      <w:szCs w:val="52"/>
      <w:bdr w:val="nil"/>
    </w:rPr>
  </w:style>
  <w:style w:type="character" w:customStyle="1" w:styleId="TitleChar">
    <w:name w:val="Title Char"/>
    <w:basedOn w:val="DefaultParagraphFont"/>
    <w:link w:val="Title"/>
    <w:uiPriority w:val="10"/>
    <w:rsid w:val="00D7260E"/>
    <w:rPr>
      <w:rFonts w:asciiTheme="majorHAnsi" w:eastAsiaTheme="majorEastAsia" w:hAnsiTheme="majorHAnsi" w:cstheme="majorBidi"/>
      <w:spacing w:val="5"/>
      <w:kern w:val="28"/>
      <w:sz w:val="52"/>
      <w:szCs w:val="52"/>
      <w:bdr w:val="nil"/>
      <w:lang w:val="en-GB"/>
    </w:rPr>
  </w:style>
  <w:style w:type="paragraph" w:styleId="Header">
    <w:name w:val="header"/>
    <w:basedOn w:val="Normal"/>
    <w:link w:val="HeaderChar"/>
    <w:uiPriority w:val="99"/>
    <w:unhideWhenUsed/>
    <w:rsid w:val="00D7260E"/>
    <w:pPr>
      <w:pBdr>
        <w:top w:val="nil"/>
        <w:left w:val="nil"/>
        <w:bottom w:val="nil"/>
        <w:right w:val="nil"/>
        <w:between w:val="nil"/>
        <w:bar w:val="nil"/>
      </w:pBdr>
      <w:tabs>
        <w:tab w:val="center" w:pos="4320"/>
        <w:tab w:val="right" w:pos="8640"/>
      </w:tabs>
    </w:pPr>
    <w:rPr>
      <w:rFonts w:ascii="TUOS Blake" w:eastAsia="Arial Unicode MS" w:hAnsi="Arial Unicode MS" w:cs="Arial Unicode MS"/>
      <w:color w:val="000000"/>
      <w:sz w:val="22"/>
      <w:szCs w:val="22"/>
      <w:bdr w:val="nil"/>
    </w:rPr>
  </w:style>
  <w:style w:type="character" w:customStyle="1" w:styleId="HeaderChar">
    <w:name w:val="Header Char"/>
    <w:basedOn w:val="DefaultParagraphFont"/>
    <w:link w:val="Header"/>
    <w:uiPriority w:val="99"/>
    <w:rsid w:val="00D7260E"/>
    <w:rPr>
      <w:rFonts w:ascii="TUOS Blake" w:eastAsia="Arial Unicode MS" w:hAnsi="Arial Unicode MS" w:cs="Arial Unicode MS"/>
      <w:color w:val="000000"/>
      <w:sz w:val="22"/>
      <w:szCs w:val="22"/>
      <w:bdr w:val="nil"/>
      <w:lang w:val="en-GB"/>
    </w:rPr>
  </w:style>
  <w:style w:type="paragraph" w:styleId="Footer">
    <w:name w:val="footer"/>
    <w:basedOn w:val="Normal"/>
    <w:link w:val="FooterChar"/>
    <w:uiPriority w:val="99"/>
    <w:unhideWhenUsed/>
    <w:rsid w:val="00D7260E"/>
    <w:pPr>
      <w:pBdr>
        <w:top w:val="nil"/>
        <w:left w:val="nil"/>
        <w:bottom w:val="nil"/>
        <w:right w:val="nil"/>
        <w:between w:val="nil"/>
        <w:bar w:val="nil"/>
      </w:pBdr>
      <w:tabs>
        <w:tab w:val="center" w:pos="4320"/>
        <w:tab w:val="right" w:pos="8640"/>
      </w:tabs>
    </w:pPr>
    <w:rPr>
      <w:rFonts w:ascii="TUOS Blake" w:eastAsia="Arial Unicode MS" w:hAnsi="Arial Unicode MS" w:cs="Arial Unicode MS"/>
      <w:color w:val="000000"/>
      <w:sz w:val="22"/>
      <w:szCs w:val="22"/>
      <w:bdr w:val="nil"/>
    </w:rPr>
  </w:style>
  <w:style w:type="character" w:customStyle="1" w:styleId="FooterChar">
    <w:name w:val="Footer Char"/>
    <w:basedOn w:val="DefaultParagraphFont"/>
    <w:link w:val="Footer"/>
    <w:uiPriority w:val="99"/>
    <w:rsid w:val="00D7260E"/>
    <w:rPr>
      <w:rFonts w:ascii="TUOS Blake" w:eastAsia="Arial Unicode MS" w:hAnsi="Arial Unicode MS" w:cs="Arial Unicode MS"/>
      <w:color w:val="000000"/>
      <w:sz w:val="22"/>
      <w:szCs w:val="22"/>
      <w:bdr w:val="nil"/>
      <w:lang w:val="en-GB"/>
    </w:rPr>
  </w:style>
  <w:style w:type="character" w:styleId="PageNumber">
    <w:name w:val="page number"/>
    <w:basedOn w:val="DefaultParagraphFont"/>
    <w:uiPriority w:val="99"/>
    <w:semiHidden/>
    <w:unhideWhenUsed/>
    <w:rsid w:val="00D7260E"/>
  </w:style>
  <w:style w:type="paragraph" w:styleId="TOC2">
    <w:name w:val="toc 2"/>
    <w:basedOn w:val="Normal"/>
    <w:next w:val="Normal"/>
    <w:autoRedefine/>
    <w:uiPriority w:val="39"/>
    <w:unhideWhenUsed/>
    <w:rsid w:val="00EE3D54"/>
    <w:pPr>
      <w:pBdr>
        <w:top w:val="nil"/>
        <w:left w:val="nil"/>
        <w:bottom w:val="nil"/>
        <w:right w:val="nil"/>
        <w:between w:val="nil"/>
        <w:bar w:val="nil"/>
      </w:pBdr>
      <w:tabs>
        <w:tab w:val="left" w:pos="658"/>
        <w:tab w:val="right" w:leader="dot" w:pos="8204"/>
      </w:tabs>
      <w:spacing w:line="480" w:lineRule="auto"/>
      <w:ind w:left="828" w:hanging="658"/>
    </w:pPr>
    <w:rPr>
      <w:rFonts w:ascii="TUOS Blake" w:eastAsia="Arial Unicode MS" w:hAnsi="Arial Unicode MS" w:cs="Arial Unicode MS"/>
      <w:color w:val="000000"/>
      <w:sz w:val="22"/>
      <w:szCs w:val="22"/>
      <w:bdr w:val="nil"/>
    </w:rPr>
  </w:style>
  <w:style w:type="paragraph" w:styleId="TOC4">
    <w:name w:val="toc 4"/>
    <w:basedOn w:val="Normal"/>
    <w:next w:val="Normal"/>
    <w:autoRedefine/>
    <w:uiPriority w:val="39"/>
    <w:unhideWhenUsed/>
    <w:rsid w:val="00D7260E"/>
    <w:pPr>
      <w:pBdr>
        <w:top w:val="nil"/>
        <w:left w:val="nil"/>
        <w:bottom w:val="nil"/>
        <w:right w:val="nil"/>
        <w:between w:val="nil"/>
        <w:bar w:val="nil"/>
      </w:pBdr>
      <w:spacing w:line="360" w:lineRule="auto"/>
      <w:ind w:left="660"/>
    </w:pPr>
    <w:rPr>
      <w:rFonts w:ascii="TUOS Blake" w:eastAsia="Arial Unicode MS" w:hAnsi="Arial Unicode MS" w:cs="Arial Unicode MS"/>
      <w:color w:val="000000"/>
      <w:sz w:val="22"/>
      <w:szCs w:val="22"/>
      <w:bdr w:val="nil"/>
    </w:rPr>
  </w:style>
  <w:style w:type="paragraph" w:styleId="TOC5">
    <w:name w:val="toc 5"/>
    <w:basedOn w:val="Normal"/>
    <w:next w:val="Normal"/>
    <w:autoRedefine/>
    <w:uiPriority w:val="39"/>
    <w:unhideWhenUsed/>
    <w:rsid w:val="00D7260E"/>
    <w:pPr>
      <w:pBdr>
        <w:top w:val="nil"/>
        <w:left w:val="nil"/>
        <w:bottom w:val="nil"/>
        <w:right w:val="nil"/>
        <w:between w:val="nil"/>
        <w:bar w:val="nil"/>
      </w:pBdr>
      <w:spacing w:line="360" w:lineRule="auto"/>
      <w:ind w:left="880"/>
    </w:pPr>
    <w:rPr>
      <w:rFonts w:ascii="TUOS Blake" w:eastAsia="Arial Unicode MS" w:hAnsi="Arial Unicode MS" w:cs="Arial Unicode MS"/>
      <w:color w:val="000000"/>
      <w:sz w:val="22"/>
      <w:szCs w:val="22"/>
      <w:bdr w:val="nil"/>
    </w:rPr>
  </w:style>
  <w:style w:type="paragraph" w:styleId="TOC6">
    <w:name w:val="toc 6"/>
    <w:basedOn w:val="Normal"/>
    <w:next w:val="Normal"/>
    <w:autoRedefine/>
    <w:uiPriority w:val="39"/>
    <w:unhideWhenUsed/>
    <w:rsid w:val="00D7260E"/>
    <w:pPr>
      <w:pBdr>
        <w:top w:val="nil"/>
        <w:left w:val="nil"/>
        <w:bottom w:val="nil"/>
        <w:right w:val="nil"/>
        <w:between w:val="nil"/>
        <w:bar w:val="nil"/>
      </w:pBdr>
      <w:spacing w:line="360" w:lineRule="auto"/>
      <w:ind w:left="1100"/>
    </w:pPr>
    <w:rPr>
      <w:rFonts w:ascii="TUOS Blake" w:eastAsia="Arial Unicode MS" w:hAnsi="Arial Unicode MS" w:cs="Arial Unicode MS"/>
      <w:color w:val="000000"/>
      <w:sz w:val="22"/>
      <w:szCs w:val="22"/>
      <w:bdr w:val="nil"/>
    </w:rPr>
  </w:style>
  <w:style w:type="paragraph" w:styleId="TOC7">
    <w:name w:val="toc 7"/>
    <w:basedOn w:val="Normal"/>
    <w:next w:val="Normal"/>
    <w:autoRedefine/>
    <w:uiPriority w:val="39"/>
    <w:unhideWhenUsed/>
    <w:rsid w:val="00D7260E"/>
    <w:pPr>
      <w:pBdr>
        <w:top w:val="nil"/>
        <w:left w:val="nil"/>
        <w:bottom w:val="nil"/>
        <w:right w:val="nil"/>
        <w:between w:val="nil"/>
        <w:bar w:val="nil"/>
      </w:pBdr>
      <w:spacing w:line="360" w:lineRule="auto"/>
      <w:ind w:left="1320"/>
    </w:pPr>
    <w:rPr>
      <w:rFonts w:ascii="TUOS Blake" w:eastAsia="Arial Unicode MS" w:hAnsi="Arial Unicode MS" w:cs="Arial Unicode MS"/>
      <w:color w:val="000000"/>
      <w:sz w:val="22"/>
      <w:szCs w:val="22"/>
      <w:bdr w:val="nil"/>
    </w:rPr>
  </w:style>
  <w:style w:type="paragraph" w:styleId="TOC8">
    <w:name w:val="toc 8"/>
    <w:basedOn w:val="Normal"/>
    <w:next w:val="Normal"/>
    <w:autoRedefine/>
    <w:uiPriority w:val="39"/>
    <w:unhideWhenUsed/>
    <w:rsid w:val="00D7260E"/>
    <w:pPr>
      <w:pBdr>
        <w:top w:val="nil"/>
        <w:left w:val="nil"/>
        <w:bottom w:val="nil"/>
        <w:right w:val="nil"/>
        <w:between w:val="nil"/>
        <w:bar w:val="nil"/>
      </w:pBdr>
      <w:spacing w:line="360" w:lineRule="auto"/>
      <w:ind w:left="1540"/>
    </w:pPr>
    <w:rPr>
      <w:rFonts w:ascii="TUOS Blake" w:eastAsia="Arial Unicode MS" w:hAnsi="Arial Unicode MS" w:cs="Arial Unicode MS"/>
      <w:color w:val="000000"/>
      <w:sz w:val="22"/>
      <w:szCs w:val="22"/>
      <w:bdr w:val="nil"/>
    </w:rPr>
  </w:style>
  <w:style w:type="paragraph" w:styleId="TOC9">
    <w:name w:val="toc 9"/>
    <w:basedOn w:val="Normal"/>
    <w:next w:val="Normal"/>
    <w:autoRedefine/>
    <w:uiPriority w:val="39"/>
    <w:unhideWhenUsed/>
    <w:rsid w:val="00D7260E"/>
    <w:pPr>
      <w:pBdr>
        <w:top w:val="nil"/>
        <w:left w:val="nil"/>
        <w:bottom w:val="nil"/>
        <w:right w:val="nil"/>
        <w:between w:val="nil"/>
        <w:bar w:val="nil"/>
      </w:pBdr>
      <w:spacing w:line="360" w:lineRule="auto"/>
      <w:ind w:left="1760"/>
    </w:pPr>
    <w:rPr>
      <w:rFonts w:ascii="TUOS Blake" w:eastAsia="Arial Unicode MS" w:hAnsi="Arial Unicode MS" w:cs="Arial Unicode MS"/>
      <w:color w:val="000000"/>
      <w:sz w:val="22"/>
      <w:szCs w:val="22"/>
      <w:bdr w:val="nil"/>
    </w:rPr>
  </w:style>
  <w:style w:type="paragraph" w:customStyle="1" w:styleId="abstract">
    <w:name w:val="abstract"/>
    <w:basedOn w:val="Heading1"/>
    <w:rsid w:val="00D7260E"/>
    <w:pPr>
      <w:spacing w:before="120" w:after="120"/>
    </w:pPr>
  </w:style>
  <w:style w:type="character" w:styleId="CommentReference">
    <w:name w:val="annotation reference"/>
    <w:basedOn w:val="DefaultParagraphFont"/>
    <w:uiPriority w:val="99"/>
    <w:unhideWhenUsed/>
    <w:rsid w:val="00D7260E"/>
    <w:rPr>
      <w:sz w:val="18"/>
      <w:szCs w:val="18"/>
    </w:rPr>
  </w:style>
  <w:style w:type="paragraph" w:styleId="CommentText">
    <w:name w:val="annotation text"/>
    <w:basedOn w:val="Normal"/>
    <w:link w:val="CommentTextChar"/>
    <w:uiPriority w:val="99"/>
    <w:semiHidden/>
    <w:unhideWhenUsed/>
    <w:rsid w:val="00D7260E"/>
    <w:pPr>
      <w:pBdr>
        <w:top w:val="nil"/>
        <w:left w:val="nil"/>
        <w:bottom w:val="nil"/>
        <w:right w:val="nil"/>
        <w:between w:val="nil"/>
        <w:bar w:val="nil"/>
      </w:pBdr>
    </w:pPr>
    <w:rPr>
      <w:rFonts w:ascii="TUOS Blake" w:eastAsia="Arial Unicode MS" w:hAnsi="Arial Unicode MS" w:cs="Arial Unicode MS"/>
      <w:color w:val="000000"/>
      <w:bdr w:val="nil"/>
    </w:rPr>
  </w:style>
  <w:style w:type="character" w:customStyle="1" w:styleId="CommentTextChar">
    <w:name w:val="Comment Text Char"/>
    <w:basedOn w:val="DefaultParagraphFont"/>
    <w:link w:val="CommentText"/>
    <w:uiPriority w:val="99"/>
    <w:semiHidden/>
    <w:rsid w:val="00D7260E"/>
    <w:rPr>
      <w:rFonts w:ascii="TUOS Blake" w:eastAsia="Arial Unicode MS" w:hAnsi="Arial Unicode MS" w:cs="Arial Unicode MS"/>
      <w:color w:val="000000"/>
      <w:bdr w:val="nil"/>
      <w:lang w:val="en-GB"/>
    </w:rPr>
  </w:style>
  <w:style w:type="paragraph" w:styleId="CommentSubject">
    <w:name w:val="annotation subject"/>
    <w:basedOn w:val="CommentText"/>
    <w:next w:val="CommentText"/>
    <w:link w:val="CommentSubjectChar"/>
    <w:uiPriority w:val="99"/>
    <w:semiHidden/>
    <w:unhideWhenUsed/>
    <w:rsid w:val="00D7260E"/>
    <w:rPr>
      <w:b/>
      <w:bCs/>
      <w:sz w:val="20"/>
      <w:szCs w:val="20"/>
    </w:rPr>
  </w:style>
  <w:style w:type="character" w:customStyle="1" w:styleId="CommentSubjectChar">
    <w:name w:val="Comment Subject Char"/>
    <w:basedOn w:val="CommentTextChar"/>
    <w:link w:val="CommentSubject"/>
    <w:uiPriority w:val="99"/>
    <w:semiHidden/>
    <w:rsid w:val="00D7260E"/>
    <w:rPr>
      <w:rFonts w:ascii="TUOS Blake" w:eastAsia="Arial Unicode MS" w:hAnsi="Arial Unicode MS" w:cs="Arial Unicode MS"/>
      <w:b/>
      <w:bCs/>
      <w:color w:val="000000"/>
      <w:sz w:val="20"/>
      <w:szCs w:val="20"/>
      <w:bdr w:val="nil"/>
      <w:lang w:val="en-GB"/>
    </w:rPr>
  </w:style>
  <w:style w:type="paragraph" w:customStyle="1" w:styleId="reference">
    <w:name w:val="reference"/>
    <w:basedOn w:val="Normal"/>
    <w:rsid w:val="00BB5250"/>
    <w:pPr>
      <w:pBdr>
        <w:top w:val="nil"/>
        <w:left w:val="nil"/>
        <w:bottom w:val="nil"/>
        <w:right w:val="nil"/>
        <w:between w:val="nil"/>
        <w:bar w:val="nil"/>
      </w:pBdr>
      <w:spacing w:line="360" w:lineRule="auto"/>
    </w:pPr>
    <w:rPr>
      <w:rFonts w:ascii="TUOS Blake" w:eastAsia="Arial Unicode MS" w:hAnsi="Arial Unicode MS" w:cs="Arial Unicode MS"/>
      <w:color w:val="000000"/>
      <w:sz w:val="22"/>
      <w:szCs w:val="22"/>
      <w:bdr w:val="nil"/>
    </w:rPr>
  </w:style>
  <w:style w:type="paragraph" w:customStyle="1" w:styleId="Style1">
    <w:name w:val="Style1"/>
    <w:basedOn w:val="Normal"/>
    <w:qFormat/>
    <w:rsid w:val="00BB5250"/>
    <w:pPr>
      <w:pBdr>
        <w:top w:val="nil"/>
        <w:left w:val="nil"/>
        <w:bottom w:val="nil"/>
        <w:right w:val="nil"/>
        <w:between w:val="nil"/>
        <w:bar w:val="nil"/>
      </w:pBdr>
      <w:spacing w:before="120" w:after="120" w:line="360" w:lineRule="auto"/>
    </w:pPr>
    <w:rPr>
      <w:rFonts w:ascii="TUOS Blake" w:eastAsia="Arial Unicode MS" w:hAnsi="Arial Unicode MS" w:cs="Arial Unicode MS"/>
      <w:color w:val="000000"/>
      <w:sz w:val="22"/>
      <w:szCs w:val="22"/>
      <w:bdr w:val="nil"/>
    </w:rPr>
  </w:style>
  <w:style w:type="table" w:styleId="TableGrid">
    <w:name w:val="Table Grid"/>
    <w:basedOn w:val="TableNormal"/>
    <w:uiPriority w:val="59"/>
    <w:rsid w:val="00E27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BA43B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BA43B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BA43B3"/>
    <w:pPr>
      <w:pBdr>
        <w:top w:val="nil"/>
        <w:left w:val="nil"/>
        <w:bottom w:val="nil"/>
        <w:right w:val="nil"/>
        <w:between w:val="nil"/>
        <w:bar w:val="nil"/>
      </w:pBdr>
      <w:spacing w:line="360" w:lineRule="auto"/>
    </w:pPr>
    <w:rPr>
      <w:rFonts w:eastAsia="Arial Unicode MS"/>
      <w:color w:val="000000"/>
      <w:bdr w:val="nil"/>
    </w:rPr>
  </w:style>
  <w:style w:type="paragraph" w:customStyle="1" w:styleId="ref">
    <w:name w:val="ref"/>
    <w:basedOn w:val="Normal"/>
    <w:rsid w:val="00F15D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pPr>
    <w:rPr>
      <w:rFonts w:ascii="TUOS Blake" w:eastAsia="Arial Unicode MS" w:hAnsi="TUOS Blake" w:cs="Arial Unicode MS"/>
      <w:color w:val="000000"/>
      <w:bdr w:val="nil"/>
    </w:rPr>
  </w:style>
  <w:style w:type="character" w:customStyle="1" w:styleId="Underline">
    <w:name w:val="Underline"/>
    <w:rsid w:val="00E44E33"/>
    <w:rPr>
      <w:u w:val="single"/>
      <w:lang w:val="nl-NL"/>
    </w:rPr>
  </w:style>
  <w:style w:type="character" w:customStyle="1" w:styleId="Hyperlink2">
    <w:name w:val="Hyperlink.2"/>
    <w:basedOn w:val="DefaultParagraphFont"/>
    <w:rsid w:val="00E44E33"/>
    <w:rPr>
      <w:rFonts w:ascii="Helvetica" w:eastAsia="Helvetica" w:hAnsi="Helvetica" w:cs="Helvetica"/>
      <w:color w:val="011EA9"/>
      <w:u w:val="single"/>
    </w:rPr>
  </w:style>
  <w:style w:type="paragraph" w:customStyle="1" w:styleId="table">
    <w:name w:val="table"/>
    <w:basedOn w:val="Body"/>
    <w:rsid w:val="000A4D1F"/>
    <w:pPr>
      <w:spacing w:line="360" w:lineRule="auto"/>
    </w:pPr>
    <w:rPr>
      <w:bCs/>
      <w:sz w:val="22"/>
      <w:szCs w:val="22"/>
      <w:bdr w:val="none" w:sz="0" w:space="0" w:color="auto"/>
    </w:rPr>
  </w:style>
  <w:style w:type="table" w:styleId="LightShading">
    <w:name w:val="Light Shading"/>
    <w:basedOn w:val="TableNormal"/>
    <w:uiPriority w:val="60"/>
    <w:rsid w:val="003508D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796EB9"/>
    <w:rPr>
      <w:color w:val="800080" w:themeColor="followedHyperlink"/>
      <w:u w:val="single"/>
    </w:rPr>
  </w:style>
  <w:style w:type="paragraph" w:customStyle="1" w:styleId="font5">
    <w:name w:val="font5"/>
    <w:basedOn w:val="Normal"/>
    <w:rsid w:val="00796EB9"/>
    <w:pPr>
      <w:spacing w:before="100" w:beforeAutospacing="1" w:after="100" w:afterAutospacing="1"/>
    </w:pPr>
    <w:rPr>
      <w:rFonts w:ascii="Helvetica" w:eastAsiaTheme="minorEastAsia" w:hAnsi="Helvetica" w:cstheme="minorBidi"/>
      <w:b/>
      <w:bCs/>
      <w:color w:val="FFFFFF"/>
      <w:sz w:val="20"/>
      <w:szCs w:val="20"/>
    </w:rPr>
  </w:style>
  <w:style w:type="paragraph" w:customStyle="1" w:styleId="xl65">
    <w:name w:val="xl65"/>
    <w:basedOn w:val="Normal"/>
    <w:rsid w:val="00796EB9"/>
    <w:pPr>
      <w:shd w:val="clear" w:color="000000" w:fill="0243FF"/>
      <w:spacing w:before="100" w:beforeAutospacing="1" w:after="100" w:afterAutospacing="1"/>
      <w:jc w:val="center"/>
      <w:textAlignment w:val="center"/>
    </w:pPr>
    <w:rPr>
      <w:rFonts w:ascii="Helvetica" w:eastAsiaTheme="minorEastAsia" w:hAnsi="Helvetica" w:cstheme="minorBidi"/>
      <w:b/>
      <w:bCs/>
      <w:color w:val="FFFFFF"/>
      <w:sz w:val="20"/>
      <w:szCs w:val="20"/>
    </w:rPr>
  </w:style>
  <w:style w:type="paragraph" w:customStyle="1" w:styleId="xl66">
    <w:name w:val="xl66"/>
    <w:basedOn w:val="Normal"/>
    <w:rsid w:val="00796EB9"/>
    <w:pPr>
      <w:shd w:val="clear" w:color="000000" w:fill="DDE1F8"/>
      <w:spacing w:before="100" w:beforeAutospacing="1" w:after="100" w:afterAutospacing="1"/>
      <w:textAlignment w:val="center"/>
    </w:pPr>
    <w:rPr>
      <w:rFonts w:ascii="Times" w:eastAsiaTheme="minorEastAsia" w:hAnsi="Times" w:cstheme="minorBidi"/>
      <w:color w:val="0000FF"/>
      <w:sz w:val="20"/>
      <w:szCs w:val="20"/>
      <w:u w:val="single"/>
    </w:rPr>
  </w:style>
  <w:style w:type="paragraph" w:customStyle="1" w:styleId="xl67">
    <w:name w:val="xl67"/>
    <w:basedOn w:val="Normal"/>
    <w:rsid w:val="00796EB9"/>
    <w:pPr>
      <w:shd w:val="clear" w:color="000000" w:fill="DDE1F8"/>
      <w:spacing w:before="100" w:beforeAutospacing="1" w:after="100" w:afterAutospacing="1"/>
      <w:textAlignment w:val="center"/>
    </w:pPr>
    <w:rPr>
      <w:rFonts w:ascii="Helvetica" w:eastAsiaTheme="minorEastAsia" w:hAnsi="Helvetica" w:cstheme="minorBidi"/>
      <w:color w:val="000000"/>
      <w:sz w:val="20"/>
      <w:szCs w:val="20"/>
    </w:rPr>
  </w:style>
  <w:style w:type="paragraph" w:customStyle="1" w:styleId="xl68">
    <w:name w:val="xl68"/>
    <w:basedOn w:val="Normal"/>
    <w:rsid w:val="00796EB9"/>
    <w:pPr>
      <w:shd w:val="clear" w:color="000000" w:fill="DDE1F8"/>
      <w:spacing w:before="100" w:beforeAutospacing="1" w:after="100" w:afterAutospacing="1"/>
      <w:jc w:val="center"/>
      <w:textAlignment w:val="center"/>
    </w:pPr>
    <w:rPr>
      <w:rFonts w:ascii="Helvetica" w:eastAsiaTheme="minorEastAsia" w:hAnsi="Helvetica" w:cstheme="minorBidi"/>
      <w:b/>
      <w:bCs/>
      <w:color w:val="000000"/>
      <w:sz w:val="20"/>
      <w:szCs w:val="20"/>
    </w:rPr>
  </w:style>
  <w:style w:type="paragraph" w:customStyle="1" w:styleId="xl69">
    <w:name w:val="xl69"/>
    <w:basedOn w:val="Normal"/>
    <w:rsid w:val="00796EB9"/>
    <w:pPr>
      <w:shd w:val="clear" w:color="000000" w:fill="DDE1F8"/>
      <w:spacing w:before="100" w:beforeAutospacing="1" w:after="100" w:afterAutospacing="1"/>
      <w:jc w:val="center"/>
      <w:textAlignment w:val="center"/>
    </w:pPr>
    <w:rPr>
      <w:rFonts w:ascii="Helvetica" w:eastAsiaTheme="minorEastAsia" w:hAnsi="Helvetica" w:cstheme="minorBidi"/>
      <w:color w:val="000000"/>
      <w:sz w:val="20"/>
      <w:szCs w:val="20"/>
    </w:rPr>
  </w:style>
  <w:style w:type="paragraph" w:customStyle="1" w:styleId="xl70">
    <w:name w:val="xl70"/>
    <w:basedOn w:val="Normal"/>
    <w:rsid w:val="00796EB9"/>
    <w:pPr>
      <w:shd w:val="clear" w:color="000000" w:fill="BFD0FF"/>
      <w:spacing w:before="100" w:beforeAutospacing="1" w:after="100" w:afterAutospacing="1"/>
      <w:textAlignment w:val="center"/>
    </w:pPr>
    <w:rPr>
      <w:rFonts w:ascii="Times" w:eastAsiaTheme="minorEastAsia" w:hAnsi="Times" w:cstheme="minorBidi"/>
      <w:color w:val="0000FF"/>
      <w:sz w:val="20"/>
      <w:szCs w:val="20"/>
      <w:u w:val="single"/>
    </w:rPr>
  </w:style>
  <w:style w:type="paragraph" w:customStyle="1" w:styleId="xl71">
    <w:name w:val="xl71"/>
    <w:basedOn w:val="Normal"/>
    <w:rsid w:val="00796EB9"/>
    <w:pPr>
      <w:shd w:val="clear" w:color="000000" w:fill="BFD0FF"/>
      <w:spacing w:before="100" w:beforeAutospacing="1" w:after="100" w:afterAutospacing="1"/>
      <w:textAlignment w:val="center"/>
    </w:pPr>
    <w:rPr>
      <w:rFonts w:ascii="Helvetica" w:eastAsiaTheme="minorEastAsia" w:hAnsi="Helvetica" w:cstheme="minorBidi"/>
      <w:color w:val="000000"/>
      <w:sz w:val="20"/>
      <w:szCs w:val="20"/>
    </w:rPr>
  </w:style>
  <w:style w:type="paragraph" w:customStyle="1" w:styleId="xl72">
    <w:name w:val="xl72"/>
    <w:basedOn w:val="Normal"/>
    <w:rsid w:val="00796EB9"/>
    <w:pPr>
      <w:shd w:val="clear" w:color="000000" w:fill="BFD0FF"/>
      <w:spacing w:before="100" w:beforeAutospacing="1" w:after="100" w:afterAutospacing="1"/>
      <w:jc w:val="center"/>
      <w:textAlignment w:val="center"/>
    </w:pPr>
    <w:rPr>
      <w:rFonts w:ascii="Helvetica" w:eastAsiaTheme="minorEastAsia" w:hAnsi="Helvetica" w:cstheme="minorBidi"/>
      <w:b/>
      <w:bCs/>
      <w:color w:val="000000"/>
      <w:sz w:val="20"/>
      <w:szCs w:val="20"/>
    </w:rPr>
  </w:style>
  <w:style w:type="paragraph" w:customStyle="1" w:styleId="xl73">
    <w:name w:val="xl73"/>
    <w:basedOn w:val="Normal"/>
    <w:rsid w:val="00796EB9"/>
    <w:pPr>
      <w:shd w:val="clear" w:color="000000" w:fill="BFD0FF"/>
      <w:spacing w:before="100" w:beforeAutospacing="1" w:after="100" w:afterAutospacing="1"/>
      <w:jc w:val="center"/>
      <w:textAlignment w:val="center"/>
    </w:pPr>
    <w:rPr>
      <w:rFonts w:ascii="Helvetica" w:eastAsiaTheme="minorEastAsia" w:hAnsi="Helvetica" w:cstheme="minorBidi"/>
      <w:color w:val="000000"/>
      <w:sz w:val="20"/>
      <w:szCs w:val="20"/>
    </w:rPr>
  </w:style>
  <w:style w:type="paragraph" w:customStyle="1" w:styleId="xl74">
    <w:name w:val="xl74"/>
    <w:basedOn w:val="Normal"/>
    <w:rsid w:val="00796EB9"/>
    <w:pPr>
      <w:shd w:val="clear" w:color="000000" w:fill="BFD0FF"/>
      <w:spacing w:before="100" w:beforeAutospacing="1" w:after="100" w:afterAutospacing="1"/>
      <w:textAlignment w:val="center"/>
    </w:pPr>
    <w:rPr>
      <w:rFonts w:ascii="Times" w:eastAsiaTheme="minorEastAsia" w:hAnsi="Times" w:cstheme="minorBidi"/>
      <w:color w:val="0000FF"/>
      <w:sz w:val="20"/>
      <w:szCs w:val="20"/>
      <w:u w:val="single"/>
    </w:rPr>
  </w:style>
  <w:style w:type="paragraph" w:customStyle="1" w:styleId="xl75">
    <w:name w:val="xl75"/>
    <w:basedOn w:val="Normal"/>
    <w:rsid w:val="00796EB9"/>
    <w:pPr>
      <w:pBdr>
        <w:left w:val="single" w:sz="12" w:space="0" w:color="FFFFFF"/>
        <w:bottom w:val="single" w:sz="12" w:space="0" w:color="FFFFFF"/>
        <w:right w:val="single" w:sz="12" w:space="0" w:color="FFFFFF"/>
      </w:pBdr>
      <w:shd w:val="clear" w:color="000000" w:fill="BFD0FF"/>
      <w:spacing w:before="100" w:beforeAutospacing="1" w:after="100" w:afterAutospacing="1"/>
      <w:textAlignment w:val="center"/>
    </w:pPr>
    <w:rPr>
      <w:rFonts w:ascii="Times" w:eastAsiaTheme="minorEastAsia" w:hAnsi="Times" w:cstheme="minorBidi"/>
      <w:color w:val="0000FF"/>
      <w:sz w:val="20"/>
      <w:szCs w:val="20"/>
      <w:u w:val="single"/>
    </w:rPr>
  </w:style>
  <w:style w:type="paragraph" w:customStyle="1" w:styleId="xl76">
    <w:name w:val="xl76"/>
    <w:basedOn w:val="Normal"/>
    <w:rsid w:val="00796EB9"/>
    <w:pPr>
      <w:pBdr>
        <w:top w:val="single" w:sz="12" w:space="0" w:color="FFFFFF"/>
        <w:left w:val="single" w:sz="12" w:space="0" w:color="FFFFFF"/>
        <w:right w:val="single" w:sz="12" w:space="0" w:color="FFFFFF"/>
      </w:pBdr>
      <w:shd w:val="clear" w:color="000000" w:fill="0243FF"/>
      <w:spacing w:before="100" w:beforeAutospacing="1" w:after="100" w:afterAutospacing="1"/>
      <w:jc w:val="center"/>
      <w:textAlignment w:val="center"/>
    </w:pPr>
    <w:rPr>
      <w:rFonts w:ascii="Helvetica" w:eastAsiaTheme="minorEastAsia" w:hAnsi="Helvetica" w:cstheme="minorBidi"/>
      <w:b/>
      <w:bCs/>
      <w:color w:val="FFFFFF"/>
      <w:sz w:val="20"/>
      <w:szCs w:val="20"/>
    </w:rPr>
  </w:style>
  <w:style w:type="paragraph" w:customStyle="1" w:styleId="xl77">
    <w:name w:val="xl77"/>
    <w:basedOn w:val="Normal"/>
    <w:rsid w:val="00796EB9"/>
    <w:pPr>
      <w:pBdr>
        <w:left w:val="single" w:sz="12" w:space="0" w:color="FFFFFF"/>
        <w:bottom w:val="single" w:sz="12" w:space="0" w:color="FFFFFF"/>
        <w:right w:val="single" w:sz="12" w:space="0" w:color="FFFFFF"/>
      </w:pBdr>
      <w:shd w:val="clear" w:color="000000" w:fill="0243FF"/>
      <w:spacing w:before="100" w:beforeAutospacing="1" w:after="100" w:afterAutospacing="1"/>
      <w:jc w:val="center"/>
      <w:textAlignment w:val="center"/>
    </w:pPr>
    <w:rPr>
      <w:rFonts w:ascii="Helvetica" w:eastAsiaTheme="minorEastAsia" w:hAnsi="Helvetica" w:cstheme="minorBidi"/>
      <w:b/>
      <w:bCs/>
      <w:color w:val="FFFFFF"/>
      <w:sz w:val="20"/>
      <w:szCs w:val="20"/>
    </w:rPr>
  </w:style>
  <w:style w:type="paragraph" w:customStyle="1" w:styleId="xl78">
    <w:name w:val="xl78"/>
    <w:basedOn w:val="Normal"/>
    <w:rsid w:val="00796EB9"/>
    <w:pPr>
      <w:pBdr>
        <w:top w:val="single" w:sz="12" w:space="0" w:color="FFFFFF"/>
        <w:right w:val="single" w:sz="12" w:space="0" w:color="FFFFFF"/>
      </w:pBdr>
      <w:shd w:val="clear" w:color="000000" w:fill="0243FF"/>
      <w:spacing w:before="100" w:beforeAutospacing="1" w:after="100" w:afterAutospacing="1"/>
      <w:jc w:val="center"/>
      <w:textAlignment w:val="center"/>
    </w:pPr>
    <w:rPr>
      <w:rFonts w:ascii="Helvetica" w:eastAsiaTheme="minorEastAsia" w:hAnsi="Helvetica" w:cstheme="minorBidi"/>
      <w:b/>
      <w:bCs/>
      <w:color w:val="FFFFFF"/>
      <w:sz w:val="20"/>
      <w:szCs w:val="20"/>
    </w:rPr>
  </w:style>
  <w:style w:type="paragraph" w:customStyle="1" w:styleId="xl79">
    <w:name w:val="xl79"/>
    <w:basedOn w:val="Normal"/>
    <w:rsid w:val="00796EB9"/>
    <w:pPr>
      <w:pBdr>
        <w:top w:val="single" w:sz="12" w:space="0" w:color="FFFFFF"/>
        <w:bottom w:val="single" w:sz="12" w:space="0" w:color="FFFFFF"/>
      </w:pBdr>
      <w:shd w:val="clear" w:color="000000" w:fill="0243FF"/>
      <w:spacing w:before="100" w:beforeAutospacing="1" w:after="100" w:afterAutospacing="1"/>
      <w:jc w:val="center"/>
      <w:textAlignment w:val="center"/>
    </w:pPr>
    <w:rPr>
      <w:rFonts w:ascii="Helvetica" w:eastAsiaTheme="minorEastAsia" w:hAnsi="Helvetica" w:cstheme="minorBidi"/>
      <w:b/>
      <w:bCs/>
      <w:color w:val="FFFFFF"/>
      <w:sz w:val="20"/>
      <w:szCs w:val="20"/>
    </w:rPr>
  </w:style>
  <w:style w:type="paragraph" w:customStyle="1" w:styleId="xl80">
    <w:name w:val="xl80"/>
    <w:basedOn w:val="Normal"/>
    <w:rsid w:val="00796EB9"/>
    <w:pPr>
      <w:pBdr>
        <w:top w:val="single" w:sz="12" w:space="0" w:color="FFFFFF"/>
        <w:left w:val="single" w:sz="12" w:space="0" w:color="FFFFFF"/>
        <w:bottom w:val="single" w:sz="12" w:space="0" w:color="FFFFFF"/>
      </w:pBdr>
      <w:shd w:val="clear" w:color="000000" w:fill="0243FF"/>
      <w:spacing w:before="100" w:beforeAutospacing="1" w:after="100" w:afterAutospacing="1"/>
      <w:jc w:val="center"/>
      <w:textAlignment w:val="center"/>
    </w:pPr>
    <w:rPr>
      <w:rFonts w:ascii="Helvetica" w:eastAsiaTheme="minorEastAsia" w:hAnsi="Helvetica" w:cstheme="minorBidi"/>
      <w:b/>
      <w:bCs/>
      <w:color w:val="FFFFFF"/>
      <w:sz w:val="20"/>
      <w:szCs w:val="20"/>
    </w:rPr>
  </w:style>
  <w:style w:type="paragraph" w:customStyle="1" w:styleId="xl81">
    <w:name w:val="xl81"/>
    <w:basedOn w:val="Normal"/>
    <w:rsid w:val="00796EB9"/>
    <w:pPr>
      <w:pBdr>
        <w:top w:val="single" w:sz="12" w:space="0" w:color="FFFFFF"/>
        <w:bottom w:val="single" w:sz="12" w:space="0" w:color="FFFFFF"/>
        <w:right w:val="single" w:sz="12" w:space="0" w:color="FFFFFF"/>
      </w:pBdr>
      <w:shd w:val="clear" w:color="000000" w:fill="0243FF"/>
      <w:spacing w:before="100" w:beforeAutospacing="1" w:after="100" w:afterAutospacing="1"/>
      <w:jc w:val="center"/>
      <w:textAlignment w:val="center"/>
    </w:pPr>
    <w:rPr>
      <w:rFonts w:ascii="Helvetica" w:eastAsiaTheme="minorEastAsia" w:hAnsi="Helvetica" w:cstheme="minorBidi"/>
      <w:b/>
      <w:bCs/>
      <w:color w:val="FFFFFF"/>
      <w:sz w:val="20"/>
      <w:szCs w:val="20"/>
    </w:rPr>
  </w:style>
  <w:style w:type="paragraph" w:customStyle="1" w:styleId="xl82">
    <w:name w:val="xl82"/>
    <w:basedOn w:val="Normal"/>
    <w:rsid w:val="00796EB9"/>
    <w:pPr>
      <w:pBdr>
        <w:bottom w:val="single" w:sz="12" w:space="0" w:color="FFFFFF"/>
        <w:right w:val="single" w:sz="12" w:space="0" w:color="FFFFFF"/>
      </w:pBdr>
      <w:shd w:val="clear" w:color="000000" w:fill="0243FF"/>
      <w:spacing w:before="100" w:beforeAutospacing="1" w:after="100" w:afterAutospacing="1"/>
      <w:jc w:val="center"/>
      <w:textAlignment w:val="center"/>
    </w:pPr>
    <w:rPr>
      <w:rFonts w:ascii="Helvetica" w:eastAsiaTheme="minorEastAsia" w:hAnsi="Helvetica" w:cstheme="minorBidi"/>
      <w:b/>
      <w:bCs/>
      <w:color w:val="FFFFFF"/>
      <w:sz w:val="20"/>
      <w:szCs w:val="20"/>
    </w:rPr>
  </w:style>
  <w:style w:type="paragraph" w:customStyle="1" w:styleId="xl83">
    <w:name w:val="xl83"/>
    <w:basedOn w:val="Normal"/>
    <w:rsid w:val="00796EB9"/>
    <w:pPr>
      <w:pBdr>
        <w:left w:val="single" w:sz="12" w:space="0" w:color="FFFFFF"/>
        <w:right w:val="single" w:sz="12" w:space="0" w:color="FFFFFF"/>
      </w:pBdr>
      <w:shd w:val="clear" w:color="000000" w:fill="BFD0FF"/>
      <w:spacing w:before="100" w:beforeAutospacing="1" w:after="100" w:afterAutospacing="1"/>
      <w:textAlignment w:val="center"/>
    </w:pPr>
    <w:rPr>
      <w:rFonts w:ascii="Helvetica" w:eastAsiaTheme="minorEastAsia" w:hAnsi="Helvetica" w:cstheme="minorBidi"/>
      <w:color w:val="000000"/>
      <w:sz w:val="20"/>
      <w:szCs w:val="20"/>
    </w:rPr>
  </w:style>
  <w:style w:type="paragraph" w:customStyle="1" w:styleId="xl84">
    <w:name w:val="xl84"/>
    <w:basedOn w:val="Normal"/>
    <w:rsid w:val="00796EB9"/>
    <w:pPr>
      <w:pBdr>
        <w:left w:val="single" w:sz="12" w:space="0" w:color="FFFFFF"/>
        <w:right w:val="single" w:sz="12" w:space="0" w:color="FFFFFF"/>
      </w:pBdr>
      <w:shd w:val="clear" w:color="000000" w:fill="BFD0FF"/>
      <w:spacing w:before="100" w:beforeAutospacing="1" w:after="100" w:afterAutospacing="1"/>
      <w:jc w:val="center"/>
      <w:textAlignment w:val="center"/>
    </w:pPr>
    <w:rPr>
      <w:rFonts w:ascii="Helvetica" w:eastAsiaTheme="minorEastAsia" w:hAnsi="Helvetica" w:cstheme="minorBidi"/>
      <w:b/>
      <w:bCs/>
      <w:color w:val="000000"/>
      <w:sz w:val="20"/>
      <w:szCs w:val="20"/>
    </w:rPr>
  </w:style>
  <w:style w:type="paragraph" w:customStyle="1" w:styleId="xl85">
    <w:name w:val="xl85"/>
    <w:basedOn w:val="Normal"/>
    <w:rsid w:val="00796EB9"/>
    <w:pPr>
      <w:pBdr>
        <w:left w:val="single" w:sz="12" w:space="0" w:color="FFFFFF"/>
        <w:right w:val="single" w:sz="12" w:space="0" w:color="FFFFFF"/>
      </w:pBdr>
      <w:shd w:val="clear" w:color="000000" w:fill="BFD0FF"/>
      <w:spacing w:before="100" w:beforeAutospacing="1" w:after="100" w:afterAutospacing="1"/>
      <w:jc w:val="center"/>
      <w:textAlignment w:val="center"/>
    </w:pPr>
    <w:rPr>
      <w:rFonts w:ascii="Helvetica" w:eastAsiaTheme="minorEastAsia" w:hAnsi="Helvetica" w:cstheme="minorBidi"/>
      <w:color w:val="000000"/>
      <w:sz w:val="20"/>
      <w:szCs w:val="20"/>
    </w:rPr>
  </w:style>
  <w:style w:type="paragraph" w:styleId="ListParagraph">
    <w:name w:val="List Paragraph"/>
    <w:basedOn w:val="Normal"/>
    <w:uiPriority w:val="34"/>
    <w:qFormat/>
    <w:rsid w:val="00813275"/>
    <w:pPr>
      <w:pBdr>
        <w:top w:val="nil"/>
        <w:left w:val="nil"/>
        <w:bottom w:val="nil"/>
        <w:right w:val="nil"/>
        <w:between w:val="nil"/>
        <w:bar w:val="nil"/>
      </w:pBdr>
      <w:spacing w:line="360" w:lineRule="auto"/>
      <w:ind w:left="720"/>
      <w:contextualSpacing/>
    </w:pPr>
    <w:rPr>
      <w:rFonts w:ascii="TUOS Blake" w:eastAsia="Arial Unicode MS" w:hAnsi="Arial Unicode MS" w:cs="Arial Unicode MS"/>
      <w:color w:val="000000"/>
      <w:sz w:val="22"/>
      <w:szCs w:val="22"/>
      <w:bdr w:val="nil"/>
    </w:rPr>
  </w:style>
  <w:style w:type="paragraph" w:customStyle="1" w:styleId="caption2">
    <w:name w:val="caption2"/>
    <w:basedOn w:val="Caption"/>
    <w:rsid w:val="00CE7C32"/>
  </w:style>
  <w:style w:type="paragraph" w:customStyle="1" w:styleId="tabletitle">
    <w:name w:val="table title"/>
    <w:basedOn w:val="Caption"/>
    <w:rsid w:val="0045011C"/>
  </w:style>
  <w:style w:type="paragraph" w:customStyle="1" w:styleId="figuretitle">
    <w:name w:val="figure title"/>
    <w:basedOn w:val="Caption"/>
    <w:rsid w:val="0045011C"/>
  </w:style>
  <w:style w:type="paragraph" w:styleId="BodyText">
    <w:name w:val="Body Text"/>
    <w:basedOn w:val="Normal"/>
    <w:link w:val="BodyTextChar"/>
    <w:semiHidden/>
    <w:rsid w:val="00CD32DA"/>
    <w:pPr>
      <w:spacing w:line="360" w:lineRule="auto"/>
      <w:jc w:val="both"/>
    </w:pPr>
    <w:rPr>
      <w:rFonts w:eastAsia="Times"/>
      <w:szCs w:val="20"/>
    </w:rPr>
  </w:style>
  <w:style w:type="character" w:customStyle="1" w:styleId="BodyTextChar">
    <w:name w:val="Body Text Char"/>
    <w:basedOn w:val="DefaultParagraphFont"/>
    <w:link w:val="BodyText"/>
    <w:semiHidden/>
    <w:rsid w:val="00CD32DA"/>
    <w:rPr>
      <w:rFonts w:ascii="Times New Roman" w:eastAsia="Times" w:hAnsi="Times New Roman" w:cs="Times New Roman"/>
      <w:szCs w:val="20"/>
      <w:lang w:val="en-GB"/>
    </w:rPr>
  </w:style>
  <w:style w:type="paragraph" w:styleId="DocumentMap">
    <w:name w:val="Document Map"/>
    <w:basedOn w:val="Normal"/>
    <w:link w:val="DocumentMapChar"/>
    <w:uiPriority w:val="99"/>
    <w:semiHidden/>
    <w:unhideWhenUsed/>
    <w:rsid w:val="00CC5F0A"/>
    <w:rPr>
      <w:rFonts w:ascii="Lucida Grande" w:hAnsi="Lucida Grande" w:cs="Lucida Grande"/>
    </w:rPr>
  </w:style>
  <w:style w:type="character" w:customStyle="1" w:styleId="DocumentMapChar">
    <w:name w:val="Document Map Char"/>
    <w:basedOn w:val="DefaultParagraphFont"/>
    <w:link w:val="DocumentMap"/>
    <w:uiPriority w:val="99"/>
    <w:semiHidden/>
    <w:rsid w:val="00CC5F0A"/>
    <w:rPr>
      <w:rFonts w:ascii="Lucida Grande" w:eastAsia="Arial Unicode MS" w:hAnsi="Lucida Grande" w:cs="Lucida Grande"/>
      <w:color w:val="000000"/>
      <w:bdr w:val="nil"/>
      <w:lang w:val="en-GB"/>
    </w:rPr>
  </w:style>
  <w:style w:type="paragraph" w:customStyle="1" w:styleId="Style2">
    <w:name w:val="Style2"/>
    <w:basedOn w:val="Heading1"/>
    <w:rsid w:val="00B96DCD"/>
    <w:pPr>
      <w:numPr>
        <w:numId w:val="0"/>
      </w:numPr>
      <w:ind w:left="432"/>
      <w:jc w:val="center"/>
    </w:pPr>
  </w:style>
  <w:style w:type="paragraph" w:customStyle="1" w:styleId="BodyText1">
    <w:name w:val="Body Text1"/>
    <w:qFormat/>
    <w:rsid w:val="0091002D"/>
    <w:pPr>
      <w:numPr>
        <w:ilvl w:val="1"/>
      </w:numPr>
      <w:spacing w:before="200" w:after="200"/>
    </w:pPr>
    <w:rPr>
      <w:rFonts w:ascii="Charter Roman" w:eastAsia="Times New Roman" w:hAnsi="Charter Roman" w:cs="Helvetica"/>
      <w:color w:val="000000"/>
    </w:rPr>
  </w:style>
  <w:style w:type="table" w:customStyle="1" w:styleId="DefaultTableStyle">
    <w:name w:val="Default Table Style"/>
    <w:uiPriority w:val="60"/>
    <w:rsid w:val="0000163C"/>
    <w:rPr>
      <w:rFonts w:ascii="Helvetica" w:eastAsia="Times New Roman" w:hAnsi="Helvetica" w:cs="Helvetica"/>
      <w:sz w:val="20"/>
      <w:szCs w:val="20"/>
      <w:lang w:val="en-GB" w:eastAsia="en-GB"/>
    </w:rPr>
    <w:tblPr>
      <w:tblStyleRowBandSize w:val="1"/>
      <w:tblStyleColBandSize w:val="1"/>
      <w:tblInd w:w="0" w:type="dxa"/>
      <w:tblBorders>
        <w:insideV w:val="dotted" w:sz="1"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2" w:space="0" w:color="000000"/>
          <w:bottom w:val="single" w:sz="1" w:space="0" w:color="000000"/>
        </w:tcBorders>
        <w:shd w:val="clear" w:color="auto" w:fill="F4F4F4"/>
      </w:tcPr>
    </w:tblStylePr>
    <w:tblStylePr w:type="lastRow">
      <w:pPr>
        <w:spacing w:before="0" w:after="0" w:line="240" w:lineRule="auto"/>
      </w:pPr>
      <w:rPr>
        <w:b/>
        <w:bCs/>
      </w:rPr>
      <w:tblPr/>
      <w:tcPr>
        <w:tcBorders>
          <w:top w:val="single" w:sz="1" w:space="0" w:color="000000"/>
          <w:bottom w:val="single" w:sz="1" w:space="0" w:color="000000"/>
        </w:tcBorders>
        <w:shd w:val="clear" w:color="auto" w:fill="FFFFFF"/>
      </w:tcPr>
    </w:tblStylePr>
    <w:tblStylePr w:type="band1Horz">
      <w:tblPr/>
      <w:tcPr>
        <w:shd w:val="clear" w:color="auto" w:fill="FFFFFF"/>
      </w:tcPr>
    </w:tblStylePr>
    <w:tblStylePr w:type="band2Horz">
      <w:tblPr/>
      <w:tcPr>
        <w:shd w:val="clear" w:color="auto" w:fill="FFFFFF"/>
      </w:tcPr>
    </w:tblStylePr>
  </w:style>
  <w:style w:type="paragraph" w:customStyle="1" w:styleId="BodyTextCaption">
    <w:name w:val="Body Text Caption"/>
    <w:basedOn w:val="Body"/>
    <w:next w:val="BodyText1"/>
    <w:rsid w:val="00EF0DEF"/>
  </w:style>
  <w:style w:type="character" w:styleId="Strong">
    <w:name w:val="Strong"/>
    <w:basedOn w:val="DefaultParagraphFont"/>
    <w:uiPriority w:val="22"/>
    <w:qFormat/>
    <w:rsid w:val="00020342"/>
    <w:rPr>
      <w:b/>
      <w:bCs/>
    </w:rPr>
  </w:style>
  <w:style w:type="character" w:styleId="PlaceholderText">
    <w:name w:val="Placeholder Text"/>
    <w:basedOn w:val="DefaultParagraphFont"/>
    <w:uiPriority w:val="99"/>
    <w:semiHidden/>
    <w:rsid w:val="006F26EF"/>
    <w:rPr>
      <w:color w:val="808080"/>
    </w:rPr>
  </w:style>
  <w:style w:type="character" w:styleId="Emphasis">
    <w:name w:val="Emphasis"/>
    <w:basedOn w:val="DefaultParagraphFont"/>
    <w:uiPriority w:val="20"/>
    <w:qFormat/>
    <w:rsid w:val="00C6722C"/>
    <w:rPr>
      <w:i/>
      <w:iCs/>
    </w:rPr>
  </w:style>
  <w:style w:type="character" w:customStyle="1" w:styleId="apple-converted-space">
    <w:name w:val="apple-converted-space"/>
    <w:basedOn w:val="DefaultParagraphFont"/>
    <w:rsid w:val="00C6722C"/>
  </w:style>
  <w:style w:type="paragraph" w:styleId="Revision">
    <w:name w:val="Revision"/>
    <w:hidden/>
    <w:uiPriority w:val="99"/>
    <w:semiHidden/>
    <w:rsid w:val="0032768D"/>
    <w:rPr>
      <w:rFonts w:ascii="Times New Roman" w:eastAsia="Times New Roman" w:hAnsi="Times New Roman" w:cs="Times New Roman"/>
      <w:lang w:val="en-GB"/>
    </w:rPr>
  </w:style>
  <w:style w:type="character" w:customStyle="1" w:styleId="cit-title">
    <w:name w:val="cit-title"/>
    <w:basedOn w:val="DefaultParagraphFont"/>
    <w:rsid w:val="005B5F08"/>
  </w:style>
  <w:style w:type="character" w:customStyle="1" w:styleId="cit-year-info">
    <w:name w:val="cit-year-info"/>
    <w:basedOn w:val="DefaultParagraphFont"/>
    <w:rsid w:val="005B5F08"/>
  </w:style>
  <w:style w:type="character" w:customStyle="1" w:styleId="cit-volume">
    <w:name w:val="cit-volume"/>
    <w:basedOn w:val="DefaultParagraphFont"/>
    <w:rsid w:val="005B5F08"/>
  </w:style>
  <w:style w:type="character" w:customStyle="1" w:styleId="cit-issue">
    <w:name w:val="cit-issue"/>
    <w:basedOn w:val="DefaultParagraphFont"/>
    <w:rsid w:val="005B5F08"/>
  </w:style>
  <w:style w:type="character" w:customStyle="1" w:styleId="cit-pagerange">
    <w:name w:val="cit-pagerange"/>
    <w:basedOn w:val="DefaultParagraphFont"/>
    <w:rsid w:val="005B5F08"/>
  </w:style>
  <w:style w:type="table" w:styleId="GridTable3-Accent5">
    <w:name w:val="Grid Table 3 Accent 5"/>
    <w:basedOn w:val="TableNormal"/>
    <w:uiPriority w:val="48"/>
    <w:rsid w:val="00421161"/>
    <w:rPr>
      <w:rFonts w:eastAsiaTheme="minorHAnsi"/>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styleId="UnresolvedMention">
    <w:name w:val="Unresolved Mention"/>
    <w:basedOn w:val="DefaultParagraphFont"/>
    <w:uiPriority w:val="99"/>
    <w:semiHidden/>
    <w:unhideWhenUsed/>
    <w:rsid w:val="00163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571598">
      <w:bodyDiv w:val="1"/>
      <w:marLeft w:val="0"/>
      <w:marRight w:val="0"/>
      <w:marTop w:val="0"/>
      <w:marBottom w:val="0"/>
      <w:divBdr>
        <w:top w:val="none" w:sz="0" w:space="0" w:color="auto"/>
        <w:left w:val="none" w:sz="0" w:space="0" w:color="auto"/>
        <w:bottom w:val="none" w:sz="0" w:space="0" w:color="auto"/>
        <w:right w:val="none" w:sz="0" w:space="0" w:color="auto"/>
      </w:divBdr>
      <w:divsChild>
        <w:div w:id="32658705">
          <w:marLeft w:val="0"/>
          <w:marRight w:val="0"/>
          <w:marTop w:val="0"/>
          <w:marBottom w:val="0"/>
          <w:divBdr>
            <w:top w:val="none" w:sz="0" w:space="0" w:color="auto"/>
            <w:left w:val="none" w:sz="0" w:space="0" w:color="auto"/>
            <w:bottom w:val="none" w:sz="0" w:space="0" w:color="auto"/>
            <w:right w:val="none" w:sz="0" w:space="0" w:color="auto"/>
          </w:divBdr>
        </w:div>
      </w:divsChild>
    </w:div>
    <w:div w:id="134879217">
      <w:bodyDiv w:val="1"/>
      <w:marLeft w:val="0"/>
      <w:marRight w:val="0"/>
      <w:marTop w:val="0"/>
      <w:marBottom w:val="0"/>
      <w:divBdr>
        <w:top w:val="none" w:sz="0" w:space="0" w:color="auto"/>
        <w:left w:val="none" w:sz="0" w:space="0" w:color="auto"/>
        <w:bottom w:val="none" w:sz="0" w:space="0" w:color="auto"/>
        <w:right w:val="none" w:sz="0" w:space="0" w:color="auto"/>
      </w:divBdr>
    </w:div>
    <w:div w:id="152334579">
      <w:bodyDiv w:val="1"/>
      <w:marLeft w:val="0"/>
      <w:marRight w:val="0"/>
      <w:marTop w:val="0"/>
      <w:marBottom w:val="0"/>
      <w:divBdr>
        <w:top w:val="none" w:sz="0" w:space="0" w:color="auto"/>
        <w:left w:val="none" w:sz="0" w:space="0" w:color="auto"/>
        <w:bottom w:val="none" w:sz="0" w:space="0" w:color="auto"/>
        <w:right w:val="none" w:sz="0" w:space="0" w:color="auto"/>
      </w:divBdr>
      <w:divsChild>
        <w:div w:id="536506539">
          <w:marLeft w:val="0"/>
          <w:marRight w:val="0"/>
          <w:marTop w:val="0"/>
          <w:marBottom w:val="0"/>
          <w:divBdr>
            <w:top w:val="none" w:sz="0" w:space="0" w:color="auto"/>
            <w:left w:val="none" w:sz="0" w:space="0" w:color="auto"/>
            <w:bottom w:val="none" w:sz="0" w:space="0" w:color="auto"/>
            <w:right w:val="none" w:sz="0" w:space="0" w:color="auto"/>
          </w:divBdr>
          <w:divsChild>
            <w:div w:id="791631462">
              <w:marLeft w:val="0"/>
              <w:marRight w:val="0"/>
              <w:marTop w:val="0"/>
              <w:marBottom w:val="0"/>
              <w:divBdr>
                <w:top w:val="none" w:sz="0" w:space="0" w:color="auto"/>
                <w:left w:val="none" w:sz="0" w:space="0" w:color="auto"/>
                <w:bottom w:val="none" w:sz="0" w:space="0" w:color="auto"/>
                <w:right w:val="none" w:sz="0" w:space="0" w:color="auto"/>
              </w:divBdr>
              <w:divsChild>
                <w:div w:id="118496619">
                  <w:marLeft w:val="0"/>
                  <w:marRight w:val="0"/>
                  <w:marTop w:val="0"/>
                  <w:marBottom w:val="0"/>
                  <w:divBdr>
                    <w:top w:val="none" w:sz="0" w:space="0" w:color="auto"/>
                    <w:left w:val="none" w:sz="0" w:space="0" w:color="auto"/>
                    <w:bottom w:val="none" w:sz="0" w:space="0" w:color="auto"/>
                    <w:right w:val="none" w:sz="0" w:space="0" w:color="auto"/>
                  </w:divBdr>
                  <w:divsChild>
                    <w:div w:id="17726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42274">
      <w:bodyDiv w:val="1"/>
      <w:marLeft w:val="0"/>
      <w:marRight w:val="0"/>
      <w:marTop w:val="0"/>
      <w:marBottom w:val="0"/>
      <w:divBdr>
        <w:top w:val="none" w:sz="0" w:space="0" w:color="auto"/>
        <w:left w:val="none" w:sz="0" w:space="0" w:color="auto"/>
        <w:bottom w:val="none" w:sz="0" w:space="0" w:color="auto"/>
        <w:right w:val="none" w:sz="0" w:space="0" w:color="auto"/>
      </w:divBdr>
    </w:div>
    <w:div w:id="197937795">
      <w:bodyDiv w:val="1"/>
      <w:marLeft w:val="0"/>
      <w:marRight w:val="0"/>
      <w:marTop w:val="0"/>
      <w:marBottom w:val="0"/>
      <w:divBdr>
        <w:top w:val="none" w:sz="0" w:space="0" w:color="auto"/>
        <w:left w:val="none" w:sz="0" w:space="0" w:color="auto"/>
        <w:bottom w:val="none" w:sz="0" w:space="0" w:color="auto"/>
        <w:right w:val="none" w:sz="0" w:space="0" w:color="auto"/>
      </w:divBdr>
    </w:div>
    <w:div w:id="248466672">
      <w:bodyDiv w:val="1"/>
      <w:marLeft w:val="0"/>
      <w:marRight w:val="0"/>
      <w:marTop w:val="0"/>
      <w:marBottom w:val="0"/>
      <w:divBdr>
        <w:top w:val="none" w:sz="0" w:space="0" w:color="auto"/>
        <w:left w:val="none" w:sz="0" w:space="0" w:color="auto"/>
        <w:bottom w:val="none" w:sz="0" w:space="0" w:color="auto"/>
        <w:right w:val="none" w:sz="0" w:space="0" w:color="auto"/>
      </w:divBdr>
    </w:div>
    <w:div w:id="261497935">
      <w:bodyDiv w:val="1"/>
      <w:marLeft w:val="0"/>
      <w:marRight w:val="0"/>
      <w:marTop w:val="0"/>
      <w:marBottom w:val="0"/>
      <w:divBdr>
        <w:top w:val="none" w:sz="0" w:space="0" w:color="auto"/>
        <w:left w:val="none" w:sz="0" w:space="0" w:color="auto"/>
        <w:bottom w:val="none" w:sz="0" w:space="0" w:color="auto"/>
        <w:right w:val="none" w:sz="0" w:space="0" w:color="auto"/>
      </w:divBdr>
    </w:div>
    <w:div w:id="264923669">
      <w:bodyDiv w:val="1"/>
      <w:marLeft w:val="0"/>
      <w:marRight w:val="0"/>
      <w:marTop w:val="0"/>
      <w:marBottom w:val="0"/>
      <w:divBdr>
        <w:top w:val="none" w:sz="0" w:space="0" w:color="auto"/>
        <w:left w:val="none" w:sz="0" w:space="0" w:color="auto"/>
        <w:bottom w:val="none" w:sz="0" w:space="0" w:color="auto"/>
        <w:right w:val="none" w:sz="0" w:space="0" w:color="auto"/>
      </w:divBdr>
    </w:div>
    <w:div w:id="320080489">
      <w:bodyDiv w:val="1"/>
      <w:marLeft w:val="0"/>
      <w:marRight w:val="0"/>
      <w:marTop w:val="0"/>
      <w:marBottom w:val="0"/>
      <w:divBdr>
        <w:top w:val="none" w:sz="0" w:space="0" w:color="auto"/>
        <w:left w:val="none" w:sz="0" w:space="0" w:color="auto"/>
        <w:bottom w:val="none" w:sz="0" w:space="0" w:color="auto"/>
        <w:right w:val="none" w:sz="0" w:space="0" w:color="auto"/>
      </w:divBdr>
    </w:div>
    <w:div w:id="344986440">
      <w:bodyDiv w:val="1"/>
      <w:marLeft w:val="0"/>
      <w:marRight w:val="0"/>
      <w:marTop w:val="0"/>
      <w:marBottom w:val="0"/>
      <w:divBdr>
        <w:top w:val="none" w:sz="0" w:space="0" w:color="auto"/>
        <w:left w:val="none" w:sz="0" w:space="0" w:color="auto"/>
        <w:bottom w:val="none" w:sz="0" w:space="0" w:color="auto"/>
        <w:right w:val="none" w:sz="0" w:space="0" w:color="auto"/>
      </w:divBdr>
      <w:divsChild>
        <w:div w:id="1063214327">
          <w:marLeft w:val="0"/>
          <w:marRight w:val="0"/>
          <w:marTop w:val="0"/>
          <w:marBottom w:val="0"/>
          <w:divBdr>
            <w:top w:val="none" w:sz="0" w:space="0" w:color="auto"/>
            <w:left w:val="none" w:sz="0" w:space="0" w:color="auto"/>
            <w:bottom w:val="none" w:sz="0" w:space="0" w:color="auto"/>
            <w:right w:val="none" w:sz="0" w:space="0" w:color="auto"/>
          </w:divBdr>
        </w:div>
      </w:divsChild>
    </w:div>
    <w:div w:id="374240471">
      <w:bodyDiv w:val="1"/>
      <w:marLeft w:val="0"/>
      <w:marRight w:val="0"/>
      <w:marTop w:val="0"/>
      <w:marBottom w:val="0"/>
      <w:divBdr>
        <w:top w:val="none" w:sz="0" w:space="0" w:color="auto"/>
        <w:left w:val="none" w:sz="0" w:space="0" w:color="auto"/>
        <w:bottom w:val="none" w:sz="0" w:space="0" w:color="auto"/>
        <w:right w:val="none" w:sz="0" w:space="0" w:color="auto"/>
      </w:divBdr>
    </w:div>
    <w:div w:id="381291697">
      <w:bodyDiv w:val="1"/>
      <w:marLeft w:val="0"/>
      <w:marRight w:val="0"/>
      <w:marTop w:val="0"/>
      <w:marBottom w:val="0"/>
      <w:divBdr>
        <w:top w:val="none" w:sz="0" w:space="0" w:color="auto"/>
        <w:left w:val="none" w:sz="0" w:space="0" w:color="auto"/>
        <w:bottom w:val="none" w:sz="0" w:space="0" w:color="auto"/>
        <w:right w:val="none" w:sz="0" w:space="0" w:color="auto"/>
      </w:divBdr>
    </w:div>
    <w:div w:id="472796056">
      <w:bodyDiv w:val="1"/>
      <w:marLeft w:val="0"/>
      <w:marRight w:val="0"/>
      <w:marTop w:val="0"/>
      <w:marBottom w:val="0"/>
      <w:divBdr>
        <w:top w:val="none" w:sz="0" w:space="0" w:color="auto"/>
        <w:left w:val="none" w:sz="0" w:space="0" w:color="auto"/>
        <w:bottom w:val="none" w:sz="0" w:space="0" w:color="auto"/>
        <w:right w:val="none" w:sz="0" w:space="0" w:color="auto"/>
      </w:divBdr>
    </w:div>
    <w:div w:id="473371440">
      <w:bodyDiv w:val="1"/>
      <w:marLeft w:val="0"/>
      <w:marRight w:val="0"/>
      <w:marTop w:val="0"/>
      <w:marBottom w:val="0"/>
      <w:divBdr>
        <w:top w:val="none" w:sz="0" w:space="0" w:color="auto"/>
        <w:left w:val="none" w:sz="0" w:space="0" w:color="auto"/>
        <w:bottom w:val="none" w:sz="0" w:space="0" w:color="auto"/>
        <w:right w:val="none" w:sz="0" w:space="0" w:color="auto"/>
      </w:divBdr>
    </w:div>
    <w:div w:id="548614779">
      <w:bodyDiv w:val="1"/>
      <w:marLeft w:val="0"/>
      <w:marRight w:val="0"/>
      <w:marTop w:val="0"/>
      <w:marBottom w:val="0"/>
      <w:divBdr>
        <w:top w:val="none" w:sz="0" w:space="0" w:color="auto"/>
        <w:left w:val="none" w:sz="0" w:space="0" w:color="auto"/>
        <w:bottom w:val="none" w:sz="0" w:space="0" w:color="auto"/>
        <w:right w:val="none" w:sz="0" w:space="0" w:color="auto"/>
      </w:divBdr>
    </w:div>
    <w:div w:id="577977721">
      <w:bodyDiv w:val="1"/>
      <w:marLeft w:val="0"/>
      <w:marRight w:val="0"/>
      <w:marTop w:val="0"/>
      <w:marBottom w:val="0"/>
      <w:divBdr>
        <w:top w:val="none" w:sz="0" w:space="0" w:color="auto"/>
        <w:left w:val="none" w:sz="0" w:space="0" w:color="auto"/>
        <w:bottom w:val="none" w:sz="0" w:space="0" w:color="auto"/>
        <w:right w:val="none" w:sz="0" w:space="0" w:color="auto"/>
      </w:divBdr>
      <w:divsChild>
        <w:div w:id="773595980">
          <w:marLeft w:val="0"/>
          <w:marRight w:val="0"/>
          <w:marTop w:val="0"/>
          <w:marBottom w:val="0"/>
          <w:divBdr>
            <w:top w:val="none" w:sz="0" w:space="0" w:color="auto"/>
            <w:left w:val="none" w:sz="0" w:space="0" w:color="auto"/>
            <w:bottom w:val="none" w:sz="0" w:space="0" w:color="auto"/>
            <w:right w:val="none" w:sz="0" w:space="0" w:color="auto"/>
          </w:divBdr>
          <w:divsChild>
            <w:div w:id="1662005786">
              <w:marLeft w:val="0"/>
              <w:marRight w:val="0"/>
              <w:marTop w:val="0"/>
              <w:marBottom w:val="0"/>
              <w:divBdr>
                <w:top w:val="none" w:sz="0" w:space="0" w:color="auto"/>
                <w:left w:val="none" w:sz="0" w:space="0" w:color="auto"/>
                <w:bottom w:val="none" w:sz="0" w:space="0" w:color="auto"/>
                <w:right w:val="none" w:sz="0" w:space="0" w:color="auto"/>
              </w:divBdr>
              <w:divsChild>
                <w:div w:id="336931769">
                  <w:marLeft w:val="0"/>
                  <w:marRight w:val="0"/>
                  <w:marTop w:val="0"/>
                  <w:marBottom w:val="0"/>
                  <w:divBdr>
                    <w:top w:val="none" w:sz="0" w:space="0" w:color="auto"/>
                    <w:left w:val="none" w:sz="0" w:space="0" w:color="auto"/>
                    <w:bottom w:val="none" w:sz="0" w:space="0" w:color="auto"/>
                    <w:right w:val="none" w:sz="0" w:space="0" w:color="auto"/>
                  </w:divBdr>
                  <w:divsChild>
                    <w:div w:id="4871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16489">
      <w:bodyDiv w:val="1"/>
      <w:marLeft w:val="0"/>
      <w:marRight w:val="0"/>
      <w:marTop w:val="0"/>
      <w:marBottom w:val="0"/>
      <w:divBdr>
        <w:top w:val="none" w:sz="0" w:space="0" w:color="auto"/>
        <w:left w:val="none" w:sz="0" w:space="0" w:color="auto"/>
        <w:bottom w:val="none" w:sz="0" w:space="0" w:color="auto"/>
        <w:right w:val="none" w:sz="0" w:space="0" w:color="auto"/>
      </w:divBdr>
      <w:divsChild>
        <w:div w:id="1651976492">
          <w:marLeft w:val="0"/>
          <w:marRight w:val="0"/>
          <w:marTop w:val="0"/>
          <w:marBottom w:val="0"/>
          <w:divBdr>
            <w:top w:val="none" w:sz="0" w:space="0" w:color="auto"/>
            <w:left w:val="none" w:sz="0" w:space="0" w:color="auto"/>
            <w:bottom w:val="none" w:sz="0" w:space="0" w:color="auto"/>
            <w:right w:val="none" w:sz="0" w:space="0" w:color="auto"/>
          </w:divBdr>
          <w:divsChild>
            <w:div w:id="1082142119">
              <w:marLeft w:val="0"/>
              <w:marRight w:val="0"/>
              <w:marTop w:val="0"/>
              <w:marBottom w:val="0"/>
              <w:divBdr>
                <w:top w:val="none" w:sz="0" w:space="0" w:color="auto"/>
                <w:left w:val="none" w:sz="0" w:space="0" w:color="auto"/>
                <w:bottom w:val="none" w:sz="0" w:space="0" w:color="auto"/>
                <w:right w:val="none" w:sz="0" w:space="0" w:color="auto"/>
              </w:divBdr>
              <w:divsChild>
                <w:div w:id="258635746">
                  <w:marLeft w:val="0"/>
                  <w:marRight w:val="0"/>
                  <w:marTop w:val="0"/>
                  <w:marBottom w:val="0"/>
                  <w:divBdr>
                    <w:top w:val="none" w:sz="0" w:space="0" w:color="auto"/>
                    <w:left w:val="none" w:sz="0" w:space="0" w:color="auto"/>
                    <w:bottom w:val="none" w:sz="0" w:space="0" w:color="auto"/>
                    <w:right w:val="none" w:sz="0" w:space="0" w:color="auto"/>
                  </w:divBdr>
                  <w:divsChild>
                    <w:div w:id="70289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8001">
      <w:bodyDiv w:val="1"/>
      <w:marLeft w:val="0"/>
      <w:marRight w:val="0"/>
      <w:marTop w:val="0"/>
      <w:marBottom w:val="0"/>
      <w:divBdr>
        <w:top w:val="none" w:sz="0" w:space="0" w:color="auto"/>
        <w:left w:val="none" w:sz="0" w:space="0" w:color="auto"/>
        <w:bottom w:val="none" w:sz="0" w:space="0" w:color="auto"/>
        <w:right w:val="none" w:sz="0" w:space="0" w:color="auto"/>
      </w:divBdr>
    </w:div>
    <w:div w:id="606623715">
      <w:bodyDiv w:val="1"/>
      <w:marLeft w:val="0"/>
      <w:marRight w:val="0"/>
      <w:marTop w:val="0"/>
      <w:marBottom w:val="0"/>
      <w:divBdr>
        <w:top w:val="none" w:sz="0" w:space="0" w:color="auto"/>
        <w:left w:val="none" w:sz="0" w:space="0" w:color="auto"/>
        <w:bottom w:val="none" w:sz="0" w:space="0" w:color="auto"/>
        <w:right w:val="none" w:sz="0" w:space="0" w:color="auto"/>
      </w:divBdr>
      <w:divsChild>
        <w:div w:id="1471048239">
          <w:marLeft w:val="0"/>
          <w:marRight w:val="0"/>
          <w:marTop w:val="0"/>
          <w:marBottom w:val="0"/>
          <w:divBdr>
            <w:top w:val="none" w:sz="0" w:space="0" w:color="auto"/>
            <w:left w:val="none" w:sz="0" w:space="0" w:color="auto"/>
            <w:bottom w:val="none" w:sz="0" w:space="0" w:color="auto"/>
            <w:right w:val="none" w:sz="0" w:space="0" w:color="auto"/>
          </w:divBdr>
          <w:divsChild>
            <w:div w:id="321810936">
              <w:marLeft w:val="0"/>
              <w:marRight w:val="0"/>
              <w:marTop w:val="0"/>
              <w:marBottom w:val="0"/>
              <w:divBdr>
                <w:top w:val="none" w:sz="0" w:space="0" w:color="auto"/>
                <w:left w:val="none" w:sz="0" w:space="0" w:color="auto"/>
                <w:bottom w:val="none" w:sz="0" w:space="0" w:color="auto"/>
                <w:right w:val="none" w:sz="0" w:space="0" w:color="auto"/>
              </w:divBdr>
              <w:divsChild>
                <w:div w:id="209481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83258">
      <w:bodyDiv w:val="1"/>
      <w:marLeft w:val="0"/>
      <w:marRight w:val="0"/>
      <w:marTop w:val="0"/>
      <w:marBottom w:val="0"/>
      <w:divBdr>
        <w:top w:val="none" w:sz="0" w:space="0" w:color="auto"/>
        <w:left w:val="none" w:sz="0" w:space="0" w:color="auto"/>
        <w:bottom w:val="none" w:sz="0" w:space="0" w:color="auto"/>
        <w:right w:val="none" w:sz="0" w:space="0" w:color="auto"/>
      </w:divBdr>
    </w:div>
    <w:div w:id="662202996">
      <w:bodyDiv w:val="1"/>
      <w:marLeft w:val="0"/>
      <w:marRight w:val="0"/>
      <w:marTop w:val="0"/>
      <w:marBottom w:val="0"/>
      <w:divBdr>
        <w:top w:val="none" w:sz="0" w:space="0" w:color="auto"/>
        <w:left w:val="none" w:sz="0" w:space="0" w:color="auto"/>
        <w:bottom w:val="none" w:sz="0" w:space="0" w:color="auto"/>
        <w:right w:val="none" w:sz="0" w:space="0" w:color="auto"/>
      </w:divBdr>
      <w:divsChild>
        <w:div w:id="1396901359">
          <w:marLeft w:val="0"/>
          <w:marRight w:val="0"/>
          <w:marTop w:val="0"/>
          <w:marBottom w:val="0"/>
          <w:divBdr>
            <w:top w:val="none" w:sz="0" w:space="0" w:color="auto"/>
            <w:left w:val="none" w:sz="0" w:space="0" w:color="auto"/>
            <w:bottom w:val="none" w:sz="0" w:space="0" w:color="auto"/>
            <w:right w:val="none" w:sz="0" w:space="0" w:color="auto"/>
          </w:divBdr>
          <w:divsChild>
            <w:div w:id="68888037">
              <w:marLeft w:val="0"/>
              <w:marRight w:val="0"/>
              <w:marTop w:val="0"/>
              <w:marBottom w:val="0"/>
              <w:divBdr>
                <w:top w:val="none" w:sz="0" w:space="0" w:color="auto"/>
                <w:left w:val="none" w:sz="0" w:space="0" w:color="auto"/>
                <w:bottom w:val="none" w:sz="0" w:space="0" w:color="auto"/>
                <w:right w:val="none" w:sz="0" w:space="0" w:color="auto"/>
              </w:divBdr>
              <w:divsChild>
                <w:div w:id="112334729">
                  <w:marLeft w:val="0"/>
                  <w:marRight w:val="0"/>
                  <w:marTop w:val="0"/>
                  <w:marBottom w:val="0"/>
                  <w:divBdr>
                    <w:top w:val="none" w:sz="0" w:space="0" w:color="auto"/>
                    <w:left w:val="none" w:sz="0" w:space="0" w:color="auto"/>
                    <w:bottom w:val="none" w:sz="0" w:space="0" w:color="auto"/>
                    <w:right w:val="none" w:sz="0" w:space="0" w:color="auto"/>
                  </w:divBdr>
                  <w:divsChild>
                    <w:div w:id="8434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666024">
      <w:bodyDiv w:val="1"/>
      <w:marLeft w:val="0"/>
      <w:marRight w:val="0"/>
      <w:marTop w:val="0"/>
      <w:marBottom w:val="0"/>
      <w:divBdr>
        <w:top w:val="none" w:sz="0" w:space="0" w:color="auto"/>
        <w:left w:val="none" w:sz="0" w:space="0" w:color="auto"/>
        <w:bottom w:val="none" w:sz="0" w:space="0" w:color="auto"/>
        <w:right w:val="none" w:sz="0" w:space="0" w:color="auto"/>
      </w:divBdr>
    </w:div>
    <w:div w:id="691685271">
      <w:bodyDiv w:val="1"/>
      <w:marLeft w:val="0"/>
      <w:marRight w:val="0"/>
      <w:marTop w:val="0"/>
      <w:marBottom w:val="0"/>
      <w:divBdr>
        <w:top w:val="none" w:sz="0" w:space="0" w:color="auto"/>
        <w:left w:val="none" w:sz="0" w:space="0" w:color="auto"/>
        <w:bottom w:val="none" w:sz="0" w:space="0" w:color="auto"/>
        <w:right w:val="none" w:sz="0" w:space="0" w:color="auto"/>
      </w:divBdr>
    </w:div>
    <w:div w:id="794100163">
      <w:bodyDiv w:val="1"/>
      <w:marLeft w:val="0"/>
      <w:marRight w:val="0"/>
      <w:marTop w:val="0"/>
      <w:marBottom w:val="0"/>
      <w:divBdr>
        <w:top w:val="none" w:sz="0" w:space="0" w:color="auto"/>
        <w:left w:val="none" w:sz="0" w:space="0" w:color="auto"/>
        <w:bottom w:val="none" w:sz="0" w:space="0" w:color="auto"/>
        <w:right w:val="none" w:sz="0" w:space="0" w:color="auto"/>
      </w:divBdr>
      <w:divsChild>
        <w:div w:id="705914601">
          <w:marLeft w:val="0"/>
          <w:marRight w:val="0"/>
          <w:marTop w:val="0"/>
          <w:marBottom w:val="0"/>
          <w:divBdr>
            <w:top w:val="none" w:sz="0" w:space="0" w:color="auto"/>
            <w:left w:val="none" w:sz="0" w:space="0" w:color="auto"/>
            <w:bottom w:val="none" w:sz="0" w:space="0" w:color="auto"/>
            <w:right w:val="none" w:sz="0" w:space="0" w:color="auto"/>
          </w:divBdr>
          <w:divsChild>
            <w:div w:id="1892033239">
              <w:marLeft w:val="0"/>
              <w:marRight w:val="0"/>
              <w:marTop w:val="0"/>
              <w:marBottom w:val="0"/>
              <w:divBdr>
                <w:top w:val="none" w:sz="0" w:space="0" w:color="auto"/>
                <w:left w:val="none" w:sz="0" w:space="0" w:color="auto"/>
                <w:bottom w:val="none" w:sz="0" w:space="0" w:color="auto"/>
                <w:right w:val="none" w:sz="0" w:space="0" w:color="auto"/>
              </w:divBdr>
              <w:divsChild>
                <w:div w:id="406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432811">
      <w:bodyDiv w:val="1"/>
      <w:marLeft w:val="0"/>
      <w:marRight w:val="0"/>
      <w:marTop w:val="0"/>
      <w:marBottom w:val="0"/>
      <w:divBdr>
        <w:top w:val="none" w:sz="0" w:space="0" w:color="auto"/>
        <w:left w:val="none" w:sz="0" w:space="0" w:color="auto"/>
        <w:bottom w:val="none" w:sz="0" w:space="0" w:color="auto"/>
        <w:right w:val="none" w:sz="0" w:space="0" w:color="auto"/>
      </w:divBdr>
    </w:div>
    <w:div w:id="815688775">
      <w:bodyDiv w:val="1"/>
      <w:marLeft w:val="0"/>
      <w:marRight w:val="0"/>
      <w:marTop w:val="0"/>
      <w:marBottom w:val="0"/>
      <w:divBdr>
        <w:top w:val="none" w:sz="0" w:space="0" w:color="auto"/>
        <w:left w:val="none" w:sz="0" w:space="0" w:color="auto"/>
        <w:bottom w:val="none" w:sz="0" w:space="0" w:color="auto"/>
        <w:right w:val="none" w:sz="0" w:space="0" w:color="auto"/>
      </w:divBdr>
    </w:div>
    <w:div w:id="840243932">
      <w:bodyDiv w:val="1"/>
      <w:marLeft w:val="0"/>
      <w:marRight w:val="0"/>
      <w:marTop w:val="0"/>
      <w:marBottom w:val="0"/>
      <w:divBdr>
        <w:top w:val="none" w:sz="0" w:space="0" w:color="auto"/>
        <w:left w:val="none" w:sz="0" w:space="0" w:color="auto"/>
        <w:bottom w:val="none" w:sz="0" w:space="0" w:color="auto"/>
        <w:right w:val="none" w:sz="0" w:space="0" w:color="auto"/>
      </w:divBdr>
      <w:divsChild>
        <w:div w:id="1316840266">
          <w:marLeft w:val="0"/>
          <w:marRight w:val="0"/>
          <w:marTop w:val="0"/>
          <w:marBottom w:val="0"/>
          <w:divBdr>
            <w:top w:val="none" w:sz="0" w:space="0" w:color="auto"/>
            <w:left w:val="none" w:sz="0" w:space="0" w:color="auto"/>
            <w:bottom w:val="none" w:sz="0" w:space="0" w:color="auto"/>
            <w:right w:val="none" w:sz="0" w:space="0" w:color="auto"/>
          </w:divBdr>
          <w:divsChild>
            <w:div w:id="1845168541">
              <w:marLeft w:val="0"/>
              <w:marRight w:val="0"/>
              <w:marTop w:val="0"/>
              <w:marBottom w:val="0"/>
              <w:divBdr>
                <w:top w:val="none" w:sz="0" w:space="0" w:color="auto"/>
                <w:left w:val="none" w:sz="0" w:space="0" w:color="auto"/>
                <w:bottom w:val="none" w:sz="0" w:space="0" w:color="auto"/>
                <w:right w:val="none" w:sz="0" w:space="0" w:color="auto"/>
              </w:divBdr>
              <w:divsChild>
                <w:div w:id="13486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525245">
      <w:bodyDiv w:val="1"/>
      <w:marLeft w:val="0"/>
      <w:marRight w:val="0"/>
      <w:marTop w:val="0"/>
      <w:marBottom w:val="0"/>
      <w:divBdr>
        <w:top w:val="none" w:sz="0" w:space="0" w:color="auto"/>
        <w:left w:val="none" w:sz="0" w:space="0" w:color="auto"/>
        <w:bottom w:val="none" w:sz="0" w:space="0" w:color="auto"/>
        <w:right w:val="none" w:sz="0" w:space="0" w:color="auto"/>
      </w:divBdr>
      <w:divsChild>
        <w:div w:id="271976994">
          <w:marLeft w:val="0"/>
          <w:marRight w:val="0"/>
          <w:marTop w:val="0"/>
          <w:marBottom w:val="0"/>
          <w:divBdr>
            <w:top w:val="none" w:sz="0" w:space="0" w:color="auto"/>
            <w:left w:val="none" w:sz="0" w:space="0" w:color="auto"/>
            <w:bottom w:val="none" w:sz="0" w:space="0" w:color="auto"/>
            <w:right w:val="none" w:sz="0" w:space="0" w:color="auto"/>
          </w:divBdr>
          <w:divsChild>
            <w:div w:id="896546807">
              <w:marLeft w:val="0"/>
              <w:marRight w:val="0"/>
              <w:marTop w:val="0"/>
              <w:marBottom w:val="0"/>
              <w:divBdr>
                <w:top w:val="none" w:sz="0" w:space="0" w:color="auto"/>
                <w:left w:val="none" w:sz="0" w:space="0" w:color="auto"/>
                <w:bottom w:val="none" w:sz="0" w:space="0" w:color="auto"/>
                <w:right w:val="none" w:sz="0" w:space="0" w:color="auto"/>
              </w:divBdr>
              <w:divsChild>
                <w:div w:id="141527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9452">
      <w:bodyDiv w:val="1"/>
      <w:marLeft w:val="0"/>
      <w:marRight w:val="0"/>
      <w:marTop w:val="0"/>
      <w:marBottom w:val="0"/>
      <w:divBdr>
        <w:top w:val="none" w:sz="0" w:space="0" w:color="auto"/>
        <w:left w:val="none" w:sz="0" w:space="0" w:color="auto"/>
        <w:bottom w:val="none" w:sz="0" w:space="0" w:color="auto"/>
        <w:right w:val="none" w:sz="0" w:space="0" w:color="auto"/>
      </w:divBdr>
    </w:div>
    <w:div w:id="888417916">
      <w:bodyDiv w:val="1"/>
      <w:marLeft w:val="0"/>
      <w:marRight w:val="0"/>
      <w:marTop w:val="0"/>
      <w:marBottom w:val="0"/>
      <w:divBdr>
        <w:top w:val="none" w:sz="0" w:space="0" w:color="auto"/>
        <w:left w:val="none" w:sz="0" w:space="0" w:color="auto"/>
        <w:bottom w:val="none" w:sz="0" w:space="0" w:color="auto"/>
        <w:right w:val="none" w:sz="0" w:space="0" w:color="auto"/>
      </w:divBdr>
      <w:divsChild>
        <w:div w:id="1431587072">
          <w:marLeft w:val="0"/>
          <w:marRight w:val="0"/>
          <w:marTop w:val="0"/>
          <w:marBottom w:val="0"/>
          <w:divBdr>
            <w:top w:val="none" w:sz="0" w:space="0" w:color="auto"/>
            <w:left w:val="none" w:sz="0" w:space="0" w:color="auto"/>
            <w:bottom w:val="none" w:sz="0" w:space="0" w:color="auto"/>
            <w:right w:val="none" w:sz="0" w:space="0" w:color="auto"/>
          </w:divBdr>
          <w:divsChild>
            <w:div w:id="1948658443">
              <w:marLeft w:val="0"/>
              <w:marRight w:val="0"/>
              <w:marTop w:val="0"/>
              <w:marBottom w:val="0"/>
              <w:divBdr>
                <w:top w:val="none" w:sz="0" w:space="0" w:color="auto"/>
                <w:left w:val="none" w:sz="0" w:space="0" w:color="auto"/>
                <w:bottom w:val="none" w:sz="0" w:space="0" w:color="auto"/>
                <w:right w:val="none" w:sz="0" w:space="0" w:color="auto"/>
              </w:divBdr>
              <w:divsChild>
                <w:div w:id="1726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3176">
      <w:bodyDiv w:val="1"/>
      <w:marLeft w:val="0"/>
      <w:marRight w:val="0"/>
      <w:marTop w:val="0"/>
      <w:marBottom w:val="0"/>
      <w:divBdr>
        <w:top w:val="none" w:sz="0" w:space="0" w:color="auto"/>
        <w:left w:val="none" w:sz="0" w:space="0" w:color="auto"/>
        <w:bottom w:val="none" w:sz="0" w:space="0" w:color="auto"/>
        <w:right w:val="none" w:sz="0" w:space="0" w:color="auto"/>
      </w:divBdr>
      <w:divsChild>
        <w:div w:id="1686596984">
          <w:marLeft w:val="0"/>
          <w:marRight w:val="0"/>
          <w:marTop w:val="0"/>
          <w:marBottom w:val="0"/>
          <w:divBdr>
            <w:top w:val="none" w:sz="0" w:space="0" w:color="auto"/>
            <w:left w:val="none" w:sz="0" w:space="0" w:color="auto"/>
            <w:bottom w:val="none" w:sz="0" w:space="0" w:color="auto"/>
            <w:right w:val="none" w:sz="0" w:space="0" w:color="auto"/>
          </w:divBdr>
          <w:divsChild>
            <w:div w:id="1381248996">
              <w:marLeft w:val="0"/>
              <w:marRight w:val="0"/>
              <w:marTop w:val="0"/>
              <w:marBottom w:val="0"/>
              <w:divBdr>
                <w:top w:val="none" w:sz="0" w:space="0" w:color="auto"/>
                <w:left w:val="none" w:sz="0" w:space="0" w:color="auto"/>
                <w:bottom w:val="none" w:sz="0" w:space="0" w:color="auto"/>
                <w:right w:val="none" w:sz="0" w:space="0" w:color="auto"/>
              </w:divBdr>
              <w:divsChild>
                <w:div w:id="8604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768221">
      <w:bodyDiv w:val="1"/>
      <w:marLeft w:val="0"/>
      <w:marRight w:val="0"/>
      <w:marTop w:val="0"/>
      <w:marBottom w:val="0"/>
      <w:divBdr>
        <w:top w:val="none" w:sz="0" w:space="0" w:color="auto"/>
        <w:left w:val="none" w:sz="0" w:space="0" w:color="auto"/>
        <w:bottom w:val="none" w:sz="0" w:space="0" w:color="auto"/>
        <w:right w:val="none" w:sz="0" w:space="0" w:color="auto"/>
      </w:divBdr>
      <w:divsChild>
        <w:div w:id="1746953044">
          <w:marLeft w:val="0"/>
          <w:marRight w:val="0"/>
          <w:marTop w:val="0"/>
          <w:marBottom w:val="0"/>
          <w:divBdr>
            <w:top w:val="none" w:sz="0" w:space="0" w:color="auto"/>
            <w:left w:val="none" w:sz="0" w:space="0" w:color="auto"/>
            <w:bottom w:val="none" w:sz="0" w:space="0" w:color="auto"/>
            <w:right w:val="none" w:sz="0" w:space="0" w:color="auto"/>
          </w:divBdr>
          <w:divsChild>
            <w:div w:id="1912348857">
              <w:marLeft w:val="0"/>
              <w:marRight w:val="0"/>
              <w:marTop w:val="0"/>
              <w:marBottom w:val="0"/>
              <w:divBdr>
                <w:top w:val="none" w:sz="0" w:space="0" w:color="auto"/>
                <w:left w:val="none" w:sz="0" w:space="0" w:color="auto"/>
                <w:bottom w:val="none" w:sz="0" w:space="0" w:color="auto"/>
                <w:right w:val="none" w:sz="0" w:space="0" w:color="auto"/>
              </w:divBdr>
              <w:divsChild>
                <w:div w:id="16857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49880">
      <w:bodyDiv w:val="1"/>
      <w:marLeft w:val="0"/>
      <w:marRight w:val="0"/>
      <w:marTop w:val="0"/>
      <w:marBottom w:val="0"/>
      <w:divBdr>
        <w:top w:val="none" w:sz="0" w:space="0" w:color="auto"/>
        <w:left w:val="none" w:sz="0" w:space="0" w:color="auto"/>
        <w:bottom w:val="none" w:sz="0" w:space="0" w:color="auto"/>
        <w:right w:val="none" w:sz="0" w:space="0" w:color="auto"/>
      </w:divBdr>
    </w:div>
    <w:div w:id="991830618">
      <w:bodyDiv w:val="1"/>
      <w:marLeft w:val="0"/>
      <w:marRight w:val="0"/>
      <w:marTop w:val="0"/>
      <w:marBottom w:val="0"/>
      <w:divBdr>
        <w:top w:val="none" w:sz="0" w:space="0" w:color="auto"/>
        <w:left w:val="none" w:sz="0" w:space="0" w:color="auto"/>
        <w:bottom w:val="none" w:sz="0" w:space="0" w:color="auto"/>
        <w:right w:val="none" w:sz="0" w:space="0" w:color="auto"/>
      </w:divBdr>
      <w:divsChild>
        <w:div w:id="361592341">
          <w:marLeft w:val="0"/>
          <w:marRight w:val="0"/>
          <w:marTop w:val="0"/>
          <w:marBottom w:val="0"/>
          <w:divBdr>
            <w:top w:val="none" w:sz="0" w:space="0" w:color="auto"/>
            <w:left w:val="none" w:sz="0" w:space="0" w:color="auto"/>
            <w:bottom w:val="none" w:sz="0" w:space="0" w:color="auto"/>
            <w:right w:val="none" w:sz="0" w:space="0" w:color="auto"/>
          </w:divBdr>
          <w:divsChild>
            <w:div w:id="713845378">
              <w:marLeft w:val="0"/>
              <w:marRight w:val="0"/>
              <w:marTop w:val="0"/>
              <w:marBottom w:val="0"/>
              <w:divBdr>
                <w:top w:val="none" w:sz="0" w:space="0" w:color="auto"/>
                <w:left w:val="none" w:sz="0" w:space="0" w:color="auto"/>
                <w:bottom w:val="none" w:sz="0" w:space="0" w:color="auto"/>
                <w:right w:val="none" w:sz="0" w:space="0" w:color="auto"/>
              </w:divBdr>
              <w:divsChild>
                <w:div w:id="753476992">
                  <w:marLeft w:val="0"/>
                  <w:marRight w:val="0"/>
                  <w:marTop w:val="0"/>
                  <w:marBottom w:val="0"/>
                  <w:divBdr>
                    <w:top w:val="none" w:sz="0" w:space="0" w:color="auto"/>
                    <w:left w:val="none" w:sz="0" w:space="0" w:color="auto"/>
                    <w:bottom w:val="none" w:sz="0" w:space="0" w:color="auto"/>
                    <w:right w:val="none" w:sz="0" w:space="0" w:color="auto"/>
                  </w:divBdr>
                  <w:divsChild>
                    <w:div w:id="198974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78883">
      <w:bodyDiv w:val="1"/>
      <w:marLeft w:val="0"/>
      <w:marRight w:val="0"/>
      <w:marTop w:val="0"/>
      <w:marBottom w:val="0"/>
      <w:divBdr>
        <w:top w:val="none" w:sz="0" w:space="0" w:color="auto"/>
        <w:left w:val="none" w:sz="0" w:space="0" w:color="auto"/>
        <w:bottom w:val="none" w:sz="0" w:space="0" w:color="auto"/>
        <w:right w:val="none" w:sz="0" w:space="0" w:color="auto"/>
      </w:divBdr>
      <w:divsChild>
        <w:div w:id="1010259732">
          <w:marLeft w:val="0"/>
          <w:marRight w:val="0"/>
          <w:marTop w:val="0"/>
          <w:marBottom w:val="0"/>
          <w:divBdr>
            <w:top w:val="none" w:sz="0" w:space="0" w:color="auto"/>
            <w:left w:val="none" w:sz="0" w:space="0" w:color="auto"/>
            <w:bottom w:val="none" w:sz="0" w:space="0" w:color="auto"/>
            <w:right w:val="none" w:sz="0" w:space="0" w:color="auto"/>
          </w:divBdr>
          <w:divsChild>
            <w:div w:id="325786527">
              <w:marLeft w:val="0"/>
              <w:marRight w:val="0"/>
              <w:marTop w:val="0"/>
              <w:marBottom w:val="0"/>
              <w:divBdr>
                <w:top w:val="none" w:sz="0" w:space="0" w:color="auto"/>
                <w:left w:val="none" w:sz="0" w:space="0" w:color="auto"/>
                <w:bottom w:val="none" w:sz="0" w:space="0" w:color="auto"/>
                <w:right w:val="none" w:sz="0" w:space="0" w:color="auto"/>
              </w:divBdr>
              <w:divsChild>
                <w:div w:id="5857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85993">
      <w:bodyDiv w:val="1"/>
      <w:marLeft w:val="0"/>
      <w:marRight w:val="0"/>
      <w:marTop w:val="0"/>
      <w:marBottom w:val="0"/>
      <w:divBdr>
        <w:top w:val="none" w:sz="0" w:space="0" w:color="auto"/>
        <w:left w:val="none" w:sz="0" w:space="0" w:color="auto"/>
        <w:bottom w:val="none" w:sz="0" w:space="0" w:color="auto"/>
        <w:right w:val="none" w:sz="0" w:space="0" w:color="auto"/>
      </w:divBdr>
    </w:div>
    <w:div w:id="1057315870">
      <w:bodyDiv w:val="1"/>
      <w:marLeft w:val="0"/>
      <w:marRight w:val="0"/>
      <w:marTop w:val="0"/>
      <w:marBottom w:val="0"/>
      <w:divBdr>
        <w:top w:val="none" w:sz="0" w:space="0" w:color="auto"/>
        <w:left w:val="none" w:sz="0" w:space="0" w:color="auto"/>
        <w:bottom w:val="none" w:sz="0" w:space="0" w:color="auto"/>
        <w:right w:val="none" w:sz="0" w:space="0" w:color="auto"/>
      </w:divBdr>
      <w:divsChild>
        <w:div w:id="167136993">
          <w:marLeft w:val="0"/>
          <w:marRight w:val="0"/>
          <w:marTop w:val="0"/>
          <w:marBottom w:val="0"/>
          <w:divBdr>
            <w:top w:val="none" w:sz="0" w:space="0" w:color="auto"/>
            <w:left w:val="none" w:sz="0" w:space="0" w:color="auto"/>
            <w:bottom w:val="none" w:sz="0" w:space="0" w:color="auto"/>
            <w:right w:val="none" w:sz="0" w:space="0" w:color="auto"/>
          </w:divBdr>
          <w:divsChild>
            <w:div w:id="1419904177">
              <w:marLeft w:val="0"/>
              <w:marRight w:val="0"/>
              <w:marTop w:val="0"/>
              <w:marBottom w:val="0"/>
              <w:divBdr>
                <w:top w:val="none" w:sz="0" w:space="0" w:color="auto"/>
                <w:left w:val="none" w:sz="0" w:space="0" w:color="auto"/>
                <w:bottom w:val="none" w:sz="0" w:space="0" w:color="auto"/>
                <w:right w:val="none" w:sz="0" w:space="0" w:color="auto"/>
              </w:divBdr>
              <w:divsChild>
                <w:div w:id="89373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89217">
      <w:bodyDiv w:val="1"/>
      <w:marLeft w:val="0"/>
      <w:marRight w:val="0"/>
      <w:marTop w:val="0"/>
      <w:marBottom w:val="0"/>
      <w:divBdr>
        <w:top w:val="none" w:sz="0" w:space="0" w:color="auto"/>
        <w:left w:val="none" w:sz="0" w:space="0" w:color="auto"/>
        <w:bottom w:val="none" w:sz="0" w:space="0" w:color="auto"/>
        <w:right w:val="none" w:sz="0" w:space="0" w:color="auto"/>
      </w:divBdr>
    </w:div>
    <w:div w:id="1214806209">
      <w:bodyDiv w:val="1"/>
      <w:marLeft w:val="0"/>
      <w:marRight w:val="0"/>
      <w:marTop w:val="0"/>
      <w:marBottom w:val="0"/>
      <w:divBdr>
        <w:top w:val="none" w:sz="0" w:space="0" w:color="auto"/>
        <w:left w:val="none" w:sz="0" w:space="0" w:color="auto"/>
        <w:bottom w:val="none" w:sz="0" w:space="0" w:color="auto"/>
        <w:right w:val="none" w:sz="0" w:space="0" w:color="auto"/>
      </w:divBdr>
    </w:div>
    <w:div w:id="1242445887">
      <w:bodyDiv w:val="1"/>
      <w:marLeft w:val="0"/>
      <w:marRight w:val="0"/>
      <w:marTop w:val="0"/>
      <w:marBottom w:val="0"/>
      <w:divBdr>
        <w:top w:val="none" w:sz="0" w:space="0" w:color="auto"/>
        <w:left w:val="none" w:sz="0" w:space="0" w:color="auto"/>
        <w:bottom w:val="none" w:sz="0" w:space="0" w:color="auto"/>
        <w:right w:val="none" w:sz="0" w:space="0" w:color="auto"/>
      </w:divBdr>
    </w:div>
    <w:div w:id="1351949341">
      <w:bodyDiv w:val="1"/>
      <w:marLeft w:val="0"/>
      <w:marRight w:val="0"/>
      <w:marTop w:val="0"/>
      <w:marBottom w:val="0"/>
      <w:divBdr>
        <w:top w:val="none" w:sz="0" w:space="0" w:color="auto"/>
        <w:left w:val="none" w:sz="0" w:space="0" w:color="auto"/>
        <w:bottom w:val="none" w:sz="0" w:space="0" w:color="auto"/>
        <w:right w:val="none" w:sz="0" w:space="0" w:color="auto"/>
      </w:divBdr>
    </w:div>
    <w:div w:id="1352493162">
      <w:bodyDiv w:val="1"/>
      <w:marLeft w:val="0"/>
      <w:marRight w:val="0"/>
      <w:marTop w:val="0"/>
      <w:marBottom w:val="0"/>
      <w:divBdr>
        <w:top w:val="none" w:sz="0" w:space="0" w:color="auto"/>
        <w:left w:val="none" w:sz="0" w:space="0" w:color="auto"/>
        <w:bottom w:val="none" w:sz="0" w:space="0" w:color="auto"/>
        <w:right w:val="none" w:sz="0" w:space="0" w:color="auto"/>
      </w:divBdr>
    </w:div>
    <w:div w:id="1365642917">
      <w:bodyDiv w:val="1"/>
      <w:marLeft w:val="0"/>
      <w:marRight w:val="0"/>
      <w:marTop w:val="0"/>
      <w:marBottom w:val="0"/>
      <w:divBdr>
        <w:top w:val="none" w:sz="0" w:space="0" w:color="auto"/>
        <w:left w:val="none" w:sz="0" w:space="0" w:color="auto"/>
        <w:bottom w:val="none" w:sz="0" w:space="0" w:color="auto"/>
        <w:right w:val="none" w:sz="0" w:space="0" w:color="auto"/>
      </w:divBdr>
    </w:div>
    <w:div w:id="1375688914">
      <w:bodyDiv w:val="1"/>
      <w:marLeft w:val="0"/>
      <w:marRight w:val="0"/>
      <w:marTop w:val="0"/>
      <w:marBottom w:val="0"/>
      <w:divBdr>
        <w:top w:val="none" w:sz="0" w:space="0" w:color="auto"/>
        <w:left w:val="none" w:sz="0" w:space="0" w:color="auto"/>
        <w:bottom w:val="none" w:sz="0" w:space="0" w:color="auto"/>
        <w:right w:val="none" w:sz="0" w:space="0" w:color="auto"/>
      </w:divBdr>
    </w:div>
    <w:div w:id="1593203947">
      <w:bodyDiv w:val="1"/>
      <w:marLeft w:val="0"/>
      <w:marRight w:val="0"/>
      <w:marTop w:val="0"/>
      <w:marBottom w:val="0"/>
      <w:divBdr>
        <w:top w:val="none" w:sz="0" w:space="0" w:color="auto"/>
        <w:left w:val="none" w:sz="0" w:space="0" w:color="auto"/>
        <w:bottom w:val="none" w:sz="0" w:space="0" w:color="auto"/>
        <w:right w:val="none" w:sz="0" w:space="0" w:color="auto"/>
      </w:divBdr>
    </w:div>
    <w:div w:id="1674260791">
      <w:bodyDiv w:val="1"/>
      <w:marLeft w:val="0"/>
      <w:marRight w:val="0"/>
      <w:marTop w:val="0"/>
      <w:marBottom w:val="0"/>
      <w:divBdr>
        <w:top w:val="none" w:sz="0" w:space="0" w:color="auto"/>
        <w:left w:val="none" w:sz="0" w:space="0" w:color="auto"/>
        <w:bottom w:val="none" w:sz="0" w:space="0" w:color="auto"/>
        <w:right w:val="none" w:sz="0" w:space="0" w:color="auto"/>
      </w:divBdr>
    </w:div>
    <w:div w:id="1680815077">
      <w:bodyDiv w:val="1"/>
      <w:marLeft w:val="0"/>
      <w:marRight w:val="0"/>
      <w:marTop w:val="0"/>
      <w:marBottom w:val="0"/>
      <w:divBdr>
        <w:top w:val="none" w:sz="0" w:space="0" w:color="auto"/>
        <w:left w:val="none" w:sz="0" w:space="0" w:color="auto"/>
        <w:bottom w:val="none" w:sz="0" w:space="0" w:color="auto"/>
        <w:right w:val="none" w:sz="0" w:space="0" w:color="auto"/>
      </w:divBdr>
    </w:div>
    <w:div w:id="1684017478">
      <w:bodyDiv w:val="1"/>
      <w:marLeft w:val="0"/>
      <w:marRight w:val="0"/>
      <w:marTop w:val="0"/>
      <w:marBottom w:val="0"/>
      <w:divBdr>
        <w:top w:val="none" w:sz="0" w:space="0" w:color="auto"/>
        <w:left w:val="none" w:sz="0" w:space="0" w:color="auto"/>
        <w:bottom w:val="none" w:sz="0" w:space="0" w:color="auto"/>
        <w:right w:val="none" w:sz="0" w:space="0" w:color="auto"/>
      </w:divBdr>
    </w:div>
    <w:div w:id="1803036060">
      <w:bodyDiv w:val="1"/>
      <w:marLeft w:val="0"/>
      <w:marRight w:val="0"/>
      <w:marTop w:val="0"/>
      <w:marBottom w:val="0"/>
      <w:divBdr>
        <w:top w:val="none" w:sz="0" w:space="0" w:color="auto"/>
        <w:left w:val="none" w:sz="0" w:space="0" w:color="auto"/>
        <w:bottom w:val="none" w:sz="0" w:space="0" w:color="auto"/>
        <w:right w:val="none" w:sz="0" w:space="0" w:color="auto"/>
      </w:divBdr>
      <w:divsChild>
        <w:div w:id="1462654961">
          <w:marLeft w:val="0"/>
          <w:marRight w:val="0"/>
          <w:marTop w:val="0"/>
          <w:marBottom w:val="0"/>
          <w:divBdr>
            <w:top w:val="none" w:sz="0" w:space="0" w:color="auto"/>
            <w:left w:val="none" w:sz="0" w:space="0" w:color="auto"/>
            <w:bottom w:val="none" w:sz="0" w:space="0" w:color="auto"/>
            <w:right w:val="none" w:sz="0" w:space="0" w:color="auto"/>
          </w:divBdr>
          <w:divsChild>
            <w:div w:id="744769056">
              <w:marLeft w:val="0"/>
              <w:marRight w:val="0"/>
              <w:marTop w:val="0"/>
              <w:marBottom w:val="0"/>
              <w:divBdr>
                <w:top w:val="none" w:sz="0" w:space="0" w:color="auto"/>
                <w:left w:val="none" w:sz="0" w:space="0" w:color="auto"/>
                <w:bottom w:val="none" w:sz="0" w:space="0" w:color="auto"/>
                <w:right w:val="none" w:sz="0" w:space="0" w:color="auto"/>
              </w:divBdr>
              <w:divsChild>
                <w:div w:id="17816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903438">
      <w:bodyDiv w:val="1"/>
      <w:marLeft w:val="0"/>
      <w:marRight w:val="0"/>
      <w:marTop w:val="0"/>
      <w:marBottom w:val="0"/>
      <w:divBdr>
        <w:top w:val="none" w:sz="0" w:space="0" w:color="auto"/>
        <w:left w:val="none" w:sz="0" w:space="0" w:color="auto"/>
        <w:bottom w:val="none" w:sz="0" w:space="0" w:color="auto"/>
        <w:right w:val="none" w:sz="0" w:space="0" w:color="auto"/>
      </w:divBdr>
    </w:div>
    <w:div w:id="1925335378">
      <w:bodyDiv w:val="1"/>
      <w:marLeft w:val="0"/>
      <w:marRight w:val="0"/>
      <w:marTop w:val="0"/>
      <w:marBottom w:val="0"/>
      <w:divBdr>
        <w:top w:val="none" w:sz="0" w:space="0" w:color="auto"/>
        <w:left w:val="none" w:sz="0" w:space="0" w:color="auto"/>
        <w:bottom w:val="none" w:sz="0" w:space="0" w:color="auto"/>
        <w:right w:val="none" w:sz="0" w:space="0" w:color="auto"/>
      </w:divBdr>
      <w:divsChild>
        <w:div w:id="1356728417">
          <w:marLeft w:val="0"/>
          <w:marRight w:val="0"/>
          <w:marTop w:val="0"/>
          <w:marBottom w:val="0"/>
          <w:divBdr>
            <w:top w:val="none" w:sz="0" w:space="0" w:color="auto"/>
            <w:left w:val="none" w:sz="0" w:space="0" w:color="auto"/>
            <w:bottom w:val="none" w:sz="0" w:space="0" w:color="auto"/>
            <w:right w:val="none" w:sz="0" w:space="0" w:color="auto"/>
          </w:divBdr>
        </w:div>
      </w:divsChild>
    </w:div>
    <w:div w:id="1952854684">
      <w:bodyDiv w:val="1"/>
      <w:marLeft w:val="0"/>
      <w:marRight w:val="0"/>
      <w:marTop w:val="0"/>
      <w:marBottom w:val="0"/>
      <w:divBdr>
        <w:top w:val="none" w:sz="0" w:space="0" w:color="auto"/>
        <w:left w:val="none" w:sz="0" w:space="0" w:color="auto"/>
        <w:bottom w:val="none" w:sz="0" w:space="0" w:color="auto"/>
        <w:right w:val="none" w:sz="0" w:space="0" w:color="auto"/>
      </w:divBdr>
    </w:div>
    <w:div w:id="2005741742">
      <w:bodyDiv w:val="1"/>
      <w:marLeft w:val="0"/>
      <w:marRight w:val="0"/>
      <w:marTop w:val="0"/>
      <w:marBottom w:val="0"/>
      <w:divBdr>
        <w:top w:val="none" w:sz="0" w:space="0" w:color="auto"/>
        <w:left w:val="none" w:sz="0" w:space="0" w:color="auto"/>
        <w:bottom w:val="none" w:sz="0" w:space="0" w:color="auto"/>
        <w:right w:val="none" w:sz="0" w:space="0" w:color="auto"/>
      </w:divBdr>
    </w:div>
    <w:div w:id="2054886517">
      <w:bodyDiv w:val="1"/>
      <w:marLeft w:val="0"/>
      <w:marRight w:val="0"/>
      <w:marTop w:val="0"/>
      <w:marBottom w:val="0"/>
      <w:divBdr>
        <w:top w:val="none" w:sz="0" w:space="0" w:color="auto"/>
        <w:left w:val="none" w:sz="0" w:space="0" w:color="auto"/>
        <w:bottom w:val="none" w:sz="0" w:space="0" w:color="auto"/>
        <w:right w:val="none" w:sz="0" w:space="0" w:color="auto"/>
      </w:divBdr>
    </w:div>
    <w:div w:id="2075161436">
      <w:bodyDiv w:val="1"/>
      <w:marLeft w:val="0"/>
      <w:marRight w:val="0"/>
      <w:marTop w:val="0"/>
      <w:marBottom w:val="0"/>
      <w:divBdr>
        <w:top w:val="none" w:sz="0" w:space="0" w:color="auto"/>
        <w:left w:val="none" w:sz="0" w:space="0" w:color="auto"/>
        <w:bottom w:val="none" w:sz="0" w:space="0" w:color="auto"/>
        <w:right w:val="none" w:sz="0" w:space="0" w:color="auto"/>
      </w:divBdr>
      <w:divsChild>
        <w:div w:id="1891308989">
          <w:marLeft w:val="0"/>
          <w:marRight w:val="0"/>
          <w:marTop w:val="0"/>
          <w:marBottom w:val="0"/>
          <w:divBdr>
            <w:top w:val="none" w:sz="0" w:space="0" w:color="auto"/>
            <w:left w:val="none" w:sz="0" w:space="0" w:color="auto"/>
            <w:bottom w:val="none" w:sz="0" w:space="0" w:color="auto"/>
            <w:right w:val="none" w:sz="0" w:space="0" w:color="auto"/>
          </w:divBdr>
          <w:divsChild>
            <w:div w:id="10232173">
              <w:marLeft w:val="0"/>
              <w:marRight w:val="0"/>
              <w:marTop w:val="0"/>
              <w:marBottom w:val="0"/>
              <w:divBdr>
                <w:top w:val="none" w:sz="0" w:space="0" w:color="auto"/>
                <w:left w:val="none" w:sz="0" w:space="0" w:color="auto"/>
                <w:bottom w:val="none" w:sz="0" w:space="0" w:color="auto"/>
                <w:right w:val="none" w:sz="0" w:space="0" w:color="auto"/>
              </w:divBdr>
              <w:divsChild>
                <w:div w:id="89902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i.org/10.1261/rna.054809.115" TargetMode="External"/><Relationship Id="rId21" Type="http://schemas.openxmlformats.org/officeDocument/2006/relationships/image" Target="media/image9.emf"/><Relationship Id="rId42" Type="http://schemas.openxmlformats.org/officeDocument/2006/relationships/hyperlink" Target="http://doi.org/10.1109/TAC.1974.1100705" TargetMode="External"/><Relationship Id="rId63" Type="http://schemas.openxmlformats.org/officeDocument/2006/relationships/hyperlink" Target="http://doi.org/10.1038/359211a0" TargetMode="External"/><Relationship Id="rId84" Type="http://schemas.openxmlformats.org/officeDocument/2006/relationships/hyperlink" Target="http://doi.org/10.1161/CIRCRESAHA.115.307004" TargetMode="External"/><Relationship Id="rId138" Type="http://schemas.openxmlformats.org/officeDocument/2006/relationships/hyperlink" Target="http://doi.org/10.1016/j.xcrm.2020.100013" TargetMode="External"/><Relationship Id="rId159" Type="http://schemas.openxmlformats.org/officeDocument/2006/relationships/hyperlink" Target="http://doi.org/10.1186/s12864-018-4726-6" TargetMode="External"/><Relationship Id="rId107" Type="http://schemas.openxmlformats.org/officeDocument/2006/relationships/hyperlink" Target="http://doi.org/10.1038/srep32651" TargetMode="External"/><Relationship Id="rId11" Type="http://schemas.openxmlformats.org/officeDocument/2006/relationships/footer" Target="footer3.xml"/><Relationship Id="rId32" Type="http://schemas.openxmlformats.org/officeDocument/2006/relationships/image" Target="media/image18.png"/><Relationship Id="rId53" Type="http://schemas.openxmlformats.org/officeDocument/2006/relationships/hyperlink" Target="http://doi.org/10.1016/j.ab.2013.03.002" TargetMode="External"/><Relationship Id="rId74" Type="http://schemas.openxmlformats.org/officeDocument/2006/relationships/hyperlink" Target="http://doi.org/10.1007/s12016-010-8198-y" TargetMode="External"/><Relationship Id="rId128" Type="http://schemas.openxmlformats.org/officeDocument/2006/relationships/hyperlink" Target="http://doi.org/10.1177/2045894019846439" TargetMode="External"/><Relationship Id="rId149" Type="http://schemas.openxmlformats.org/officeDocument/2006/relationships/hyperlink" Target="http://doi.org/10.1378/chest.114.3_Supplement.225S" TargetMode="External"/><Relationship Id="rId5" Type="http://schemas.openxmlformats.org/officeDocument/2006/relationships/webSettings" Target="webSettings.xml"/><Relationship Id="rId95" Type="http://schemas.openxmlformats.org/officeDocument/2006/relationships/hyperlink" Target="http://doi.org/10.1093/bioinformatics/bts034" TargetMode="External"/><Relationship Id="rId160" Type="http://schemas.openxmlformats.org/officeDocument/2006/relationships/hyperlink" Target="http://doi.org/10.1002/bimj.200710415" TargetMode="External"/><Relationship Id="rId22" Type="http://schemas.openxmlformats.org/officeDocument/2006/relationships/image" Target="media/image10.emf"/><Relationship Id="rId43" Type="http://schemas.openxmlformats.org/officeDocument/2006/relationships/hyperlink" Target="http://doi.org/10.1093/rheumatology/keh124" TargetMode="External"/><Relationship Id="rId64" Type="http://schemas.openxmlformats.org/officeDocument/2006/relationships/hyperlink" Target="http://doi.org/10.1186/s12864-018-4785-8" TargetMode="External"/><Relationship Id="rId118" Type="http://schemas.openxmlformats.org/officeDocument/2006/relationships/hyperlink" Target="http://doi.org/10.1186/1471-2164-13-341" TargetMode="External"/><Relationship Id="rId139" Type="http://schemas.openxmlformats.org/officeDocument/2006/relationships/hyperlink" Target="http://doi.org/10.1016/j.xcrm.2020.100013" TargetMode="External"/><Relationship Id="rId85" Type="http://schemas.openxmlformats.org/officeDocument/2006/relationships/hyperlink" Target="http://doi.org/10.1038/s41598-019-51890-7" TargetMode="External"/><Relationship Id="rId150" Type="http://schemas.openxmlformats.org/officeDocument/2006/relationships/hyperlink" Target="http://doi.org/10.1261/rna.234507" TargetMode="Externa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9.emf"/><Relationship Id="rId38" Type="http://schemas.openxmlformats.org/officeDocument/2006/relationships/hyperlink" Target="http://doi.org/10.1016/j.gene.2017.03.032" TargetMode="External"/><Relationship Id="rId59" Type="http://schemas.openxmlformats.org/officeDocument/2006/relationships/hyperlink" Target="http://doi.org/10.1177/1755738016639070" TargetMode="External"/><Relationship Id="rId103" Type="http://schemas.openxmlformats.org/officeDocument/2006/relationships/hyperlink" Target="http://doi.org/10.1093/bioinformatics/btw538" TargetMode="External"/><Relationship Id="rId108" Type="http://schemas.openxmlformats.org/officeDocument/2006/relationships/hyperlink" Target="http://doi.org/10.1177/2397198318764780" TargetMode="External"/><Relationship Id="rId124" Type="http://schemas.openxmlformats.org/officeDocument/2006/relationships/hyperlink" Target="http://doi.org/10.1371/journal.pone.0054612" TargetMode="External"/><Relationship Id="rId129" Type="http://schemas.openxmlformats.org/officeDocument/2006/relationships/hyperlink" Target="http://doi.org/10.1177/2045894019882623" TargetMode="External"/><Relationship Id="rId54" Type="http://schemas.openxmlformats.org/officeDocument/2006/relationships/hyperlink" Target="http://doi.org/10.1038/srep28006" TargetMode="External"/><Relationship Id="rId70" Type="http://schemas.openxmlformats.org/officeDocument/2006/relationships/hyperlink" Target="http://doi.org/10.1016/j.prp.2018.03.013" TargetMode="External"/><Relationship Id="rId75" Type="http://schemas.openxmlformats.org/officeDocument/2006/relationships/hyperlink" Target="http://doi.org/10.1002/art.21433" TargetMode="External"/><Relationship Id="rId91" Type="http://schemas.openxmlformats.org/officeDocument/2006/relationships/hyperlink" Target="http://doi.org/10.1038/nbt1239" TargetMode="External"/><Relationship Id="rId96" Type="http://schemas.openxmlformats.org/officeDocument/2006/relationships/hyperlink" Target="http://doi.org/10.7150/jca.29426" TargetMode="External"/><Relationship Id="rId140" Type="http://schemas.openxmlformats.org/officeDocument/2006/relationships/hyperlink" Target="http://doi.org/10.1373/clinchem.2010.144121" TargetMode="External"/><Relationship Id="rId145" Type="http://schemas.openxmlformats.org/officeDocument/2006/relationships/hyperlink" Target="http://doi.org/10.2307/2346178" TargetMode="External"/><Relationship Id="rId161" Type="http://schemas.openxmlformats.org/officeDocument/2006/relationships/hyperlink" Target="http://doi.org/10.1007/s00392-018-1207-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hyperlink" Target="http://doi.org/10.1016/j.healun.2017.04.008" TargetMode="External"/><Relationship Id="rId114" Type="http://schemas.openxmlformats.org/officeDocument/2006/relationships/hyperlink" Target="http://doi.org/10.1016/j.cell.2007.06.028" TargetMode="External"/><Relationship Id="rId119" Type="http://schemas.openxmlformats.org/officeDocument/2006/relationships/hyperlink" Target="http://doi.org/10.1172/JCI60658" TargetMode="External"/><Relationship Id="rId44" Type="http://schemas.openxmlformats.org/officeDocument/2006/relationships/hyperlink" Target="http://doi.org/10.1530/ERP-17-0071" TargetMode="External"/><Relationship Id="rId60" Type="http://schemas.openxmlformats.org/officeDocument/2006/relationships/hyperlink" Target="http://doi.org/10.1084/jem.20101812" TargetMode="External"/><Relationship Id="rId65" Type="http://schemas.openxmlformats.org/officeDocument/2006/relationships/hyperlink" Target="http://doi.org/10.1378/chest.129.5.1313" TargetMode="External"/><Relationship Id="rId81" Type="http://schemas.openxmlformats.org/officeDocument/2006/relationships/hyperlink" Target="http://doi.org/10.1183/09031936.00078411" TargetMode="External"/><Relationship Id="rId86" Type="http://schemas.openxmlformats.org/officeDocument/2006/relationships/hyperlink" Target="http://doi.org/10.1126/science.2570460" TargetMode="External"/><Relationship Id="rId130" Type="http://schemas.openxmlformats.org/officeDocument/2006/relationships/hyperlink" Target="http://doi.org/10.1155/2015/792846" TargetMode="External"/><Relationship Id="rId135" Type="http://schemas.openxmlformats.org/officeDocument/2006/relationships/hyperlink" Target="http://doi.org/10.1016/j.jacc.2013.10.029" TargetMode="External"/><Relationship Id="rId151" Type="http://schemas.openxmlformats.org/officeDocument/2006/relationships/hyperlink" Target="http://doi.org/10.1183/09031936.00160307" TargetMode="External"/><Relationship Id="rId156" Type="http://schemas.openxmlformats.org/officeDocument/2006/relationships/hyperlink" Target="http://doi.org/10.1007/s00109-016-1426-z" TargetMode="External"/><Relationship Id="rId13" Type="http://schemas.openxmlformats.org/officeDocument/2006/relationships/footer" Target="footer4.xml"/><Relationship Id="rId18" Type="http://schemas.openxmlformats.org/officeDocument/2006/relationships/image" Target="media/image6.emf"/><Relationship Id="rId39" Type="http://schemas.openxmlformats.org/officeDocument/2006/relationships/hyperlink" Target="http://doi.org/10.1111/trf.13896" TargetMode="External"/><Relationship Id="rId109" Type="http://schemas.openxmlformats.org/officeDocument/2006/relationships/hyperlink" Target="http://doi.org/10.1186/1750-1172-8-97" TargetMode="External"/><Relationship Id="rId34" Type="http://schemas.openxmlformats.org/officeDocument/2006/relationships/image" Target="media/image20.png"/><Relationship Id="rId50" Type="http://schemas.openxmlformats.org/officeDocument/2006/relationships/hyperlink" Target="http://doi.org/10.1023/A:1010933404324" TargetMode="External"/><Relationship Id="rId55" Type="http://schemas.openxmlformats.org/officeDocument/2006/relationships/hyperlink" Target="http://doi.org/10.1371/journal.pone.0088566" TargetMode="External"/><Relationship Id="rId76" Type="http://schemas.openxmlformats.org/officeDocument/2006/relationships/hyperlink" Target="http://doi.org/10.1148/radiology.143.1.7063747" TargetMode="External"/><Relationship Id="rId97" Type="http://schemas.openxmlformats.org/officeDocument/2006/relationships/hyperlink" Target="http://doi.org/10.1016/j.gpb.2012.07.005" TargetMode="External"/><Relationship Id="rId104" Type="http://schemas.openxmlformats.org/officeDocument/2006/relationships/hyperlink" Target="http://doi.org/10.3390/biom10081173" TargetMode="External"/><Relationship Id="rId120" Type="http://schemas.openxmlformats.org/officeDocument/2006/relationships/hyperlink" Target="http://doi.org/10.1177/2045894019845604" TargetMode="External"/><Relationship Id="rId125" Type="http://schemas.openxmlformats.org/officeDocument/2006/relationships/hyperlink" Target="http://doi.org/10.1172/JCI83361" TargetMode="External"/><Relationship Id="rId141" Type="http://schemas.openxmlformats.org/officeDocument/2006/relationships/hyperlink" Target="http://doi.org/10.1016/j.hjc.2018.06.004" TargetMode="External"/><Relationship Id="rId146" Type="http://schemas.openxmlformats.org/officeDocument/2006/relationships/hyperlink" Target="http://doi.org/10.1183/09031936.00184412" TargetMode="External"/><Relationship Id="rId7" Type="http://schemas.openxmlformats.org/officeDocument/2006/relationships/endnotes" Target="endnotes.xml"/><Relationship Id="rId71" Type="http://schemas.openxmlformats.org/officeDocument/2006/relationships/hyperlink" Target="http://doi.org/10.1371/journal.pone.0167969" TargetMode="External"/><Relationship Id="rId92" Type="http://schemas.openxmlformats.org/officeDocument/2006/relationships/hyperlink" Target="http://doi.org/10.1161/CIRCRESAHA.115.301146" TargetMode="External"/><Relationship Id="rId16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emf"/><Relationship Id="rId40" Type="http://schemas.openxmlformats.org/officeDocument/2006/relationships/hyperlink" Target="http://doi.org/10.1371/journal.pone.0006098" TargetMode="External"/><Relationship Id="rId45" Type="http://schemas.openxmlformats.org/officeDocument/2006/relationships/hyperlink" Target="http://doi.org/10.3899/jrheum.100245" TargetMode="External"/><Relationship Id="rId66" Type="http://schemas.openxmlformats.org/officeDocument/2006/relationships/hyperlink" Target="http://doi.org/10.1038/nrg2455" TargetMode="External"/><Relationship Id="rId87" Type="http://schemas.openxmlformats.org/officeDocument/2006/relationships/hyperlink" Target="http://doi.org/10.1164/rccm.201602-0323OC" TargetMode="External"/><Relationship Id="rId110" Type="http://schemas.openxmlformats.org/officeDocument/2006/relationships/hyperlink" Target="http://doi.org/10.1093/rheumatology/keh067" TargetMode="External"/><Relationship Id="rId115" Type="http://schemas.openxmlformats.org/officeDocument/2006/relationships/hyperlink" Target="http://doi.org/10.1161/CIRCULATIONAHA.111.060269" TargetMode="External"/><Relationship Id="rId131" Type="http://schemas.openxmlformats.org/officeDocument/2006/relationships/hyperlink" Target="http://doi.org/10.1371/journal.pone.0005540" TargetMode="External"/><Relationship Id="rId136" Type="http://schemas.openxmlformats.org/officeDocument/2006/relationships/hyperlink" Target="http://doi.org/10.1183/13993003.01913-2018" TargetMode="External"/><Relationship Id="rId157" Type="http://schemas.openxmlformats.org/officeDocument/2006/relationships/hyperlink" Target="http://doi.org/10.1016/j.exger.2015.10.011" TargetMode="External"/><Relationship Id="rId61" Type="http://schemas.openxmlformats.org/officeDocument/2006/relationships/hyperlink" Target="http://doi.org/10.1016/j.ebiom.2018.05.013" TargetMode="External"/><Relationship Id="rId82" Type="http://schemas.openxmlformats.org/officeDocument/2006/relationships/hyperlink" Target="http://doi.org/10.1038/79226" TargetMode="External"/><Relationship Id="rId152" Type="http://schemas.openxmlformats.org/officeDocument/2006/relationships/hyperlink" Target="http://doi.org/10.1373/clinchem.2010.147405" TargetMode="External"/><Relationship Id="rId19" Type="http://schemas.openxmlformats.org/officeDocument/2006/relationships/image" Target="media/image7.emf"/><Relationship Id="rId14" Type="http://schemas.openxmlformats.org/officeDocument/2006/relationships/footer" Target="footer5.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yperlink" Target="http://doi.org/10.21542/gcsp.2017.14" TargetMode="External"/><Relationship Id="rId77" Type="http://schemas.openxmlformats.org/officeDocument/2006/relationships/hyperlink" Target="http://doi.org/10.1186/s13058-016-0753-x" TargetMode="External"/><Relationship Id="rId100" Type="http://schemas.openxmlformats.org/officeDocument/2006/relationships/hyperlink" Target="http://doi.org/10.1056/NEJMoa1211097" TargetMode="External"/><Relationship Id="rId105" Type="http://schemas.openxmlformats.org/officeDocument/2006/relationships/hyperlink" Target="http://doi.org/10.1371/journal.pone.0199573" TargetMode="External"/><Relationship Id="rId126" Type="http://schemas.openxmlformats.org/officeDocument/2006/relationships/hyperlink" Target="http://doi.org/10.1038/nature05983" TargetMode="External"/><Relationship Id="rId147" Type="http://schemas.openxmlformats.org/officeDocument/2006/relationships/hyperlink" Target="http://doi.org/10.1080/10629360600810434" TargetMode="External"/><Relationship Id="rId8" Type="http://schemas.openxmlformats.org/officeDocument/2006/relationships/image" Target="media/image1.jpeg"/><Relationship Id="rId51" Type="http://schemas.openxmlformats.org/officeDocument/2006/relationships/hyperlink" Target="http://doi.org/10.1016/j.ab.2015.07.018" TargetMode="External"/><Relationship Id="rId72" Type="http://schemas.openxmlformats.org/officeDocument/2006/relationships/hyperlink" Target="http://doi.org/10.1371/journal.pone.0027156" TargetMode="External"/><Relationship Id="rId93" Type="http://schemas.openxmlformats.org/officeDocument/2006/relationships/hyperlink" Target="http://doi.org/10.1016/j.vph.2014.10.002" TargetMode="External"/><Relationship Id="rId98" Type="http://schemas.openxmlformats.org/officeDocument/2006/relationships/hyperlink" Target="http://doi.org/10.1186/1471-2164-12-64" TargetMode="External"/><Relationship Id="rId121" Type="http://schemas.openxmlformats.org/officeDocument/2006/relationships/hyperlink" Target="http://doi.org/10.1164/rccm.201712-2410OC" TargetMode="External"/><Relationship Id="rId142" Type="http://schemas.openxmlformats.org/officeDocument/2006/relationships/hyperlink" Target="http://doi.org/10.2174/1566523214666141224095610" TargetMode="External"/><Relationship Id="rId163" Type="http://schemas.openxmlformats.org/officeDocument/2006/relationships/footer" Target="footer9.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yperlink" Target="http://doi.org/10.1038/nature07517" TargetMode="External"/><Relationship Id="rId67" Type="http://schemas.openxmlformats.org/officeDocument/2006/relationships/hyperlink" Target="http://doi.org/10.1371/journal.pone.0106434" TargetMode="External"/><Relationship Id="rId116" Type="http://schemas.openxmlformats.org/officeDocument/2006/relationships/hyperlink" Target="http://doi.org/10.1136/gutjnl-2014-306996" TargetMode="External"/><Relationship Id="rId137" Type="http://schemas.openxmlformats.org/officeDocument/2006/relationships/hyperlink" Target="http://doi.org/10.1016/j.jacc.2009.04.012" TargetMode="External"/><Relationship Id="rId158" Type="http://schemas.openxmlformats.org/officeDocument/2006/relationships/hyperlink" Target="http://doi.org/10.1002/jcb.28665" TargetMode="External"/><Relationship Id="rId20" Type="http://schemas.openxmlformats.org/officeDocument/2006/relationships/image" Target="media/image8.png"/><Relationship Id="rId41" Type="http://schemas.openxmlformats.org/officeDocument/2006/relationships/hyperlink" Target="http://doi.org/10.1186/1472-6750-8-69" TargetMode="External"/><Relationship Id="rId62" Type="http://schemas.openxmlformats.org/officeDocument/2006/relationships/hyperlink" Target="http://doi.org/10.3390/ijms20184353" TargetMode="External"/><Relationship Id="rId83" Type="http://schemas.openxmlformats.org/officeDocument/2006/relationships/hyperlink" Target="http://doi.org/10.1016/j.ijcha.2015.06.006" TargetMode="External"/><Relationship Id="rId88" Type="http://schemas.openxmlformats.org/officeDocument/2006/relationships/hyperlink" Target="http://doi.org/10.1093/nar/gky1141" TargetMode="External"/><Relationship Id="rId111" Type="http://schemas.openxmlformats.org/officeDocument/2006/relationships/hyperlink" Target="http://doi.org/10.1038/nmeth.3337" TargetMode="External"/><Relationship Id="rId132" Type="http://schemas.openxmlformats.org/officeDocument/2006/relationships/hyperlink" Target="http://doi.org/10.1371/journal.pone.0127443" TargetMode="External"/><Relationship Id="rId153" Type="http://schemas.openxmlformats.org/officeDocument/2006/relationships/hyperlink" Target="http://doi.org/10.1152/ajpheart.00267.2012" TargetMode="External"/><Relationship Id="rId15" Type="http://schemas.openxmlformats.org/officeDocument/2006/relationships/image" Target="media/image3.png"/><Relationship Id="rId36" Type="http://schemas.openxmlformats.org/officeDocument/2006/relationships/image" Target="media/image22.emf"/><Relationship Id="rId57" Type="http://schemas.openxmlformats.org/officeDocument/2006/relationships/hyperlink" Target="http://doi.org/10.1164/rccm.201604-0886PP" TargetMode="External"/><Relationship Id="rId106" Type="http://schemas.openxmlformats.org/officeDocument/2006/relationships/hyperlink" Target="http://doi.org/10.1038/nmeth.3014" TargetMode="External"/><Relationship Id="rId127" Type="http://schemas.openxmlformats.org/officeDocument/2006/relationships/hyperlink" Target="http://doi.org/10.2217/fon-2018-0812" TargetMode="External"/><Relationship Id="rId10" Type="http://schemas.openxmlformats.org/officeDocument/2006/relationships/footer" Target="footer2.xml"/><Relationship Id="rId31" Type="http://schemas.openxmlformats.org/officeDocument/2006/relationships/image" Target="media/image17.png"/><Relationship Id="rId52" Type="http://schemas.openxmlformats.org/officeDocument/2006/relationships/hyperlink" Target="http://doi.org/10.1164/rccm.201703-0502OC" TargetMode="External"/><Relationship Id="rId73" Type="http://schemas.openxmlformats.org/officeDocument/2006/relationships/hyperlink" Target="http://doi.org/10.1016/j.neurobiolaging.2019.01.024" TargetMode="External"/><Relationship Id="rId78" Type="http://schemas.openxmlformats.org/officeDocument/2006/relationships/hyperlink" Target="http://doi.org/10.1161/CIRCULATIONAHA.114.013317" TargetMode="External"/><Relationship Id="rId94" Type="http://schemas.openxmlformats.org/officeDocument/2006/relationships/hyperlink" Target="http://doi.org/10.1016/S0092-8674(04)00035-2" TargetMode="External"/><Relationship Id="rId99" Type="http://schemas.openxmlformats.org/officeDocument/2006/relationships/hyperlink" Target="http://doi.org/10.1016/s0960-9822(02)00809-6" TargetMode="External"/><Relationship Id="rId101" Type="http://schemas.openxmlformats.org/officeDocument/2006/relationships/hyperlink" Target="http://doi.org/10.1183/09031936.05.00034905" TargetMode="External"/><Relationship Id="rId122" Type="http://schemas.openxmlformats.org/officeDocument/2006/relationships/hyperlink" Target="http://doi.org/10.1164/rccm.201205-0839OC" TargetMode="External"/><Relationship Id="rId143" Type="http://schemas.openxmlformats.org/officeDocument/2006/relationships/hyperlink" Target="http://doi.org/10.1093/eurheartj/ehq251" TargetMode="External"/><Relationship Id="rId148" Type="http://schemas.openxmlformats.org/officeDocument/2006/relationships/hyperlink" Target="http://doi.org/10.1371/journal.pone.0007405"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7.xml"/><Relationship Id="rId47" Type="http://schemas.openxmlformats.org/officeDocument/2006/relationships/hyperlink" Target="http://doi.org/10.1074/jbc.M114.617845" TargetMode="External"/><Relationship Id="rId68" Type="http://schemas.openxmlformats.org/officeDocument/2006/relationships/hyperlink" Target="http://doi.org/10.1093/eurheartj/ehp297" TargetMode="External"/><Relationship Id="rId89" Type="http://schemas.openxmlformats.org/officeDocument/2006/relationships/hyperlink" Target="http://doi.org/10.18637/jss.v036.i11" TargetMode="External"/><Relationship Id="rId112" Type="http://schemas.openxmlformats.org/officeDocument/2006/relationships/hyperlink" Target="http://doi.org/10.1161/hc3201.094152" TargetMode="External"/><Relationship Id="rId133" Type="http://schemas.openxmlformats.org/officeDocument/2006/relationships/hyperlink" Target="http://doi.org/10.1007/s00408-019-00239-y" TargetMode="External"/><Relationship Id="rId154" Type="http://schemas.openxmlformats.org/officeDocument/2006/relationships/hyperlink" Target="http://doi.org/10.1093/eurheartj/ehi891" TargetMode="External"/><Relationship Id="rId16" Type="http://schemas.openxmlformats.org/officeDocument/2006/relationships/image" Target="media/image4.png"/><Relationship Id="rId37" Type="http://schemas.openxmlformats.org/officeDocument/2006/relationships/image" Target="media/image23.emf"/><Relationship Id="rId58" Type="http://schemas.openxmlformats.org/officeDocument/2006/relationships/hyperlink" Target="http://doi.org/10.1136/annrheumdis-2013-203301" TargetMode="External"/><Relationship Id="rId79" Type="http://schemas.openxmlformats.org/officeDocument/2006/relationships/hyperlink" Target="http://doi.org/10.1016/j.jacc.2004.02.029" TargetMode="External"/><Relationship Id="rId102" Type="http://schemas.openxmlformats.org/officeDocument/2006/relationships/hyperlink" Target="http://doi.org/10.4103/2045-8932.83449" TargetMode="External"/><Relationship Id="rId123" Type="http://schemas.openxmlformats.org/officeDocument/2006/relationships/hyperlink" Target="http://doi.org/10.1093/nar/gkv007" TargetMode="External"/><Relationship Id="rId144" Type="http://schemas.openxmlformats.org/officeDocument/2006/relationships/hyperlink" Target="http://doi.org/10.3389/fgene.2019.00688" TargetMode="External"/><Relationship Id="rId90" Type="http://schemas.openxmlformats.org/officeDocument/2006/relationships/hyperlink" Target="http://doi.org/10.1164/rccm.201103-0412OC" TargetMode="External"/><Relationship Id="rId165" Type="http://schemas.openxmlformats.org/officeDocument/2006/relationships/theme" Target="theme/theme1.xml"/><Relationship Id="rId27" Type="http://schemas.openxmlformats.org/officeDocument/2006/relationships/image" Target="media/image13.png"/><Relationship Id="rId48" Type="http://schemas.openxmlformats.org/officeDocument/2006/relationships/hyperlink" Target="http://doi.org/10.1074/jbc.M110.198390" TargetMode="External"/><Relationship Id="rId69" Type="http://schemas.openxmlformats.org/officeDocument/2006/relationships/hyperlink" Target="http://doi.org/10.1093/eurheartj/ehv317" TargetMode="External"/><Relationship Id="rId113" Type="http://schemas.openxmlformats.org/officeDocument/2006/relationships/hyperlink" Target="http://doi.org/10.1007/978-1-4939-6524-3_7" TargetMode="External"/><Relationship Id="rId134" Type="http://schemas.openxmlformats.org/officeDocument/2006/relationships/hyperlink" Target="http://doi.org/10.4103/0976-500X.149132" TargetMode="External"/><Relationship Id="rId80" Type="http://schemas.openxmlformats.org/officeDocument/2006/relationships/hyperlink" Target="http://doi.org/10.1002/art.30541" TargetMode="External"/><Relationship Id="rId155" Type="http://schemas.openxmlformats.org/officeDocument/2006/relationships/hyperlink" Target="http://doi.org/10.1038/ncb0309-2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6E544-E5A2-EB41-AADB-E5800EC45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143</Pages>
  <Words>75349</Words>
  <Characters>429494</Characters>
  <Application>Microsoft Office Word</Application>
  <DocSecurity>0</DocSecurity>
  <Lines>3579</Lines>
  <Paragraphs>1007</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503836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Rothman</dc:creator>
  <cp:keywords/>
  <dc:description/>
  <cp:lastModifiedBy>james@visformatics.net</cp:lastModifiedBy>
  <cp:revision>9</cp:revision>
  <cp:lastPrinted>2021-01-05T17:21:00Z</cp:lastPrinted>
  <dcterms:created xsi:type="dcterms:W3CDTF">2021-01-05T22:21:00Z</dcterms:created>
  <dcterms:modified xsi:type="dcterms:W3CDTF">2021-01-05T22:43:00Z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class="21"/&gt;&lt;count citations="149" publications="129"/&gt;&lt;/info&gt;PAPERS2_INFO_END</vt:lpwstr>
  </property>
</Properties>
</file>